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rPr>
          <w:rFonts w:ascii="宋体" w:hAnsi="宋体"/>
          <w:b/>
          <w:color w:val="000000" w:themeColor="text1"/>
          <w:sz w:val="56"/>
          <w:szCs w:val="56"/>
          <w:highlight w:val="none"/>
          <w14:textFill>
            <w14:solidFill>
              <w14:schemeClr w14:val="tx1"/>
            </w14:solidFill>
          </w14:textFill>
        </w:rPr>
      </w:pPr>
      <w:bookmarkStart w:id="0" w:name="_Toc300038913"/>
      <w:bookmarkStart w:id="1" w:name="_Toc142138202"/>
      <w:bookmarkStart w:id="2" w:name="_Toc516753463"/>
      <w:bookmarkStart w:id="3" w:name="_Toc27707"/>
      <w:bookmarkStart w:id="4" w:name="_Toc5392"/>
    </w:p>
    <w:p>
      <w:pPr>
        <w:spacing w:beforeLines="100" w:line="360" w:lineRule="auto"/>
        <w:jc w:val="center"/>
        <w:rPr>
          <w:rFonts w:ascii="宋体" w:hAnsi="宋体"/>
          <w:b/>
          <w:color w:val="000000" w:themeColor="text1"/>
          <w:sz w:val="56"/>
          <w:szCs w:val="56"/>
          <w:highlight w:val="none"/>
          <w14:textFill>
            <w14:solidFill>
              <w14:schemeClr w14:val="tx1"/>
            </w14:solidFill>
          </w14:textFill>
        </w:rPr>
      </w:pPr>
    </w:p>
    <w:p>
      <w:pPr>
        <w:spacing w:beforeLines="100" w:afterLines="100" w:line="360" w:lineRule="auto"/>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厦 门 市</w:t>
      </w:r>
    </w:p>
    <w:p>
      <w:pPr>
        <w:spacing w:beforeLines="50" w:afterLines="50" w:line="360" w:lineRule="auto"/>
        <w:jc w:val="center"/>
        <w:rPr>
          <w:rFonts w:ascii="黑体" w:hAnsi="黑体" w:eastAsia="黑体"/>
          <w:b/>
          <w:color w:val="000000" w:themeColor="text1"/>
          <w:sz w:val="56"/>
          <w:szCs w:val="56"/>
          <w:highlight w:val="none"/>
          <w14:textFill>
            <w14:solidFill>
              <w14:schemeClr w14:val="tx1"/>
            </w14:solidFill>
          </w14:textFill>
        </w:rPr>
      </w:pPr>
      <w:r>
        <w:rPr>
          <w:rFonts w:hint="eastAsia" w:ascii="黑体" w:hAnsi="黑体" w:eastAsia="黑体" w:cs="宋体"/>
          <w:color w:val="000000" w:themeColor="text1"/>
          <w:sz w:val="52"/>
          <w:highlight w:val="none"/>
          <w:lang w:val="zh-CN" w:bidi="zh-CN"/>
          <w14:textFill>
            <w14:solidFill>
              <w14:schemeClr w14:val="tx1"/>
            </w14:solidFill>
          </w14:textFill>
        </w:rPr>
        <w:t xml:space="preserve"> 房屋建筑和市政基础设施工程</w:t>
      </w:r>
    </w:p>
    <w:p>
      <w:pPr>
        <w:spacing w:afterLines="100" w:line="360" w:lineRule="auto"/>
        <w:jc w:val="center"/>
        <w:rPr>
          <w:rFonts w:ascii="黑体" w:hAnsi="黑体" w:eastAsia="黑体"/>
          <w:b/>
          <w:color w:val="000000" w:themeColor="text1"/>
          <w:sz w:val="56"/>
          <w:szCs w:val="56"/>
          <w:highlight w:val="none"/>
          <w14:textFill>
            <w14:solidFill>
              <w14:schemeClr w14:val="tx1"/>
            </w14:solidFill>
          </w14:textFill>
        </w:rPr>
      </w:pPr>
      <w:r>
        <w:rPr>
          <w:rFonts w:hint="eastAsia" w:ascii="黑体" w:hAnsi="宋体" w:eastAsia="黑体" w:cs="宋体"/>
          <w:b/>
          <w:color w:val="000000" w:themeColor="text1"/>
          <w:spacing w:val="77"/>
          <w:sz w:val="72"/>
          <w:szCs w:val="72"/>
          <w:highlight w:val="none"/>
          <w:lang w:val="zh-CN" w:bidi="zh-CN"/>
          <w14:textFill>
            <w14:solidFill>
              <w14:schemeClr w14:val="tx1"/>
            </w14:solidFill>
          </w14:textFill>
        </w:rPr>
        <w:t xml:space="preserve"> 标准勘察招标文件</w:t>
      </w:r>
    </w:p>
    <w:p>
      <w:pPr>
        <w:spacing w:beforeLines="100" w:after="240" w:line="360" w:lineRule="auto"/>
        <w:jc w:val="center"/>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w:t>
      </w:r>
      <w:r>
        <w:rPr>
          <w:rFonts w:hint="eastAsia" w:ascii="黑体" w:hAnsi="黑体" w:eastAsia="黑体" w:cs="宋体"/>
          <w:color w:val="000000" w:themeColor="text1"/>
          <w:sz w:val="32"/>
          <w:highlight w:val="none"/>
          <w:lang w:val="zh-CN" w:bidi="zh-CN"/>
          <w14:textFill>
            <w14:solidFill>
              <w14:schemeClr w14:val="tx1"/>
            </w14:solidFill>
          </w14:textFill>
        </w:rPr>
        <w:t>“评定分离”版</w:t>
      </w:r>
      <w:r>
        <w:rPr>
          <w:rFonts w:hint="eastAsia" w:ascii="黑体" w:hAnsi="黑体" w:eastAsia="黑体"/>
          <w:color w:val="000000" w:themeColor="text1"/>
          <w:sz w:val="36"/>
          <w:szCs w:val="36"/>
          <w:highlight w:val="none"/>
          <w14:textFill>
            <w14:solidFill>
              <w14:schemeClr w14:val="tx1"/>
            </w14:solidFill>
          </w14:textFill>
        </w:rPr>
        <w:t>）</w:t>
      </w:r>
    </w:p>
    <w:p>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pPr>
        <w:spacing w:beforeLines="100" w:after="240" w:line="360" w:lineRule="auto"/>
        <w:jc w:val="center"/>
        <w:rPr>
          <w:rFonts w:ascii="宋体" w:hAnsi="宋体"/>
          <w:b/>
          <w:color w:val="000000" w:themeColor="text1"/>
          <w:sz w:val="36"/>
          <w:szCs w:val="36"/>
          <w:highlight w:val="none"/>
          <w14:textFill>
            <w14:solidFill>
              <w14:schemeClr w14:val="tx1"/>
            </w14:solidFill>
          </w14:textFill>
        </w:rPr>
      </w:pPr>
    </w:p>
    <w:p>
      <w:pPr>
        <w:tabs>
          <w:tab w:val="left" w:pos="3493"/>
        </w:tabs>
        <w:spacing w:beforeLines="100" w:after="240" w:line="360" w:lineRule="auto"/>
        <w:rPr>
          <w:rFonts w:hint="eastAsia" w:ascii="宋体" w:hAnsi="宋体" w:eastAsia="宋体"/>
          <w:b w:val="0"/>
          <w:bCs/>
          <w:color w:val="000000" w:themeColor="text1"/>
          <w:sz w:val="28"/>
          <w:szCs w:val="28"/>
          <w:highlight w:val="none"/>
          <w:lang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ab/>
      </w:r>
      <w:r>
        <w:rPr>
          <w:rFonts w:hint="eastAsia" w:ascii="宋体" w:hAnsi="宋体"/>
          <w:b w:val="0"/>
          <w:bCs/>
          <w:color w:val="000000" w:themeColor="text1"/>
          <w:sz w:val="28"/>
          <w:szCs w:val="28"/>
          <w:highlight w:val="none"/>
          <w14:textFill>
            <w14:solidFill>
              <w14:schemeClr w14:val="tx1"/>
            </w14:solidFill>
          </w14:textFill>
        </w:rPr>
        <w:t>202</w:t>
      </w:r>
      <w:r>
        <w:rPr>
          <w:rFonts w:hint="eastAsia" w:ascii="宋体" w:hAnsi="宋体"/>
          <w:b w:val="0"/>
          <w:bCs/>
          <w:color w:val="000000" w:themeColor="text1"/>
          <w:sz w:val="28"/>
          <w:szCs w:val="28"/>
          <w:highlight w:val="none"/>
          <w:lang w:val="en-US" w:eastAsia="zh-CN"/>
          <w14:textFill>
            <w14:solidFill>
              <w14:schemeClr w14:val="tx1"/>
            </w14:solidFill>
          </w14:textFill>
        </w:rPr>
        <w:t>4</w:t>
      </w:r>
      <w:r>
        <w:rPr>
          <w:rFonts w:hint="eastAsia" w:ascii="宋体" w:hAnsi="宋体"/>
          <w:b w:val="0"/>
          <w:bCs/>
          <w:color w:val="000000" w:themeColor="text1"/>
          <w:sz w:val="28"/>
          <w:szCs w:val="28"/>
          <w:highlight w:val="none"/>
          <w14:textFill>
            <w14:solidFill>
              <w14:schemeClr w14:val="tx1"/>
            </w14:solidFill>
          </w14:textFill>
        </w:rPr>
        <w:t>年</w:t>
      </w:r>
      <w:r>
        <w:rPr>
          <w:rFonts w:hint="eastAsia" w:ascii="宋体" w:hAnsi="宋体"/>
          <w:b w:val="0"/>
          <w:bCs/>
          <w:color w:val="000000" w:themeColor="text1"/>
          <w:sz w:val="28"/>
          <w:szCs w:val="28"/>
          <w:highlight w:val="none"/>
          <w:lang w:val="en-US" w:eastAsia="zh-CN"/>
          <w14:textFill>
            <w14:solidFill>
              <w14:schemeClr w14:val="tx1"/>
            </w14:solidFill>
          </w14:textFill>
        </w:rPr>
        <w:t>12</w:t>
      </w:r>
      <w:r>
        <w:rPr>
          <w:rFonts w:hint="eastAsia" w:ascii="宋体" w:hAnsi="宋体"/>
          <w:b w:val="0"/>
          <w:bCs/>
          <w:color w:val="000000" w:themeColor="text1"/>
          <w:sz w:val="28"/>
          <w:szCs w:val="28"/>
          <w:highlight w:val="none"/>
          <w14:textFill>
            <w14:solidFill>
              <w14:schemeClr w14:val="tx1"/>
            </w14:solidFill>
          </w14:textFill>
        </w:rPr>
        <w:t>月</w:t>
      </w:r>
    </w:p>
    <w:p>
      <w:pPr>
        <w:adjustRightInd/>
        <w:spacing w:beforeLines="100" w:afterLines="100" w:line="360" w:lineRule="auto"/>
        <w:ind w:left="2104" w:hanging="1820"/>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使用说明</w:t>
      </w:r>
    </w:p>
    <w:p>
      <w:pPr>
        <w:keepNext w:val="0"/>
        <w:keepLines w:val="0"/>
        <w:pageBreakBefore w:val="0"/>
        <w:widowControl w:val="0"/>
        <w:kinsoku/>
        <w:wordWrap/>
        <w:overflowPunct/>
        <w:topLinePunct w:val="0"/>
        <w:autoSpaceDE/>
        <w:autoSpaceDN/>
        <w:bidi w:val="0"/>
        <w:snapToGrid/>
        <w:spacing w:line="400" w:lineRule="exact"/>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厦门市房屋建筑和市政基础设施工程标准勘察招标文件》（“评定分离”版）（以下简称《标准勘察招标文件》）是在《中华人民共和国标准勘察招标文件（2017版）》、《福建省标准工程勘察招标文件（2018年版）》基础上，以《中华人民共和国招标投标法》、《电子招标投标办法》等法律和部门规章为依据，结合住房和城乡建设部《关于进一步加强房屋建筑和市政基础设施工程招标投标监管的指导意见》（建市规〔2019〕11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国务院办公厅《国务院办公厅关于创新完善体制机制推动招标投标市场规范健康发展的意见》（国办发〔2024〕21号）文件精神，根据《厦门市住房和建设局关于印发建设工程招投标评定分离办法的通知》（厦住建规〔2024〕6号）并结合厦门市实际情况编制。</w:t>
      </w:r>
    </w:p>
    <w:p>
      <w:pPr>
        <w:keepNext w:val="0"/>
        <w:keepLines w:val="0"/>
        <w:pageBreakBefore w:val="0"/>
        <w:widowControl w:val="0"/>
        <w:kinsoku/>
        <w:wordWrap/>
        <w:overflowPunct/>
        <w:topLinePunct w:val="0"/>
        <w:autoSpaceDE/>
        <w:autoSpaceDN/>
        <w:bidi w:val="0"/>
        <w:snapToGrid/>
        <w:spacing w:line="400" w:lineRule="exact"/>
        <w:ind w:firstLine="424" w:firstLineChars="202"/>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2.《标准勘察招标文件》适用于厦门市行政区域内依法必须进行招标且采用“评定分离”评标定标办法的房屋建筑</w:t>
      </w:r>
      <w:r>
        <w:rPr>
          <w:rFonts w:hint="eastAsia" w:ascii="宋体" w:hAnsi="宋体" w:cs="宋体"/>
          <w:color w:val="000000" w:themeColor="text1"/>
          <w:sz w:val="21"/>
          <w:szCs w:val="21"/>
          <w:highlight w:val="none"/>
          <w:lang w:eastAsia="zh-CN"/>
          <w14:textFill>
            <w14:solidFill>
              <w14:schemeClr w14:val="tx1"/>
            </w14:solidFill>
          </w14:textFill>
        </w:rPr>
        <w:t>工程</w:t>
      </w:r>
      <w:r>
        <w:rPr>
          <w:rFonts w:hint="eastAsia" w:ascii="宋体" w:hAnsi="宋体" w:cs="宋体"/>
          <w:color w:val="000000" w:themeColor="text1"/>
          <w:sz w:val="21"/>
          <w:szCs w:val="21"/>
          <w:highlight w:val="none"/>
          <w14:textFill>
            <w14:solidFill>
              <w14:schemeClr w14:val="tx1"/>
            </w14:solidFill>
          </w14:textFill>
        </w:rPr>
        <w:t>和市政基础设施工程勘察招标项目。</w:t>
      </w:r>
    </w:p>
    <w:p>
      <w:pPr>
        <w:keepNext w:val="0"/>
        <w:keepLines w:val="0"/>
        <w:pageBreakBefore w:val="0"/>
        <w:widowControl w:val="0"/>
        <w:kinsoku/>
        <w:wordWrap/>
        <w:overflowPunct/>
        <w:topLinePunct w:val="0"/>
        <w:autoSpaceDE/>
        <w:autoSpaceDN/>
        <w:bidi w:val="0"/>
        <w:snapToGrid/>
        <w:spacing w:line="400" w:lineRule="exact"/>
        <w:ind w:firstLine="424" w:firstLineChars="202"/>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3.招标项目未划分标段的，是指本招标项目；划分标段的，是指本标段。</w:t>
      </w:r>
    </w:p>
    <w:p>
      <w:pPr>
        <w:keepNext w:val="0"/>
        <w:keepLines w:val="0"/>
        <w:pageBreakBefore w:val="0"/>
        <w:widowControl w:val="0"/>
        <w:kinsoku/>
        <w:wordWrap/>
        <w:overflowPunct/>
        <w:topLinePunct w:val="0"/>
        <w:autoSpaceDE/>
        <w:autoSpaceDN/>
        <w:bidi w:val="0"/>
        <w:snapToGrid/>
        <w:spacing w:line="400" w:lineRule="exact"/>
        <w:ind w:firstLine="424" w:firstLineChars="202"/>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4.前附表是与相应章节正文的组成部分，两者内容不一致之处，以前附表为准。</w:t>
      </w:r>
    </w:p>
    <w:p>
      <w:pPr>
        <w:keepNext w:val="0"/>
        <w:keepLines w:val="0"/>
        <w:pageBreakBefore w:val="0"/>
        <w:widowControl w:val="0"/>
        <w:kinsoku/>
        <w:wordWrap/>
        <w:overflowPunct/>
        <w:topLinePunct w:val="0"/>
        <w:autoSpaceDE/>
        <w:autoSpaceDN/>
        <w:bidi w:val="0"/>
        <w:snapToGrid/>
        <w:spacing w:line="400" w:lineRule="exact"/>
        <w:ind w:firstLine="424" w:firstLineChars="202"/>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5.前附表附录是前附表的组成部分，两者内容不一致之处，以附录为准。</w:t>
      </w:r>
    </w:p>
    <w:p>
      <w:pPr>
        <w:keepNext w:val="0"/>
        <w:keepLines w:val="0"/>
        <w:pageBreakBefore w:val="0"/>
        <w:widowControl w:val="0"/>
        <w:kinsoku/>
        <w:wordWrap/>
        <w:overflowPunct/>
        <w:topLinePunct w:val="0"/>
        <w:autoSpaceDE/>
        <w:autoSpaceDN/>
        <w:bidi w:val="0"/>
        <w:snapToGrid/>
        <w:spacing w:line="400" w:lineRule="exact"/>
        <w:ind w:firstLine="424" w:firstLineChars="202"/>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6.《标准勘察招标文件》</w:t>
      </w:r>
      <w:r>
        <w:rPr>
          <w:rFonts w:ascii="宋体" w:hAnsi="宋体" w:cs="宋体"/>
          <w:color w:val="000000" w:themeColor="text1"/>
          <w:sz w:val="21"/>
          <w:szCs w:val="21"/>
          <w:highlight w:val="none"/>
          <w14:textFill>
            <w14:solidFill>
              <w14:schemeClr w14:val="tx1"/>
            </w14:solidFill>
          </w14:textFill>
        </w:rPr>
        <w:t>以空格标示的部分，招标人应根据招标项目具体特点和实际需要进行填写，确实没有需要填写的，在空格中用“/”标示。以</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标识的</w:t>
      </w:r>
      <w:r>
        <w:rPr>
          <w:rFonts w:hint="eastAsia" w:ascii="宋体" w:hAnsi="宋体" w:cs="宋体"/>
          <w:color w:val="000000" w:themeColor="text1"/>
          <w:sz w:val="21"/>
          <w:szCs w:val="21"/>
          <w:highlight w:val="none"/>
          <w14:textFill>
            <w14:solidFill>
              <w14:schemeClr w14:val="tx1"/>
            </w14:solidFill>
          </w14:textFill>
        </w:rPr>
        <w:t>选项由招标人根据实际情况选择，并确保与有关章节内容和要求一致。</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7.招标人不得在《标准勘察招标文件》第五章“合同条款及格式”中编制与否决投标有关的任何内容。</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8.《标准勘察招标文件》第七章“投标文件格式”中的脚注内容和要求，属于该章节的规定，投标人在编制投标文件时应当严格遵守。其余章节的脚注内容属于注释，招标人编制招标文件时应当遵守。</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9.在招标项目的招投标过程中，招标人委托招标代理机构招标的，则招标代理机构应在招标全过程中以被代理人名义办理招标人委托范围内的事宜，并承担相应责任。</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10.本使用说明是招标文件的组成部分。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各使</w:t>
      </w:r>
      <w:r>
        <w:rPr>
          <w:rFonts w:hint="eastAsia" w:ascii="宋体" w:hAnsi="宋体"/>
          <w:color w:val="000000" w:themeColor="text1"/>
          <w:sz w:val="21"/>
          <w:szCs w:val="21"/>
          <w:highlight w:val="none"/>
          <w14:textFill>
            <w14:solidFill>
              <w14:schemeClr w14:val="tx1"/>
            </w14:solidFill>
          </w14:textFill>
        </w:rPr>
        <w:t>用单位或个人对《标准勘察招标文件》有任何意见和建议，请及时反馈厦门市建设工程招投标中心，以便进一步修改和完善。《标准勘察招标文件》编制的单位和主要人员名单如下：</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（1）厦门市建设工程招投标中心  白晓东、沈毅敏、郑俊慧、</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林盛、</w:t>
      </w:r>
      <w:r>
        <w:rPr>
          <w:rFonts w:hint="eastAsia" w:ascii="宋体" w:hAnsi="宋体" w:eastAsia="宋体" w:cs="Times New Roman"/>
          <w:color w:val="000000" w:themeColor="text1"/>
          <w:sz w:val="21"/>
          <w:szCs w:val="21"/>
          <w:highlight w:val="none"/>
          <w14:textFill>
            <w14:solidFill>
              <w14:schemeClr w14:val="tx1"/>
            </w14:solidFill>
          </w14:textFill>
        </w:rPr>
        <w:t>林敬、李艳辉</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吴淑君</w:t>
      </w:r>
      <w:r>
        <w:rPr>
          <w:rFonts w:hint="eastAsia" w:ascii="宋体" w:hAnsi="宋体" w:eastAsia="宋体" w:cs="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（2）福建省闽建工程造价咨询有限公司  郑宇；</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（3）厦门磐坚工程管理有限公司  曾聪田</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 w:val="21"/>
          <w:szCs w:val="21"/>
          <w:highlight w:val="none"/>
          <w:lang w:eastAsia="zh-CN"/>
          <w14:textFill>
            <w14:solidFill>
              <w14:schemeClr w14:val="tx1"/>
            </w14:solidFill>
          </w14:textFill>
        </w:rPr>
        <w:t>）福建中融合项目管理有限公司</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 xml:space="preserve">  叶俊斌。</w:t>
      </w:r>
    </w:p>
    <w:p>
      <w:pPr>
        <w:adjustRightInd/>
        <w:spacing w:after="0" w:line="440" w:lineRule="exact"/>
        <w:ind w:left="0" w:leftChars="0"/>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br w:type="page"/>
      </w:r>
    </w:p>
    <w:p>
      <w:pPr>
        <w:pStyle w:val="2"/>
        <w:adjustRightInd/>
        <w:spacing w:after="0" w:line="440" w:lineRule="exact"/>
        <w:ind w:left="0" w:leftChars="0"/>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p>
      <w:pPr>
        <w:spacing w:before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Style w:val="49"/>
          <w:rFonts w:ascii="黑体" w:hAnsi="黑体" w:eastAsia="黑体"/>
          <w:color w:val="000000" w:themeColor="text1"/>
          <w:sz w:val="28"/>
          <w:szCs w:val="28"/>
          <w:highlight w:val="none"/>
          <w:u w:val="single"/>
          <w14:textFill>
            <w14:solidFill>
              <w14:schemeClr w14:val="tx1"/>
            </w14:solidFill>
          </w14:textFill>
        </w:rPr>
        <w:footnoteReference w:id="0"/>
      </w:r>
      <w:r>
        <w:rPr>
          <w:rFonts w:hint="eastAsia" w:ascii="黑体" w:hAnsi="黑体" w:eastAsia="黑体"/>
          <w:color w:val="000000" w:themeColor="text1"/>
          <w:sz w:val="28"/>
          <w:szCs w:val="28"/>
          <w:highlight w:val="none"/>
          <w14:textFill>
            <w14:solidFill>
              <w14:schemeClr w14:val="tx1"/>
            </w14:solidFill>
          </w14:textFill>
        </w:rPr>
        <w:t>勘察招标</w:t>
      </w:r>
    </w:p>
    <w:p>
      <w:pPr>
        <w:spacing w:beforeLines="100" w:line="360" w:lineRule="auto"/>
        <w:jc w:val="center"/>
        <w:rPr>
          <w:rFonts w:ascii="宋体" w:hAnsi="宋体"/>
          <w:b/>
          <w:color w:val="000000" w:themeColor="text1"/>
          <w:sz w:val="72"/>
          <w:szCs w:val="72"/>
          <w:highlight w:val="none"/>
          <w14:textFill>
            <w14:solidFill>
              <w14:schemeClr w14:val="tx1"/>
            </w14:solidFill>
          </w14:textFill>
        </w:rPr>
      </w:pPr>
    </w:p>
    <w:p>
      <w:pPr>
        <w:spacing w:beforeLines="100" w:line="360" w:lineRule="auto"/>
        <w:jc w:val="center"/>
        <w:rPr>
          <w:rFonts w:ascii="宋体" w:hAnsi="宋体"/>
          <w:b/>
          <w:color w:val="000000" w:themeColor="text1"/>
          <w:sz w:val="72"/>
          <w:szCs w:val="72"/>
          <w:highlight w:val="none"/>
          <w14:textFill>
            <w14:solidFill>
              <w14:schemeClr w14:val="tx1"/>
            </w14:solidFill>
          </w14:textFill>
        </w:rPr>
      </w:pPr>
    </w:p>
    <w:p>
      <w:pPr>
        <w:spacing w:beforeLines="100" w:line="36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招 标 文 件</w:t>
      </w:r>
    </w:p>
    <w:p>
      <w:pPr>
        <w:pStyle w:val="15"/>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pPr>
        <w:pStyle w:val="15"/>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pPr>
        <w:pStyle w:val="15"/>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pPr>
        <w:pStyle w:val="15"/>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pPr>
        <w:pStyle w:val="15"/>
        <w:spacing w:before="120" w:after="120" w:line="360" w:lineRule="auto"/>
        <w:ind w:firstLine="0"/>
        <w:rPr>
          <w:rFonts w:ascii="宋体" w:hAnsi="宋体" w:eastAsia="宋体"/>
          <w:color w:val="000000" w:themeColor="text1"/>
          <w:sz w:val="28"/>
          <w:highlight w:val="none"/>
          <w14:textFill>
            <w14:solidFill>
              <w14:schemeClr w14:val="tx1"/>
            </w14:solidFill>
          </w14:textFill>
        </w:rPr>
      </w:pPr>
    </w:p>
    <w:p>
      <w:pPr>
        <w:pStyle w:val="15"/>
        <w:spacing w:beforeLines="50" w:afterLines="50" w:line="360" w:lineRule="auto"/>
        <w:ind w:firstLine="708" w:firstLineChars="253"/>
        <w:rPr>
          <w:rFonts w:ascii="黑体" w:hAnsi="黑体" w:eastAsia="黑体"/>
          <w:color w:val="000000" w:themeColor="text1"/>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报建编号：</w:t>
      </w:r>
      <w:r>
        <w:rPr>
          <w:rFonts w:hint="eastAsia" w:ascii="黑体" w:hAnsi="黑体" w:eastAsia="黑体"/>
          <w:color w:val="000000" w:themeColor="text1"/>
          <w:sz w:val="28"/>
          <w:highlight w:val="none"/>
          <w:u w:val="single"/>
          <w14:textFill>
            <w14:solidFill>
              <w14:schemeClr w14:val="tx1"/>
            </w14:solidFill>
          </w14:textFill>
        </w:rPr>
        <w:tab/>
      </w:r>
      <w:r>
        <w:rPr>
          <w:rFonts w:hint="eastAsia" w:ascii="黑体" w:hAnsi="黑体" w:eastAsia="黑体"/>
          <w:color w:val="000000" w:themeColor="text1"/>
          <w:sz w:val="28"/>
          <w:highlight w:val="none"/>
          <w:u w:val="single"/>
          <w14:textFill>
            <w14:solidFill>
              <w14:schemeClr w14:val="tx1"/>
            </w14:solidFill>
          </w14:textFill>
        </w:rPr>
        <w:t xml:space="preserve">                                       </w:t>
      </w:r>
    </w:p>
    <w:p>
      <w:pPr>
        <w:pStyle w:val="15"/>
        <w:spacing w:beforeLines="50" w:afterLines="50" w:line="360" w:lineRule="auto"/>
        <w:ind w:firstLine="708" w:firstLineChars="253"/>
        <w:rPr>
          <w:rFonts w:ascii="黑体" w:hAnsi="黑体" w:eastAsia="黑体"/>
          <w:color w:val="000000" w:themeColor="text1"/>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招标项目编号：</w:t>
      </w:r>
      <w:r>
        <w:rPr>
          <w:rFonts w:hint="eastAsia" w:ascii="黑体" w:hAnsi="黑体" w:eastAsia="黑体"/>
          <w:color w:val="000000" w:themeColor="text1"/>
          <w:sz w:val="28"/>
          <w:highlight w:val="none"/>
          <w:u w:val="single"/>
          <w14:textFill>
            <w14:solidFill>
              <w14:schemeClr w14:val="tx1"/>
            </w14:solidFill>
          </w14:textFill>
        </w:rPr>
        <w:t xml:space="preserve">                                      </w:t>
      </w:r>
    </w:p>
    <w:p>
      <w:pPr>
        <w:spacing w:beforeLines="50" w:afterLines="50" w:line="360" w:lineRule="auto"/>
        <w:ind w:firstLine="708" w:firstLineChars="253"/>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招标人：</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u w:val="single"/>
          <w14:textFill>
            <w14:solidFill>
              <w14:schemeClr w14:val="tx1"/>
            </w14:solidFill>
          </w14:textFill>
        </w:rPr>
        <w:t>（盖单位公章）</w:t>
      </w:r>
    </w:p>
    <w:p>
      <w:pPr>
        <w:spacing w:beforeLines="50" w:afterLines="50" w:line="360" w:lineRule="auto"/>
        <w:ind w:firstLine="708" w:firstLineChars="253"/>
        <w:rPr>
          <w:rFonts w:ascii="黑体" w:hAnsi="黑体" w:eastAsia="黑体"/>
          <w:color w:val="000000" w:themeColor="text1"/>
          <w:sz w:val="28"/>
          <w:szCs w:val="28"/>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招标代理机构：</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u w:val="single"/>
          <w14:textFill>
            <w14:solidFill>
              <w14:schemeClr w14:val="tx1"/>
            </w14:solidFill>
          </w14:textFill>
        </w:rPr>
        <w:t>（盖单位公章）</w:t>
      </w:r>
    </w:p>
    <w:p>
      <w:pPr>
        <w:spacing w:beforeLines="50" w:afterLines="50" w:line="360" w:lineRule="auto"/>
        <w:ind w:firstLine="708" w:firstLineChars="253"/>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编制日期：</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年</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月</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日</w:t>
      </w:r>
    </w:p>
    <w:p>
      <w:pPr>
        <w:spacing w:beforeLines="-2147483648" w:afterLines="-2147483648" w:line="240" w:lineRule="auto"/>
        <w:jc w:val="left"/>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br w:type="page"/>
      </w:r>
    </w:p>
    <w:p>
      <w:pPr>
        <w:spacing w:beforeLines="50" w:afterLines="50" w:line="36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目  录</w:t>
      </w:r>
    </w:p>
    <w:p>
      <w:pPr>
        <w:pStyle w:val="30"/>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fldChar w:fldCharType="begin"/>
      </w:r>
      <w:r>
        <w:rPr>
          <w:rFonts w:ascii="宋体" w:hAnsi="宋体"/>
          <w:b w:val="0"/>
          <w:color w:val="000000" w:themeColor="text1"/>
          <w:sz w:val="21"/>
          <w:szCs w:val="21"/>
          <w:highlight w:val="none"/>
          <w14:textFill>
            <w14:solidFill>
              <w14:schemeClr w14:val="tx1"/>
            </w14:solidFill>
          </w14:textFill>
        </w:rPr>
        <w:instrText xml:space="preserve"> TOC \o "1-3" \h \z \u </w:instrText>
      </w:r>
      <w:r>
        <w:rPr>
          <w:rFonts w:ascii="宋体" w:hAnsi="宋体"/>
          <w:b w:val="0"/>
          <w:color w:val="000000" w:themeColor="text1"/>
          <w:sz w:val="21"/>
          <w:szCs w:val="2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_Toc29216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highlight w:val="none"/>
          <w14:textFill>
            <w14:solidFill>
              <w14:schemeClr w14:val="tx1"/>
            </w14:solidFill>
          </w14:textFill>
        </w:rPr>
        <w:t>第一卷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_Toc29216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_Toc6386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第一章 招标公告/投标邀请书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_Toc6386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_Toc2431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28"/>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_Toc6601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1.招标条件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_Toc6601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_Toc26718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2.项目概况与招标范围</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_Toc26718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_Toc627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3.投标人资格要求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_Toc22051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4.招标文件的获取</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_Toc22051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_Toc6905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5.评标办法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_Toc6905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_Toc23475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6.定标</w:t>
      </w:r>
      <w:r>
        <w:rPr>
          <w:rFonts w:hint="eastAsia" w:ascii="宋体" w:hAnsi="宋体" w:eastAsia="宋体" w:cs="宋体"/>
          <w:color w:val="000000" w:themeColor="text1"/>
          <w:szCs w:val="28"/>
          <w:highlight w:val="none"/>
          <w:lang w:val="en-US" w:eastAsia="zh-CN"/>
          <w14:textFill>
            <w14:solidFill>
              <w14:schemeClr w14:val="tx1"/>
            </w14:solidFill>
          </w14:textFill>
        </w:rPr>
        <w:t>方</w:t>
      </w:r>
      <w:r>
        <w:rPr>
          <w:rFonts w:hint="eastAsia" w:ascii="宋体" w:hAnsi="宋体" w:eastAsia="宋体" w:cs="宋体"/>
          <w:color w:val="000000" w:themeColor="text1"/>
          <w:szCs w:val="28"/>
          <w:highlight w:val="none"/>
          <w14:textFill>
            <w14:solidFill>
              <w14:schemeClr w14:val="tx1"/>
            </w14:solidFill>
          </w14:textFill>
        </w:rPr>
        <w:t>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_Toc23475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_Toc16131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7.投标保证金的</w:t>
      </w:r>
      <w:r>
        <w:rPr>
          <w:rFonts w:hint="eastAsia" w:ascii="宋体" w:hAnsi="宋体" w:eastAsia="宋体" w:cs="宋体"/>
          <w:color w:val="000000" w:themeColor="text1"/>
          <w:szCs w:val="28"/>
          <w:highlight w:val="none"/>
          <w:lang w:eastAsia="zh-CN"/>
          <w14:textFill>
            <w14:solidFill>
              <w14:schemeClr w14:val="tx1"/>
            </w14:solidFill>
          </w14:textFill>
        </w:rPr>
        <w:t>递交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_Toc16131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_Toc27398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8.投标文件的递交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_Toc27398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_Toc20947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9.发布公告的媒体</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_Toc20947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_Toc22235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10.联系方式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_Toc22235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_Toc28072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28"/>
          <w:highlight w:val="none"/>
          <w14:textFill>
            <w14:solidFill>
              <w14:schemeClr w14:val="tx1"/>
            </w14:solidFill>
          </w14:textFill>
        </w:rPr>
        <w:t>第一章 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_Toc28072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1.招标条件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_Toc9036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2.项目概况与招标范围</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_Toc9036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_Toc15433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3.投标人资格要求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_Toc15433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_Toc29461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4.招标文件的获取</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_Toc29461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_Toc1493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5.评标办法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_Toc1493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_Toc13021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6.定标</w:t>
      </w:r>
      <w:r>
        <w:rPr>
          <w:rFonts w:hint="eastAsia" w:ascii="宋体" w:hAnsi="宋体" w:eastAsia="宋体" w:cs="宋体"/>
          <w:color w:val="000000" w:themeColor="text1"/>
          <w:szCs w:val="28"/>
          <w:highlight w:val="none"/>
          <w:lang w:val="en-US" w:eastAsia="zh-CN"/>
          <w14:textFill>
            <w14:solidFill>
              <w14:schemeClr w14:val="tx1"/>
            </w14:solidFill>
          </w14:textFill>
        </w:rPr>
        <w:t>方</w:t>
      </w:r>
      <w:r>
        <w:rPr>
          <w:rFonts w:hint="eastAsia" w:ascii="宋体" w:hAnsi="宋体" w:eastAsia="宋体" w:cs="宋体"/>
          <w:color w:val="000000" w:themeColor="text1"/>
          <w:szCs w:val="28"/>
          <w:highlight w:val="none"/>
          <w14:textFill>
            <w14:solidFill>
              <w14:schemeClr w14:val="tx1"/>
            </w14:solidFill>
          </w14:textFill>
        </w:rPr>
        <w:t>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_Toc13021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_Toc7136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7.投标保证金的</w:t>
      </w:r>
      <w:r>
        <w:rPr>
          <w:rFonts w:hint="eastAsia" w:ascii="宋体" w:hAnsi="宋体" w:eastAsia="宋体" w:cs="宋体"/>
          <w:color w:val="000000" w:themeColor="text1"/>
          <w:szCs w:val="28"/>
          <w:highlight w:val="none"/>
          <w:lang w:eastAsia="zh-CN"/>
          <w14:textFill>
            <w14:solidFill>
              <w14:schemeClr w14:val="tx1"/>
            </w14:solidFill>
          </w14:textFill>
        </w:rPr>
        <w:t>递交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_Toc7136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_Toc28856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8.投标文件的递交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_Toc28856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_Toc25084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9.确认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_Toc25084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_Toc8314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10.联系方式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_Toc8314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_Toc18704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附件1-1：确认通知（格式）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_Toc18704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fldChar w:fldCharType="begin"/>
      </w:r>
      <w:r>
        <w:rPr>
          <w:rFonts w:hint="eastAsia" w:ascii="黑体" w:hAnsi="黑体" w:eastAsia="黑体" w:cs="黑体"/>
          <w:color w:val="000000" w:themeColor="text1"/>
          <w:szCs w:val="21"/>
          <w:highlight w:val="none"/>
          <w14:textFill>
            <w14:solidFill>
              <w14:schemeClr w14:val="tx1"/>
            </w14:solidFill>
          </w14:textFill>
        </w:rPr>
        <w:instrText xml:space="preserve"> HYPERLINK \l _Toc4682 </w:instrText>
      </w:r>
      <w:r>
        <w:rPr>
          <w:rFonts w:hint="eastAsia" w:ascii="黑体" w:hAnsi="黑体" w:eastAsia="黑体" w:cs="黑体"/>
          <w:color w:val="000000" w:themeColor="text1"/>
          <w:szCs w:val="21"/>
          <w:highlight w:val="none"/>
          <w14:textFill>
            <w14:solidFill>
              <w14:schemeClr w14:val="tx1"/>
            </w14:solidFill>
          </w14:textFill>
        </w:rPr>
        <w:fldChar w:fldCharType="separate"/>
      </w:r>
      <w:r>
        <w:rPr>
          <w:rFonts w:hint="eastAsia" w:ascii="黑体" w:hAnsi="黑体" w:eastAsia="黑体" w:cs="黑体"/>
          <w:color w:val="000000" w:themeColor="text1"/>
          <w:szCs w:val="44"/>
          <w:highlight w:val="none"/>
          <w14:textFill>
            <w14:solidFill>
              <w14:schemeClr w14:val="tx1"/>
            </w14:solidFill>
          </w14:textFill>
        </w:rPr>
        <w:t>第二章 投标人须知</w:t>
      </w:r>
      <w:r>
        <w:rPr>
          <w:rFonts w:hint="eastAsia" w:ascii="黑体" w:hAnsi="黑体" w:eastAsia="黑体" w:cs="黑体"/>
          <w:color w:val="000000" w:themeColor="text1"/>
          <w:highlight w:val="none"/>
          <w14:textFill>
            <w14:solidFill>
              <w14:schemeClr w14:val="tx1"/>
            </w14:solidFill>
          </w14:textFill>
        </w:rPr>
        <w:tab/>
      </w:r>
      <w:r>
        <w:rPr>
          <w:rFonts w:hint="eastAsia" w:ascii="黑体" w:hAnsi="黑体" w:eastAsia="黑体" w:cs="黑体"/>
          <w:color w:val="000000" w:themeColor="text1"/>
          <w:highlight w:val="none"/>
          <w14:textFill>
            <w14:solidFill>
              <w14:schemeClr w14:val="tx1"/>
            </w14:solidFill>
          </w14:textFill>
        </w:rPr>
        <w:fldChar w:fldCharType="begin"/>
      </w:r>
      <w:r>
        <w:rPr>
          <w:rFonts w:hint="eastAsia" w:ascii="黑体" w:hAnsi="黑体" w:eastAsia="黑体" w:cs="黑体"/>
          <w:color w:val="000000" w:themeColor="text1"/>
          <w:highlight w:val="none"/>
          <w14:textFill>
            <w14:solidFill>
              <w14:schemeClr w14:val="tx1"/>
            </w14:solidFill>
          </w14:textFill>
        </w:rPr>
        <w:instrText xml:space="preserve"> PAGEREF _Toc4682 </w:instrText>
      </w:r>
      <w:r>
        <w:rPr>
          <w:rFonts w:hint="eastAsia" w:ascii="黑体" w:hAnsi="黑体" w:eastAsia="黑体" w:cs="黑体"/>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highlight w:val="none"/>
          <w14:textFill>
            <w14:solidFill>
              <w14:schemeClr w14:val="tx1"/>
            </w14:solidFill>
          </w14:textFill>
        </w:rPr>
        <w:t>12</w:t>
      </w:r>
      <w:r>
        <w:rPr>
          <w:rFonts w:hint="eastAsia" w:ascii="黑体" w:hAnsi="黑体" w:eastAsia="黑体" w:cs="黑体"/>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_Toc24607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_Toc24607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_Toc25288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投标人须知前附表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_Toc25288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_Toc22948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附录1：资格审查条件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_Toc22948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_Toc6530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投标人须知正文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_Toc6530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_Toc4491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1.总则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_Toc4491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_Toc25462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1.1.招标项目概况</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_Toc25462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_Toc23764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1.2.招标项目的资金来源和落实情况</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_Toc23764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_Toc13405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1.3.招标范围与内容、勘察服务期限和质量标准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_Toc13405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_Toc17962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1.4.资格审查方式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_Toc17962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_Toc10864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1.5.投标人资格条件要求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_Toc10864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_Toc15371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1.6.费用承担</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_Toc15371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_Toc27046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1.7.保密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_Toc27046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_Toc8318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1.8.语言及度量衡单位</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_Toc8318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_Toc18474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1.9.踏勘现场和标前会议</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_Toc18474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_Toc2809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1.10.勘察成果质量要求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_Toc2809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_Toc31176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2.招标文件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_Toc31176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_Toc6551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2.1.招标文件的组成</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_Toc6551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_Toc32677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2.2.招标文件的澄清</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_Toc32677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_Toc7806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2.3.招标文件的修改、补充</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_Toc7806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_Toc10906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2.4.招标文件异议处理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_Toc10906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_Toc31041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3.投标文件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_Toc31041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_Toc28039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3.1.投标文件的组成</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_Toc28039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_Toc1141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3.2.最高投标报价限价与投标报价</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_Toc1141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_Toc26392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3.3.投标有效期</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_Toc26392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_Toc216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3.4.投标保证金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_Toc1744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3.5.备选投标方案</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_Toc3929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3.6.投标文件的编制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_Toc3929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_Toc19304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4.投标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_Toc19304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_Toc2154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4.1.投标文件的加密和标识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_Toc18501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4.2.投标文件的递交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_Toc18501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_Toc1217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4.3.投标文件的补充、修改与撤回</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_Toc30995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_Toc30995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_Toc13306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5.1.开标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_Toc13306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_Toc18039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6.评标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_Toc18039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_Toc10675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w:t>
      </w:r>
      <w:r>
        <w:rPr>
          <w:rFonts w:hint="eastAsia" w:ascii="宋体" w:hAnsi="宋体" w:eastAsia="宋体" w:cs="宋体"/>
          <w:color w:val="000000" w:themeColor="text1"/>
          <w:szCs w:val="28"/>
          <w:highlight w:val="none"/>
          <w:lang w:val="en-US" w:eastAsia="zh-CN"/>
          <w14:textFill>
            <w14:solidFill>
              <w14:schemeClr w14:val="tx1"/>
            </w14:solidFill>
          </w14:textFill>
        </w:rPr>
        <w:t>1</w:t>
      </w:r>
      <w:r>
        <w:rPr>
          <w:rFonts w:hint="eastAsia" w:ascii="宋体" w:hAnsi="宋体" w:eastAsia="宋体" w:cs="宋体"/>
          <w:color w:val="000000" w:themeColor="text1"/>
          <w:szCs w:val="28"/>
          <w:highlight w:val="none"/>
          <w14:textFill>
            <w14:solidFill>
              <w14:schemeClr w14:val="tx1"/>
            </w14:solidFill>
          </w14:textFill>
        </w:rPr>
        <w:t>.评标委员会</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_Toc10675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_Toc1300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6.</w:t>
      </w:r>
      <w:r>
        <w:rPr>
          <w:rFonts w:hint="eastAsia" w:ascii="宋体" w:hAnsi="宋体" w:eastAsia="宋体" w:cs="宋体"/>
          <w:color w:val="000000" w:themeColor="text1"/>
          <w:szCs w:val="28"/>
          <w:highlight w:val="none"/>
          <w:lang w:val="en-US" w:eastAsia="zh-CN"/>
          <w14:textFill>
            <w14:solidFill>
              <w14:schemeClr w14:val="tx1"/>
            </w14:solidFill>
          </w14:textFill>
        </w:rPr>
        <w:t>2</w:t>
      </w:r>
      <w:r>
        <w:rPr>
          <w:rFonts w:hint="eastAsia" w:ascii="宋体" w:hAnsi="宋体" w:eastAsia="宋体" w:cs="宋体"/>
          <w:color w:val="000000" w:themeColor="text1"/>
          <w:szCs w:val="28"/>
          <w:highlight w:val="none"/>
          <w14:textFill>
            <w14:solidFill>
              <w14:schemeClr w14:val="tx1"/>
            </w14:solidFill>
          </w14:textFill>
        </w:rPr>
        <w:t>.评标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_Toc1300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_Toc9250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7.清标、定标、中标与合同授予</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_Toc9250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_Toc12825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0"/>
          <w:szCs w:val="28"/>
          <w:highlight w:val="none"/>
          <w:lang w:val="zh-CN" w:eastAsia="zh-CN" w:bidi="ar-SA"/>
          <w14:textFill>
            <w14:solidFill>
              <w14:schemeClr w14:val="tx1"/>
            </w14:solidFill>
          </w14:textFill>
        </w:rPr>
        <w:t>7.1</w:t>
      </w:r>
      <w:r>
        <w:rPr>
          <w:rFonts w:hint="eastAsia" w:ascii="宋体" w:hAnsi="宋体" w:eastAsia="宋体" w:cs="宋体"/>
          <w:bCs/>
          <w:color w:val="000000" w:themeColor="text1"/>
          <w:kern w:val="0"/>
          <w:szCs w:val="28"/>
          <w:highlight w:val="none"/>
          <w:lang w:val="en-US" w:eastAsia="zh-CN" w:bidi="ar-SA"/>
          <w14:textFill>
            <w14:solidFill>
              <w14:schemeClr w14:val="tx1"/>
            </w14:solidFill>
          </w14:textFill>
        </w:rPr>
        <w:t>.清标小组</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_Toc12825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_Toc2753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7.2.定标委员会</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_Toc27980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7.3.定标方案</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_Toc27980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_Toc15535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7.4.中标候选人公示</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_Toc15535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_Toc31862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7.5.中标通知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_Toc31862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_Toc7949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w:t>
      </w:r>
      <w:r>
        <w:rPr>
          <w:rFonts w:hint="eastAsia" w:ascii="宋体" w:hAnsi="宋体" w:eastAsia="宋体" w:cs="宋体"/>
          <w:color w:val="000000" w:themeColor="text1"/>
          <w:szCs w:val="28"/>
          <w:highlight w:val="none"/>
          <w:lang w:val="en-US" w:eastAsia="zh-CN"/>
          <w14:textFill>
            <w14:solidFill>
              <w14:schemeClr w14:val="tx1"/>
            </w14:solidFill>
          </w14:textFill>
        </w:rPr>
        <w:t>6</w:t>
      </w:r>
      <w:r>
        <w:rPr>
          <w:rFonts w:hint="eastAsia" w:ascii="宋体" w:hAnsi="宋体" w:eastAsia="宋体" w:cs="宋体"/>
          <w:color w:val="000000" w:themeColor="text1"/>
          <w:szCs w:val="28"/>
          <w:highlight w:val="none"/>
          <w14:textFill>
            <w14:solidFill>
              <w14:schemeClr w14:val="tx1"/>
            </w14:solidFill>
          </w14:textFill>
        </w:rPr>
        <w:t>.履约保证金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_Toc7949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_Toc2038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7.7.</w:t>
      </w:r>
      <w:r>
        <w:rPr>
          <w:rFonts w:hint="eastAsia" w:ascii="宋体" w:hAnsi="宋体" w:eastAsia="宋体" w:cs="宋体"/>
          <w:color w:val="000000" w:themeColor="text1"/>
          <w:szCs w:val="28"/>
          <w:highlight w:val="none"/>
          <w14:textFill>
            <w14:solidFill>
              <w14:schemeClr w14:val="tx1"/>
            </w14:solidFill>
          </w14:textFill>
        </w:rPr>
        <w:t>签订合同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_Toc2038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_Toc14302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8.纪律和监督</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_Toc14302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_Toc1867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8.1.对招标人的纪律要求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_Toc5432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8.2.对投标人的纪律要求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_Toc5432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_Toc30559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8.3.对评标委员会、清标小组和定标委员会成员的纪律要求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_Toc30559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_Toc29206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8.4.</w:t>
      </w:r>
      <w:r>
        <w:rPr>
          <w:rFonts w:hint="eastAsia" w:ascii="宋体" w:hAnsi="宋体" w:eastAsia="宋体" w:cs="宋体"/>
          <w:bCs/>
          <w:color w:val="000000" w:themeColor="text1"/>
          <w:szCs w:val="28"/>
          <w:highlight w:val="none"/>
          <w:lang w:val="en-US" w:eastAsia="zh-CN" w:bidi="ar-SA"/>
          <w14:textFill>
            <w14:solidFill>
              <w14:schemeClr w14:val="tx1"/>
            </w14:solidFill>
          </w14:textFill>
        </w:rPr>
        <w:t>对与评标、清标和定标活动有关的工作人员的纪律要求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_Toc29206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_Toc4000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8.5.异议、投诉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_Toc4000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_Toc31330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9.其他须知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_Toc31330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_Toc27311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9.1.重新招标或经批准调整招标方式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_Toc27311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_Toc22527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9.2.电子招标投标要求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_Toc22527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_Toc9627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9.3.需要修改和补充的其他内容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_Toc9627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_Toc19344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：开标记录表（格式）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_Toc19344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_Toc32519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中标</w:t>
      </w:r>
      <w:r>
        <w:rPr>
          <w:rFonts w:hint="eastAsia" w:ascii="宋体" w:hAnsi="宋体" w:eastAsia="宋体" w:cs="宋体"/>
          <w:color w:val="000000" w:themeColor="text1"/>
          <w:szCs w:val="21"/>
          <w:highlight w:val="none"/>
          <w14:textFill>
            <w14:solidFill>
              <w14:schemeClr w14:val="tx1"/>
            </w14:solidFill>
          </w14:textFill>
        </w:rPr>
        <w:t>候选人公示（格式）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_Toc32519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_Toc16272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：中标结果公布（格式）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_Toc16272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_Toc19546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附件2-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：中标通知书（格式）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_Toc19546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_Toc23950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第三章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_Toc23950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fldChar w:fldCharType="begin"/>
      </w:r>
      <w:r>
        <w:rPr>
          <w:rFonts w:hint="eastAsia" w:ascii="黑体" w:hAnsi="黑体" w:eastAsia="黑体" w:cs="黑体"/>
          <w:color w:val="000000" w:themeColor="text1"/>
          <w:szCs w:val="21"/>
          <w:highlight w:val="none"/>
          <w14:textFill>
            <w14:solidFill>
              <w14:schemeClr w14:val="tx1"/>
            </w14:solidFill>
          </w14:textFill>
        </w:rPr>
        <w:instrText xml:space="preserve"> HYPERLINK \l _Toc31141 </w:instrText>
      </w:r>
      <w:r>
        <w:rPr>
          <w:rFonts w:hint="eastAsia" w:ascii="黑体" w:hAnsi="黑体" w:eastAsia="黑体" w:cs="黑体"/>
          <w:color w:val="000000" w:themeColor="text1"/>
          <w:szCs w:val="21"/>
          <w:highlight w:val="none"/>
          <w14:textFill>
            <w14:solidFill>
              <w14:schemeClr w14:val="tx1"/>
            </w14:solidFill>
          </w14:textFill>
        </w:rPr>
        <w:fldChar w:fldCharType="separate"/>
      </w:r>
      <w:r>
        <w:rPr>
          <w:rFonts w:hint="eastAsia" w:ascii="黑体" w:hAnsi="黑体" w:eastAsia="黑体" w:cs="黑体"/>
          <w:color w:val="000000" w:themeColor="text1"/>
          <w:szCs w:val="28"/>
          <w:highlight w:val="none"/>
          <w14:textFill>
            <w14:solidFill>
              <w14:schemeClr w14:val="tx1"/>
            </w14:solidFill>
          </w14:textFill>
        </w:rPr>
        <w:t>第</w:t>
      </w:r>
      <w:r>
        <w:rPr>
          <w:rFonts w:hint="eastAsia" w:ascii="黑体" w:hAnsi="黑体" w:eastAsia="黑体" w:cs="黑体"/>
          <w:color w:val="000000" w:themeColor="text1"/>
          <w:szCs w:val="28"/>
          <w:highlight w:val="none"/>
          <w:lang w:val="en-US" w:eastAsia="zh-CN"/>
          <w14:textFill>
            <w14:solidFill>
              <w14:schemeClr w14:val="tx1"/>
            </w14:solidFill>
          </w14:textFill>
        </w:rPr>
        <w:t>三章</w:t>
      </w:r>
      <w:r>
        <w:rPr>
          <w:rFonts w:hint="eastAsia" w:ascii="黑体" w:hAnsi="黑体" w:eastAsia="黑体" w:cs="黑体"/>
          <w:color w:val="000000" w:themeColor="text1"/>
          <w:szCs w:val="28"/>
          <w:highlight w:val="none"/>
          <w14:textFill>
            <w14:solidFill>
              <w14:schemeClr w14:val="tx1"/>
            </w14:solidFill>
          </w14:textFill>
        </w:rPr>
        <w:t xml:space="preserve"> 评标办法</w:t>
      </w:r>
      <w:r>
        <w:rPr>
          <w:rFonts w:hint="eastAsia" w:ascii="黑体" w:hAnsi="黑体" w:eastAsia="黑体" w:cs="黑体"/>
          <w:color w:val="000000" w:themeColor="text1"/>
          <w:highlight w:val="none"/>
          <w14:textFill>
            <w14:solidFill>
              <w14:schemeClr w14:val="tx1"/>
            </w14:solidFill>
          </w14:textFill>
        </w:rPr>
        <w:tab/>
      </w:r>
      <w:r>
        <w:rPr>
          <w:rFonts w:hint="eastAsia" w:ascii="黑体" w:hAnsi="黑体" w:eastAsia="黑体" w:cs="黑体"/>
          <w:color w:val="000000" w:themeColor="text1"/>
          <w:highlight w:val="none"/>
          <w14:textFill>
            <w14:solidFill>
              <w14:schemeClr w14:val="tx1"/>
            </w14:solidFill>
          </w14:textFill>
        </w:rPr>
        <w:fldChar w:fldCharType="begin"/>
      </w:r>
      <w:r>
        <w:rPr>
          <w:rFonts w:hint="eastAsia" w:ascii="黑体" w:hAnsi="黑体" w:eastAsia="黑体" w:cs="黑体"/>
          <w:color w:val="000000" w:themeColor="text1"/>
          <w:highlight w:val="none"/>
          <w14:textFill>
            <w14:solidFill>
              <w14:schemeClr w14:val="tx1"/>
            </w14:solidFill>
          </w14:textFill>
        </w:rPr>
        <w:instrText xml:space="preserve"> PAGEREF _Toc31141 </w:instrText>
      </w:r>
      <w:r>
        <w:rPr>
          <w:rFonts w:hint="eastAsia" w:ascii="黑体" w:hAnsi="黑体" w:eastAsia="黑体" w:cs="黑体"/>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highlight w:val="none"/>
          <w14:textFill>
            <w14:solidFill>
              <w14:schemeClr w14:val="tx1"/>
            </w14:solidFill>
          </w14:textFill>
        </w:rPr>
        <w:t>48</w:t>
      </w:r>
      <w:r>
        <w:rPr>
          <w:rFonts w:hint="eastAsia" w:ascii="黑体" w:hAnsi="黑体" w:eastAsia="黑体" w:cs="黑体"/>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_Toc27739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评标办法前附表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_Toc27739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_Toc12530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评标办法正文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_Toc12530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_Toc21903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1.评标方法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_Toc21903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_Toc519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2.评标程序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_Toc519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_Toc8683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3.评标委员会的组建及职责</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_Toc8683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_Toc10160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4.评标前准备工作</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_Toc10160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_Toc22215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5.资格审查及确定入围投标人</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_Toc22215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_Toc5628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6</w:t>
      </w:r>
      <w:r>
        <w:rPr>
          <w:rFonts w:hint="eastAsia" w:ascii="宋体" w:hAnsi="宋体" w:eastAsia="宋体" w:cs="宋体"/>
          <w:color w:val="000000" w:themeColor="text1"/>
          <w:szCs w:val="28"/>
          <w:highlight w:val="none"/>
          <w14:textFill>
            <w14:solidFill>
              <w14:schemeClr w14:val="tx1"/>
            </w14:solidFill>
          </w14:textFill>
        </w:rPr>
        <w:t>.</w:t>
      </w:r>
      <w:r>
        <w:rPr>
          <w:rFonts w:hint="eastAsia" w:ascii="宋体" w:hAnsi="宋体" w:eastAsia="宋体" w:cs="宋体"/>
          <w:color w:val="000000" w:themeColor="text1"/>
          <w:szCs w:val="28"/>
          <w:highlight w:val="none"/>
          <w:lang w:val="en-US" w:eastAsia="zh-CN"/>
          <w14:textFill>
            <w14:solidFill>
              <w14:schemeClr w14:val="tx1"/>
            </w14:solidFill>
          </w14:textFill>
        </w:rPr>
        <w:t>定性评审</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_Toc5628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_Toc2528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7.提交评标报告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_Toc5333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lang w:val="en-US" w:eastAsia="zh-CN" w:bidi="ar-SA"/>
          <w14:textFill>
            <w14:solidFill>
              <w14:schemeClr w14:val="tx1"/>
            </w14:solidFill>
          </w14:textFill>
        </w:rPr>
        <w:t>8.评标报告的审查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_Toc5333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_Toc3717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val="en-US" w:eastAsia="zh-CN"/>
          <w14:textFill>
            <w14:solidFill>
              <w14:schemeClr w14:val="tx1"/>
            </w14:solidFill>
          </w14:textFill>
        </w:rPr>
        <w:t>9</w:t>
      </w:r>
      <w:r>
        <w:rPr>
          <w:rFonts w:hint="eastAsia" w:ascii="宋体" w:hAnsi="宋体" w:eastAsia="宋体" w:cs="宋体"/>
          <w:color w:val="000000" w:themeColor="text1"/>
          <w:szCs w:val="28"/>
          <w:highlight w:val="none"/>
          <w14:textFill>
            <w14:solidFill>
              <w14:schemeClr w14:val="tx1"/>
            </w14:solidFill>
          </w14:textFill>
        </w:rPr>
        <w:t>.附则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_Toc3717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_Toc9853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eastAsia="zh-CN" w:bidi="ar-SA"/>
          <w14:textFill>
            <w14:solidFill>
              <w14:schemeClr w14:val="tx1"/>
            </w14:solidFill>
          </w14:textFill>
        </w:rPr>
        <w:t>附件3-1：问题澄清通知（格式）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_Toc9853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_Toc4461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eastAsia="zh-CN" w:bidi="ar-SA"/>
          <w14:textFill>
            <w14:solidFill>
              <w14:schemeClr w14:val="tx1"/>
            </w14:solidFill>
          </w14:textFill>
        </w:rPr>
        <w:t>附件3-2：问题的澄清（格式）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_Toc4461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_Toc12868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第四章 定标</w:t>
      </w:r>
      <w:r>
        <w:rPr>
          <w:rFonts w:hint="eastAsia" w:ascii="黑体" w:hAnsi="黑体" w:eastAsia="黑体"/>
          <w:color w:val="000000" w:themeColor="text1"/>
          <w:szCs w:val="44"/>
          <w:highlight w:val="none"/>
          <w:lang w:val="en-US" w:eastAsia="zh-CN"/>
          <w14:textFill>
            <w14:solidFill>
              <w14:schemeClr w14:val="tx1"/>
            </w14:solidFill>
          </w14:textFill>
        </w:rPr>
        <w:t>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_Toc12868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_Toc31806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s="黑体"/>
          <w:color w:val="000000" w:themeColor="text1"/>
          <w:szCs w:val="28"/>
          <w:highlight w:val="none"/>
          <w:lang w:val="en-US" w:eastAsia="zh-CN"/>
          <w14:textFill>
            <w14:solidFill>
              <w14:schemeClr w14:val="tx1"/>
            </w14:solidFill>
          </w14:textFill>
        </w:rPr>
        <w:t>第四章  定标方案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_Toc31806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_Toc25729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eastAsia="zh-CN"/>
          <w14:textFill>
            <w14:solidFill>
              <w14:schemeClr w14:val="tx1"/>
            </w14:solidFill>
          </w14:textFill>
        </w:rPr>
        <w:t>定标</w:t>
      </w:r>
      <w:r>
        <w:rPr>
          <w:rFonts w:hint="eastAsia" w:ascii="宋体" w:hAnsi="宋体" w:eastAsia="宋体" w:cs="宋体"/>
          <w:color w:val="000000" w:themeColor="text1"/>
          <w:szCs w:val="21"/>
          <w:highlight w:val="none"/>
          <w:lang w:val="en-US" w:eastAsia="zh-CN"/>
          <w14:textFill>
            <w14:solidFill>
              <w14:schemeClr w14:val="tx1"/>
            </w14:solidFill>
          </w14:textFill>
        </w:rPr>
        <w:t>方案</w:t>
      </w:r>
      <w:r>
        <w:rPr>
          <w:rFonts w:hint="eastAsia" w:ascii="宋体" w:hAnsi="宋体" w:eastAsia="宋体" w:cs="宋体"/>
          <w:color w:val="000000" w:themeColor="text1"/>
          <w:szCs w:val="21"/>
          <w:highlight w:val="none"/>
          <w:lang w:val="zh-CN" w:eastAsia="zh-CN"/>
          <w14:textFill>
            <w14:solidFill>
              <w14:schemeClr w14:val="tx1"/>
            </w14:solidFill>
          </w14:textFill>
        </w:rPr>
        <w:t>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_Toc25729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_Toc13841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1"/>
          <w:highlight w:val="none"/>
          <w:lang w:val="en-US" w:eastAsia="zh-CN" w:bidi="ar-SA"/>
          <w14:textFill>
            <w14:solidFill>
              <w14:schemeClr w14:val="tx1"/>
            </w14:solidFill>
          </w14:textFill>
        </w:rPr>
        <w:t>定标方案附件：</w:t>
      </w:r>
      <w:r>
        <w:rPr>
          <w:rFonts w:hint="eastAsia" w:ascii="宋体" w:hAnsi="宋体" w:eastAsia="宋体" w:cs="宋体"/>
          <w:color w:val="000000" w:themeColor="text1"/>
          <w:kern w:val="1"/>
          <w:szCs w:val="21"/>
          <w:highlight w:val="none"/>
          <w:lang w:val="en-US" w:eastAsia="zh-CN"/>
          <w14:textFill>
            <w14:solidFill>
              <w14:schemeClr w14:val="tx1"/>
            </w14:solidFill>
          </w14:textFill>
        </w:rPr>
        <w:t>报价要素评审标准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_Toc13841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_Toc19335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1"/>
          <w:highlight w:val="none"/>
          <w:lang w:val="en-US" w:eastAsia="zh-CN" w:bidi="ar-SA"/>
          <w14:textFill>
            <w14:solidFill>
              <w14:schemeClr w14:val="tx1"/>
            </w14:solidFill>
          </w14:textFill>
        </w:rPr>
        <w:t>定标方案附件</w:t>
      </w:r>
      <w:r>
        <w:rPr>
          <w:rFonts w:hint="eastAsia" w:ascii="宋体" w:hAnsi="宋体" w:eastAsia="宋体" w:cs="宋体"/>
          <w:color w:val="000000" w:themeColor="text1"/>
          <w:kern w:val="1"/>
          <w:szCs w:val="21"/>
          <w:highlight w:val="none"/>
          <w:lang w:val="en-US" w:eastAsia="zh-CN"/>
          <w14:textFill>
            <w14:solidFill>
              <w14:schemeClr w14:val="tx1"/>
            </w14:solidFill>
          </w14:textFill>
        </w:rPr>
        <w:t>：陈述答辩考核方案</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_Toc19335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_Toc12579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定标</w:t>
      </w:r>
      <w:r>
        <w:rPr>
          <w:rFonts w:hint="eastAsia" w:ascii="宋体" w:hAnsi="宋体" w:eastAsia="宋体" w:cs="宋体"/>
          <w:color w:val="000000" w:themeColor="text1"/>
          <w:kern w:val="1"/>
          <w:szCs w:val="28"/>
          <w:highlight w:val="none"/>
          <w:lang w:val="en-US" w:eastAsia="zh-CN"/>
          <w14:textFill>
            <w14:solidFill>
              <w14:schemeClr w14:val="tx1"/>
            </w14:solidFill>
          </w14:textFill>
        </w:rPr>
        <w:t>方案</w:t>
      </w:r>
      <w:r>
        <w:rPr>
          <w:rFonts w:hint="eastAsia" w:ascii="宋体" w:hAnsi="宋体" w:eastAsia="宋体" w:cs="宋体"/>
          <w:color w:val="000000" w:themeColor="text1"/>
          <w:kern w:val="1"/>
          <w:szCs w:val="28"/>
          <w:highlight w:val="none"/>
          <w:lang w:val="zh-CN"/>
          <w14:textFill>
            <w14:solidFill>
              <w14:schemeClr w14:val="tx1"/>
            </w14:solidFill>
          </w14:textFill>
        </w:rPr>
        <w:t>正文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_Toc12579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1.</w:t>
      </w:r>
      <w:r>
        <w:rPr>
          <w:rFonts w:hint="eastAsia" w:ascii="宋体" w:hAnsi="宋体" w:eastAsia="宋体" w:cs="宋体"/>
          <w:color w:val="000000" w:themeColor="text1"/>
          <w:kern w:val="1"/>
          <w:szCs w:val="28"/>
          <w:highlight w:val="none"/>
          <w:lang w:val="en-US" w:eastAsia="zh-CN"/>
          <w14:textFill>
            <w14:solidFill>
              <w14:schemeClr w14:val="tx1"/>
            </w14:solidFill>
          </w14:textFill>
        </w:rPr>
        <w:t>总则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_Toc30493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2.定标程序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_Toc30493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_Toc12442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zh-CN"/>
          <w14:textFill>
            <w14:solidFill>
              <w14:schemeClr w14:val="tx1"/>
            </w14:solidFill>
          </w14:textFill>
        </w:rPr>
        <w:t>3.</w:t>
      </w:r>
      <w:r>
        <w:rPr>
          <w:rFonts w:hint="eastAsia" w:ascii="宋体" w:hAnsi="宋体" w:eastAsia="宋体" w:cs="宋体"/>
          <w:color w:val="000000" w:themeColor="text1"/>
          <w:kern w:val="1"/>
          <w:szCs w:val="28"/>
          <w:highlight w:val="none"/>
          <w:lang w:val="en-US" w:eastAsia="zh-CN"/>
          <w14:textFill>
            <w14:solidFill>
              <w14:schemeClr w14:val="tx1"/>
            </w14:solidFill>
          </w14:textFill>
        </w:rPr>
        <w:t>清标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_Toc12442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_Toc17261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en-US" w:eastAsia="zh-CN"/>
          <w14:textFill>
            <w14:solidFill>
              <w14:schemeClr w14:val="tx1"/>
            </w14:solidFill>
          </w14:textFill>
        </w:rPr>
        <w:t>4</w:t>
      </w:r>
      <w:r>
        <w:rPr>
          <w:rFonts w:hint="eastAsia" w:ascii="宋体" w:hAnsi="宋体" w:eastAsia="宋体" w:cs="宋体"/>
          <w:color w:val="000000" w:themeColor="text1"/>
          <w:kern w:val="1"/>
          <w:szCs w:val="28"/>
          <w:highlight w:val="none"/>
          <w:lang w:val="zh-CN"/>
          <w14:textFill>
            <w14:solidFill>
              <w14:schemeClr w14:val="tx1"/>
            </w14:solidFill>
          </w14:textFill>
        </w:rPr>
        <w:t>.</w:t>
      </w:r>
      <w:r>
        <w:rPr>
          <w:rFonts w:hint="eastAsia" w:ascii="宋体" w:hAnsi="宋体" w:eastAsia="宋体" w:cs="宋体"/>
          <w:color w:val="000000" w:themeColor="text1"/>
          <w:kern w:val="1"/>
          <w:szCs w:val="28"/>
          <w:highlight w:val="none"/>
          <w:lang w:val="en-US" w:eastAsia="zh-CN"/>
          <w14:textFill>
            <w14:solidFill>
              <w14:schemeClr w14:val="tx1"/>
            </w14:solidFill>
          </w14:textFill>
        </w:rPr>
        <w:t>定标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_Toc17261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_Toc18896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kern w:val="1"/>
          <w:szCs w:val="28"/>
          <w:highlight w:val="none"/>
          <w:lang w:val="en-US" w:eastAsia="zh-CN"/>
          <w14:textFill>
            <w14:solidFill>
              <w14:schemeClr w14:val="tx1"/>
            </w14:solidFill>
          </w14:textFill>
        </w:rPr>
        <w:t>5</w:t>
      </w:r>
      <w:r>
        <w:rPr>
          <w:rFonts w:hint="eastAsia" w:ascii="宋体" w:hAnsi="宋体" w:eastAsia="宋体" w:cs="宋体"/>
          <w:color w:val="000000" w:themeColor="text1"/>
          <w:kern w:val="1"/>
          <w:szCs w:val="28"/>
          <w:highlight w:val="none"/>
          <w:lang w:val="zh-CN"/>
          <w14:textFill>
            <w14:solidFill>
              <w14:schemeClr w14:val="tx1"/>
            </w14:solidFill>
          </w14:textFill>
        </w:rPr>
        <w:t>.重新定标</w:t>
      </w:r>
      <w:r>
        <w:rPr>
          <w:rFonts w:hint="eastAsia" w:ascii="宋体" w:hAnsi="宋体" w:eastAsia="宋体" w:cs="宋体"/>
          <w:color w:val="000000" w:themeColor="text1"/>
          <w:kern w:val="1"/>
          <w:szCs w:val="28"/>
          <w:highlight w:val="none"/>
          <w:lang w:val="en-US" w:eastAsia="zh-CN"/>
          <w14:textFill>
            <w14:solidFill>
              <w14:schemeClr w14:val="tx1"/>
            </w14:solidFill>
          </w14:textFill>
        </w:rPr>
        <w:t>与重新招标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_Toc18896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_Toc4419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第五章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_Toc4419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_Toc9606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第一节 合同协议书</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_Toc9606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_Toc31129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一、工程概况</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_Toc31129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_Toc6336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二、勘察范围和阶段、技术要求及工作量</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_Toc6336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_Toc16219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三、合同工期</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_Toc16219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_Toc31944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四、质量标准</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_Toc31944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_Toc14454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五、合同价款</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_Toc14454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_Toc21115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六、合同文件构成</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_Toc21115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_Toc25196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七、承诺</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_Toc25196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_Toc2310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八、词语定义</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_Toc2310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_Toc166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九、签订时间</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_Toc166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_Toc19311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十、签订地点</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_Toc19311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_Toc14916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十一、合同生效</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_Toc14916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_Toc5034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十二、合同份数</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_Toc5034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_Toc7030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第二节 通用合同条款</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_Toc7030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_Toc30471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1.1 词语定义</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_Toc30471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_Toc16041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1.2 合同文件及优先解释顺序</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_Toc16041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74</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_Toc32558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1.3 适用法律法规、技术标准</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_Toc32558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74</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_Toc17421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1.4 语言文字</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_Toc17421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_Toc15383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1.5 联络</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_Toc15383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_Toc12853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1.6 严禁贿赂</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_Toc12853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_Toc24216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1.7 保密</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_Toc24216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_Toc28906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2.1 发包人权利</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_Toc28906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_Toc26746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2.2 发包人义务</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_Toc26746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_Toc22373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2.3 发包人代表</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_Toc22373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76</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_Toc9792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3.1 勘察人权利</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_Toc9792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76</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_Toc20877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3.2 勘察人义务</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_Toc20877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76</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_Toc2042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3.3 勘察人代表</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_Toc2042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77</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_Toc31724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4.1 开工及延期开工</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_Toc31724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77</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_Toc23001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4.2 成果提交日期</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_Toc23001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77</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_Toc21619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4.3 发包人造成的工期延误</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_Toc21619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77</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_Toc8815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4.4 勘察人造成的工期延误</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_Toc8815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77</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_Toc20045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4.5 恶劣气候条件</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_Toc20045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78</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_Toc23471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5.1 成果质量</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_Toc23471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78</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_Toc18760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5.2 成果份数</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_Toc18760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78</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_Toc9515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5.4 成果验收</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_Toc9515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78</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_Toc12712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6.1 后续技术服务</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_Toc12712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78</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_Toc16686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6.2 竣工验收</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_Toc16686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78</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_Toc29529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 合同价款与调整</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_Toc29529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78</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_Toc31638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7.2 定金或预付款</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_Toc31638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79</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_Toc980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7.3 进度款支付</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_Toc980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79</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_Toc20644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7.4 合同价款结算</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_Toc20644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79</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_Toc8264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8.1 变更范围与确认</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_Toc8264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79</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_Toc6934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8.2 变更合同价款确定</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_Toc6934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80</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_Toc2479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10.1 不可抗力的确认</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_Toc2479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10.2 不可抗力的通知</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_Toc3144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_Toc5891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10.3 不可抗力后果的承担</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_Toc5891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_Toc28282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14.1 发包人违约</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_Toc28282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82</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_Toc29430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14.2 勘察人违约</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_Toc29430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83</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16.1 和解</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_Toc2806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84</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_Toc15561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16.2 调解</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_Toc15561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84</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_Toc15180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16.3 仲裁或诉讼</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_Toc15180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84</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_Toc16256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第三节 专用合同条款</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PAGEREF _Toc16256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85</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_Toc16537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第1条 一般约定</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_Toc16537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_Toc11617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1.1 词语定义：</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_Toc11617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_Toc2882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1.2 合同文件及优先解释顺序</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_Toc2882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_Toc26532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1.3 适用法律法规、技术标准</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_Toc26532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_Toc2141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1.4 语言文字</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_Toc2141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_Toc31938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1.5 联络</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_Toc31938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_Toc19970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1.7 保密</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_Toc19970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_Toc5559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第2条 发包人</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_Toc5559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_Toc16031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2.2 发包人义务</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_Toc16031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_Toc28223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2.3 发包人代表</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_Toc28223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86</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_Toc8453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第3条 勘察人</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_Toc8453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86</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_Toc16816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3.1 勘察人权利</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_Toc16816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86</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_Toc31467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3.3 勘察人代表</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_Toc31467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86</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_Toc27379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第4条 工期</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_Toc27379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86</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_Toc16221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4.2成果提交日期</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_Toc16221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_Toc11659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4.3 发包人造成的工期延误</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_Toc11659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_Toc21999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第5条 成果资料</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_Toc21999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_Toc9323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5.2 成果份数</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_Toc9323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_Toc16560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5.4 成果验收</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_Toc16560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_Toc30888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第6条 后期服务</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_Toc30888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_Toc9894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6.1 后续技术服务</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_Toc9894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_Toc30348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第7条 合同价款与支付</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_Toc30348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_Toc3496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7.1 合同价款与调整</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_Toc3496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87</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_Toc22296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7.2 定金或预付款</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_Toc22296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88</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_Toc9456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7.3 进度款支付</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_Toc9456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88</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_Toc31137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7.4 合同价款结算</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_Toc31137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88</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_Toc19154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第8条 变更与调整</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_Toc19154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88</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_Toc2982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8.2 变更合同价款确定</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_Toc2982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89</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_Toc1380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第9条 知识产权</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_Toc1380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89</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_Toc5933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第10条 不可抗力</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_Toc5933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89</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_Toc2485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第13条 责任与保险</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_Toc2485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89</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_Toc2980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第14条 违约</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_Toc2980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89</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_Toc17840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14.1 发包人违约</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_Toc17840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90</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_Toc12983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第15条 索赔</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_Toc12983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90</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_Toc18959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15.1 发包人索赔</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_Toc18959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90</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_Toc6379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15.2 勘察人索赔</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_Toc6379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90</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_Toc28672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第16条 争议解决</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_Toc28672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90</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_Toc1006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16.3 仲裁或诉讼</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_Toc1006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90</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_Toc24930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第17条 补充条款</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_Toc24930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91</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0"/>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HYPERLINK \l _Toc32702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color w:val="000000" w:themeColor="text1"/>
          <w:kern w:val="0"/>
          <w:sz w:val="21"/>
          <w:szCs w:val="21"/>
          <w:highlight w:val="none"/>
          <w14:textFill>
            <w14:solidFill>
              <w14:schemeClr w14:val="tx1"/>
            </w14:solidFill>
          </w14:textFill>
        </w:rPr>
        <w:t>附件5-1：勘察任务书及技术要求</w:t>
      </w:r>
      <w:r>
        <w:rPr>
          <w:rFonts w:hint="eastAsia" w:ascii="宋体" w:hAnsi="宋体" w:cs="宋体"/>
          <w:b w:val="0"/>
          <w:bCs/>
          <w:color w:val="000000" w:themeColor="text1"/>
          <w:sz w:val="21"/>
          <w:szCs w:val="21"/>
          <w:highlight w:val="none"/>
          <w14:textFill>
            <w14:solidFill>
              <w14:schemeClr w14:val="tx1"/>
            </w14:solidFill>
          </w14:textFill>
        </w:rPr>
        <w:tab/>
      </w: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PAGEREF _Toc32702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cs="宋体"/>
          <w:b w:val="0"/>
          <w:bCs/>
          <w:color w:val="000000" w:themeColor="text1"/>
          <w:sz w:val="21"/>
          <w:szCs w:val="21"/>
          <w:highlight w:val="none"/>
          <w14:textFill>
            <w14:solidFill>
              <w14:schemeClr w14:val="tx1"/>
            </w14:solidFill>
          </w14:textFill>
        </w:rPr>
        <w:t>92</w:t>
      </w:r>
      <w:r>
        <w:rPr>
          <w:rFonts w:hint="eastAsia" w:ascii="宋体" w:hAnsi="宋体" w:cs="宋体"/>
          <w:b w:val="0"/>
          <w:bCs/>
          <w:color w:val="000000" w:themeColor="text1"/>
          <w:sz w:val="21"/>
          <w:szCs w:val="21"/>
          <w:highlight w:val="none"/>
          <w14:textFill>
            <w14:solidFill>
              <w14:schemeClr w14:val="tx1"/>
            </w14:solidFill>
          </w14:textFill>
        </w:rPr>
        <w:fldChar w:fldCharType="end"/>
      </w:r>
      <w:r>
        <w:rPr>
          <w:rFonts w:hint="eastAsia" w:ascii="宋体" w:hAnsi="宋体" w:cs="宋体"/>
          <w:b w:val="0"/>
          <w:bCs/>
          <w:color w:val="000000" w:themeColor="text1"/>
          <w:sz w:val="21"/>
          <w:szCs w:val="21"/>
          <w:highlight w:val="none"/>
          <w14:textFill>
            <w14:solidFill>
              <w14:schemeClr w14:val="tx1"/>
            </w14:solidFill>
          </w14:textFill>
        </w:rPr>
        <w:fldChar w:fldCharType="end"/>
      </w:r>
    </w:p>
    <w:p>
      <w:pPr>
        <w:pStyle w:val="30"/>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HYPERLINK \l _Toc14647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color w:val="000000" w:themeColor="text1"/>
          <w:kern w:val="0"/>
          <w:sz w:val="21"/>
          <w:szCs w:val="21"/>
          <w:highlight w:val="none"/>
          <w14:textFill>
            <w14:solidFill>
              <w14:schemeClr w14:val="tx1"/>
            </w14:solidFill>
          </w14:textFill>
        </w:rPr>
        <w:t>附件5-2：发包人向勘察人提交有关资料及文件一览表</w:t>
      </w:r>
      <w:r>
        <w:rPr>
          <w:rFonts w:hint="eastAsia" w:ascii="宋体" w:hAnsi="宋体" w:cs="宋体"/>
          <w:b w:val="0"/>
          <w:bCs/>
          <w:color w:val="000000" w:themeColor="text1"/>
          <w:sz w:val="21"/>
          <w:szCs w:val="21"/>
          <w:highlight w:val="none"/>
          <w14:textFill>
            <w14:solidFill>
              <w14:schemeClr w14:val="tx1"/>
            </w14:solidFill>
          </w14:textFill>
        </w:rPr>
        <w:tab/>
      </w: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PAGEREF _Toc14647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cs="宋体"/>
          <w:b w:val="0"/>
          <w:bCs/>
          <w:color w:val="000000" w:themeColor="text1"/>
          <w:sz w:val="21"/>
          <w:szCs w:val="21"/>
          <w:highlight w:val="none"/>
          <w14:textFill>
            <w14:solidFill>
              <w14:schemeClr w14:val="tx1"/>
            </w14:solidFill>
          </w14:textFill>
        </w:rPr>
        <w:t>93</w:t>
      </w:r>
      <w:r>
        <w:rPr>
          <w:rFonts w:hint="eastAsia" w:ascii="宋体" w:hAnsi="宋体" w:cs="宋体"/>
          <w:b w:val="0"/>
          <w:bCs/>
          <w:color w:val="000000" w:themeColor="text1"/>
          <w:sz w:val="21"/>
          <w:szCs w:val="21"/>
          <w:highlight w:val="none"/>
          <w14:textFill>
            <w14:solidFill>
              <w14:schemeClr w14:val="tx1"/>
            </w14:solidFill>
          </w14:textFill>
        </w:rPr>
        <w:fldChar w:fldCharType="end"/>
      </w:r>
      <w:r>
        <w:rPr>
          <w:rFonts w:hint="eastAsia" w:ascii="宋体" w:hAnsi="宋体" w:cs="宋体"/>
          <w:b w:val="0"/>
          <w:bCs/>
          <w:color w:val="000000" w:themeColor="text1"/>
          <w:sz w:val="21"/>
          <w:szCs w:val="21"/>
          <w:highlight w:val="none"/>
          <w14:textFill>
            <w14:solidFill>
              <w14:schemeClr w14:val="tx1"/>
            </w14:solidFill>
          </w14:textFill>
        </w:rPr>
        <w:fldChar w:fldCharType="end"/>
      </w:r>
    </w:p>
    <w:p>
      <w:pPr>
        <w:pStyle w:val="30"/>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HYPERLINK \l _Toc25877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color w:val="000000" w:themeColor="text1"/>
          <w:kern w:val="0"/>
          <w:sz w:val="21"/>
          <w:szCs w:val="21"/>
          <w:highlight w:val="none"/>
          <w14:textFill>
            <w14:solidFill>
              <w14:schemeClr w14:val="tx1"/>
            </w14:solidFill>
          </w14:textFill>
        </w:rPr>
        <w:t>附件5-3：进度计划</w:t>
      </w:r>
      <w:r>
        <w:rPr>
          <w:rFonts w:hint="eastAsia" w:ascii="宋体" w:hAnsi="宋体" w:cs="宋体"/>
          <w:b w:val="0"/>
          <w:bCs/>
          <w:color w:val="000000" w:themeColor="text1"/>
          <w:sz w:val="21"/>
          <w:szCs w:val="21"/>
          <w:highlight w:val="none"/>
          <w14:textFill>
            <w14:solidFill>
              <w14:schemeClr w14:val="tx1"/>
            </w14:solidFill>
          </w14:textFill>
        </w:rPr>
        <w:tab/>
      </w: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PAGEREF _Toc25877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cs="宋体"/>
          <w:b w:val="0"/>
          <w:bCs/>
          <w:color w:val="000000" w:themeColor="text1"/>
          <w:sz w:val="21"/>
          <w:szCs w:val="21"/>
          <w:highlight w:val="none"/>
          <w14:textFill>
            <w14:solidFill>
              <w14:schemeClr w14:val="tx1"/>
            </w14:solidFill>
          </w14:textFill>
        </w:rPr>
        <w:t>94</w:t>
      </w:r>
      <w:r>
        <w:rPr>
          <w:rFonts w:hint="eastAsia" w:ascii="宋体" w:hAnsi="宋体" w:cs="宋体"/>
          <w:b w:val="0"/>
          <w:bCs/>
          <w:color w:val="000000" w:themeColor="text1"/>
          <w:sz w:val="21"/>
          <w:szCs w:val="21"/>
          <w:highlight w:val="none"/>
          <w14:textFill>
            <w14:solidFill>
              <w14:schemeClr w14:val="tx1"/>
            </w14:solidFill>
          </w14:textFill>
        </w:rPr>
        <w:fldChar w:fldCharType="end"/>
      </w:r>
      <w:r>
        <w:rPr>
          <w:rFonts w:hint="eastAsia" w:ascii="宋体" w:hAnsi="宋体" w:cs="宋体"/>
          <w:b w:val="0"/>
          <w:bCs/>
          <w:color w:val="000000" w:themeColor="text1"/>
          <w:sz w:val="21"/>
          <w:szCs w:val="21"/>
          <w:highlight w:val="none"/>
          <w14:textFill>
            <w14:solidFill>
              <w14:schemeClr w14:val="tx1"/>
            </w14:solidFill>
          </w14:textFill>
        </w:rPr>
        <w:fldChar w:fldCharType="end"/>
      </w:r>
    </w:p>
    <w:p>
      <w:pPr>
        <w:pStyle w:val="30"/>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HYPERLINK \l _Toc22220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color w:val="000000" w:themeColor="text1"/>
          <w:kern w:val="0"/>
          <w:sz w:val="21"/>
          <w:szCs w:val="21"/>
          <w:highlight w:val="none"/>
          <w14:textFill>
            <w14:solidFill>
              <w14:schemeClr w14:val="tx1"/>
            </w14:solidFill>
          </w14:textFill>
        </w:rPr>
        <w:t>附件5-4：工作量和费用明细表</w:t>
      </w:r>
      <w:r>
        <w:rPr>
          <w:rFonts w:hint="eastAsia" w:ascii="宋体" w:hAnsi="宋体" w:cs="宋体"/>
          <w:b w:val="0"/>
          <w:bCs/>
          <w:color w:val="000000" w:themeColor="text1"/>
          <w:sz w:val="21"/>
          <w:szCs w:val="21"/>
          <w:highlight w:val="none"/>
          <w14:textFill>
            <w14:solidFill>
              <w14:schemeClr w14:val="tx1"/>
            </w14:solidFill>
          </w14:textFill>
        </w:rPr>
        <w:tab/>
      </w:r>
      <w:r>
        <w:rPr>
          <w:rFonts w:hint="eastAsia" w:ascii="宋体" w:hAnsi="宋体" w:cs="宋体"/>
          <w:b w:val="0"/>
          <w:bCs/>
          <w:color w:val="000000" w:themeColor="text1"/>
          <w:sz w:val="21"/>
          <w:szCs w:val="21"/>
          <w:highlight w:val="none"/>
          <w14:textFill>
            <w14:solidFill>
              <w14:schemeClr w14:val="tx1"/>
            </w14:solidFill>
          </w14:textFill>
        </w:rPr>
        <w:fldChar w:fldCharType="begin"/>
      </w:r>
      <w:r>
        <w:rPr>
          <w:rFonts w:hint="eastAsia" w:ascii="宋体" w:hAnsi="宋体" w:cs="宋体"/>
          <w:b w:val="0"/>
          <w:bCs/>
          <w:color w:val="000000" w:themeColor="text1"/>
          <w:sz w:val="21"/>
          <w:szCs w:val="21"/>
          <w:highlight w:val="none"/>
          <w14:textFill>
            <w14:solidFill>
              <w14:schemeClr w14:val="tx1"/>
            </w14:solidFill>
          </w14:textFill>
        </w:rPr>
        <w:instrText xml:space="preserve"> PAGEREF _Toc22220 </w:instrText>
      </w:r>
      <w:r>
        <w:rPr>
          <w:rFonts w:hint="eastAsia" w:ascii="宋体" w:hAnsi="宋体" w:cs="宋体"/>
          <w:b w:val="0"/>
          <w:bCs/>
          <w:color w:val="000000" w:themeColor="text1"/>
          <w:sz w:val="21"/>
          <w:szCs w:val="21"/>
          <w:highlight w:val="none"/>
          <w14:textFill>
            <w14:solidFill>
              <w14:schemeClr w14:val="tx1"/>
            </w14:solidFill>
          </w14:textFill>
        </w:rPr>
        <w:fldChar w:fldCharType="separate"/>
      </w:r>
      <w:r>
        <w:rPr>
          <w:rFonts w:hint="eastAsia" w:ascii="宋体" w:hAnsi="宋体" w:cs="宋体"/>
          <w:b w:val="0"/>
          <w:bCs/>
          <w:color w:val="000000" w:themeColor="text1"/>
          <w:sz w:val="21"/>
          <w:szCs w:val="21"/>
          <w:highlight w:val="none"/>
          <w14:textFill>
            <w14:solidFill>
              <w14:schemeClr w14:val="tx1"/>
            </w14:solidFill>
          </w14:textFill>
        </w:rPr>
        <w:t>95</w:t>
      </w:r>
      <w:r>
        <w:rPr>
          <w:rFonts w:hint="eastAsia" w:ascii="宋体" w:hAnsi="宋体" w:cs="宋体"/>
          <w:b w:val="0"/>
          <w:bCs/>
          <w:color w:val="000000" w:themeColor="text1"/>
          <w:sz w:val="21"/>
          <w:szCs w:val="21"/>
          <w:highlight w:val="none"/>
          <w14:textFill>
            <w14:solidFill>
              <w14:schemeClr w14:val="tx1"/>
            </w14:solidFill>
          </w14:textFill>
        </w:rPr>
        <w:fldChar w:fldCharType="end"/>
      </w:r>
      <w:r>
        <w:rPr>
          <w:rFonts w:hint="eastAsia" w:ascii="宋体" w:hAnsi="宋体" w:cs="宋体"/>
          <w:b w:val="0"/>
          <w:bCs/>
          <w:color w:val="000000" w:themeColor="text1"/>
          <w:sz w:val="21"/>
          <w:szCs w:val="21"/>
          <w:highlight w:val="none"/>
          <w14:textFill>
            <w14:solidFill>
              <w14:schemeClr w14:val="tx1"/>
            </w14:solidFill>
          </w14:textFill>
        </w:rPr>
        <w:fldChar w:fldCharType="end"/>
      </w:r>
    </w:p>
    <w:p>
      <w:pPr>
        <w:pStyle w:val="30"/>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黑体" w:hAnsi="黑体" w:eastAsia="黑体" w:cs="黑体"/>
          <w:bCs w:val="0"/>
          <w:color w:val="000000" w:themeColor="text1"/>
          <w:sz w:val="21"/>
          <w:szCs w:val="21"/>
          <w:highlight w:val="none"/>
          <w14:textFill>
            <w14:solidFill>
              <w14:schemeClr w14:val="tx1"/>
            </w14:solidFill>
          </w14:textFill>
        </w:rPr>
      </w:pPr>
      <w:r>
        <w:rPr>
          <w:rFonts w:hint="eastAsia" w:ascii="黑体" w:hAnsi="黑体" w:eastAsia="黑体" w:cs="黑体"/>
          <w:bCs w:val="0"/>
          <w:color w:val="000000" w:themeColor="text1"/>
          <w:sz w:val="21"/>
          <w:szCs w:val="21"/>
          <w:highlight w:val="none"/>
          <w14:textFill>
            <w14:solidFill>
              <w14:schemeClr w14:val="tx1"/>
            </w14:solidFill>
          </w14:textFill>
        </w:rPr>
        <w:fldChar w:fldCharType="begin"/>
      </w:r>
      <w:r>
        <w:rPr>
          <w:rFonts w:hint="eastAsia" w:ascii="黑体" w:hAnsi="黑体" w:eastAsia="黑体" w:cs="黑体"/>
          <w:bCs w:val="0"/>
          <w:color w:val="000000" w:themeColor="text1"/>
          <w:sz w:val="21"/>
          <w:szCs w:val="21"/>
          <w:highlight w:val="none"/>
          <w14:textFill>
            <w14:solidFill>
              <w14:schemeClr w14:val="tx1"/>
            </w14:solidFill>
          </w14:textFill>
        </w:rPr>
        <w:instrText xml:space="preserve"> HYPERLINK \l _Toc26400 </w:instrText>
      </w:r>
      <w:r>
        <w:rPr>
          <w:rFonts w:hint="eastAsia" w:ascii="黑体" w:hAnsi="黑体" w:eastAsia="黑体" w:cs="黑体"/>
          <w:bCs w:val="0"/>
          <w:color w:val="000000" w:themeColor="text1"/>
          <w:sz w:val="21"/>
          <w:szCs w:val="21"/>
          <w:highlight w:val="none"/>
          <w14:textFill>
            <w14:solidFill>
              <w14:schemeClr w14:val="tx1"/>
            </w14:solidFill>
          </w14:textFill>
        </w:rPr>
        <w:fldChar w:fldCharType="separate"/>
      </w:r>
      <w:r>
        <w:rPr>
          <w:rFonts w:hint="eastAsia" w:ascii="黑体" w:hAnsi="黑体" w:eastAsia="黑体" w:cs="黑体"/>
          <w:bCs w:val="0"/>
          <w:color w:val="000000" w:themeColor="text1"/>
          <w:sz w:val="21"/>
          <w:szCs w:val="21"/>
          <w:highlight w:val="none"/>
          <w14:textFill>
            <w14:solidFill>
              <w14:schemeClr w14:val="tx1"/>
            </w14:solidFill>
          </w14:textFill>
        </w:rPr>
        <w:t>第二卷</w:t>
      </w:r>
      <w:r>
        <w:rPr>
          <w:rFonts w:hint="eastAsia" w:ascii="黑体" w:hAnsi="黑体" w:eastAsia="黑体" w:cs="黑体"/>
          <w:bCs w:val="0"/>
          <w:color w:val="000000" w:themeColor="text1"/>
          <w:sz w:val="21"/>
          <w:szCs w:val="21"/>
          <w:highlight w:val="none"/>
          <w14:textFill>
            <w14:solidFill>
              <w14:schemeClr w14:val="tx1"/>
            </w14:solidFill>
          </w14:textFill>
        </w:rPr>
        <w:tab/>
      </w:r>
      <w:r>
        <w:rPr>
          <w:rFonts w:hint="eastAsia" w:ascii="黑体" w:hAnsi="黑体" w:eastAsia="黑体" w:cs="黑体"/>
          <w:bCs w:val="0"/>
          <w:color w:val="000000" w:themeColor="text1"/>
          <w:sz w:val="21"/>
          <w:szCs w:val="21"/>
          <w:highlight w:val="none"/>
          <w14:textFill>
            <w14:solidFill>
              <w14:schemeClr w14:val="tx1"/>
            </w14:solidFill>
          </w14:textFill>
        </w:rPr>
        <w:fldChar w:fldCharType="begin"/>
      </w:r>
      <w:r>
        <w:rPr>
          <w:rFonts w:hint="eastAsia" w:ascii="黑体" w:hAnsi="黑体" w:eastAsia="黑体" w:cs="黑体"/>
          <w:bCs w:val="0"/>
          <w:color w:val="000000" w:themeColor="text1"/>
          <w:sz w:val="21"/>
          <w:szCs w:val="21"/>
          <w:highlight w:val="none"/>
          <w14:textFill>
            <w14:solidFill>
              <w14:schemeClr w14:val="tx1"/>
            </w14:solidFill>
          </w14:textFill>
        </w:rPr>
        <w:instrText xml:space="preserve"> PAGEREF _Toc26400 </w:instrText>
      </w:r>
      <w:r>
        <w:rPr>
          <w:rFonts w:hint="eastAsia" w:ascii="黑体" w:hAnsi="黑体" w:eastAsia="黑体" w:cs="黑体"/>
          <w:bCs w:val="0"/>
          <w:color w:val="000000" w:themeColor="text1"/>
          <w:sz w:val="21"/>
          <w:szCs w:val="21"/>
          <w:highlight w:val="none"/>
          <w14:textFill>
            <w14:solidFill>
              <w14:schemeClr w14:val="tx1"/>
            </w14:solidFill>
          </w14:textFill>
        </w:rPr>
        <w:fldChar w:fldCharType="separate"/>
      </w:r>
      <w:r>
        <w:rPr>
          <w:rFonts w:hint="eastAsia" w:ascii="黑体" w:hAnsi="黑体" w:eastAsia="黑体" w:cs="黑体"/>
          <w:bCs w:val="0"/>
          <w:color w:val="000000" w:themeColor="text1"/>
          <w:sz w:val="21"/>
          <w:szCs w:val="21"/>
          <w:highlight w:val="none"/>
          <w14:textFill>
            <w14:solidFill>
              <w14:schemeClr w14:val="tx1"/>
            </w14:solidFill>
          </w14:textFill>
        </w:rPr>
        <w:t>100</w:t>
      </w:r>
      <w:r>
        <w:rPr>
          <w:rFonts w:hint="eastAsia" w:ascii="黑体" w:hAnsi="黑体" w:eastAsia="黑体" w:cs="黑体"/>
          <w:bCs w:val="0"/>
          <w:color w:val="000000" w:themeColor="text1"/>
          <w:sz w:val="21"/>
          <w:szCs w:val="21"/>
          <w:highlight w:val="none"/>
          <w14:textFill>
            <w14:solidFill>
              <w14:schemeClr w14:val="tx1"/>
            </w14:solidFill>
          </w14:textFill>
        </w:rPr>
        <w:fldChar w:fldCharType="end"/>
      </w:r>
      <w:r>
        <w:rPr>
          <w:rFonts w:hint="eastAsia" w:ascii="黑体" w:hAnsi="黑体" w:eastAsia="黑体" w:cs="黑体"/>
          <w:bCs w:val="0"/>
          <w:color w:val="000000" w:themeColor="text1"/>
          <w:sz w:val="2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rFonts w:hint="eastAsia" w:ascii="黑体" w:hAnsi="黑体" w:eastAsia="黑体" w:cs="黑体"/>
          <w:bCs w:val="0"/>
          <w:color w:val="000000" w:themeColor="text1"/>
          <w:szCs w:val="21"/>
          <w:highlight w:val="none"/>
          <w14:textFill>
            <w14:solidFill>
              <w14:schemeClr w14:val="tx1"/>
            </w14:solidFill>
          </w14:textFill>
        </w:rPr>
      </w:pPr>
      <w:r>
        <w:rPr>
          <w:rFonts w:hint="eastAsia" w:ascii="黑体" w:hAnsi="黑体" w:eastAsia="黑体" w:cs="黑体"/>
          <w:bCs w:val="0"/>
          <w:color w:val="000000" w:themeColor="text1"/>
          <w:szCs w:val="21"/>
          <w:highlight w:val="none"/>
          <w14:textFill>
            <w14:solidFill>
              <w14:schemeClr w14:val="tx1"/>
            </w14:solidFill>
          </w14:textFill>
        </w:rPr>
        <w:fldChar w:fldCharType="begin"/>
      </w:r>
      <w:r>
        <w:rPr>
          <w:rFonts w:hint="eastAsia" w:ascii="黑体" w:hAnsi="黑体" w:eastAsia="黑体" w:cs="黑体"/>
          <w:bCs w:val="0"/>
          <w:color w:val="000000" w:themeColor="text1"/>
          <w:szCs w:val="21"/>
          <w:highlight w:val="none"/>
          <w14:textFill>
            <w14:solidFill>
              <w14:schemeClr w14:val="tx1"/>
            </w14:solidFill>
          </w14:textFill>
        </w:rPr>
        <w:instrText xml:space="preserve"> HYPERLINK \l _Toc30060 </w:instrText>
      </w:r>
      <w:r>
        <w:rPr>
          <w:rFonts w:hint="eastAsia" w:ascii="黑体" w:hAnsi="黑体" w:eastAsia="黑体" w:cs="黑体"/>
          <w:bCs w:val="0"/>
          <w:color w:val="000000" w:themeColor="text1"/>
          <w:szCs w:val="21"/>
          <w:highlight w:val="none"/>
          <w14:textFill>
            <w14:solidFill>
              <w14:schemeClr w14:val="tx1"/>
            </w14:solidFill>
          </w14:textFill>
        </w:rPr>
        <w:fldChar w:fldCharType="separate"/>
      </w:r>
      <w:r>
        <w:rPr>
          <w:rFonts w:hint="eastAsia" w:ascii="黑体" w:hAnsi="黑体" w:eastAsia="黑体" w:cs="黑体"/>
          <w:bCs w:val="0"/>
          <w:color w:val="000000" w:themeColor="text1"/>
          <w:szCs w:val="21"/>
          <w:highlight w:val="none"/>
          <w14:textFill>
            <w14:solidFill>
              <w14:schemeClr w14:val="tx1"/>
            </w14:solidFill>
          </w14:textFill>
        </w:rPr>
        <w:t>第六章 发包人要求</w:t>
      </w:r>
      <w:r>
        <w:rPr>
          <w:rFonts w:hint="eastAsia" w:ascii="黑体" w:hAnsi="黑体" w:eastAsia="黑体" w:cs="黑体"/>
          <w:bCs w:val="0"/>
          <w:color w:val="000000" w:themeColor="text1"/>
          <w:szCs w:val="21"/>
          <w:highlight w:val="none"/>
          <w14:textFill>
            <w14:solidFill>
              <w14:schemeClr w14:val="tx1"/>
            </w14:solidFill>
          </w14:textFill>
        </w:rPr>
        <w:tab/>
      </w:r>
      <w:r>
        <w:rPr>
          <w:rFonts w:hint="eastAsia" w:ascii="黑体" w:hAnsi="黑体" w:eastAsia="黑体" w:cs="黑体"/>
          <w:bCs w:val="0"/>
          <w:color w:val="000000" w:themeColor="text1"/>
          <w:szCs w:val="21"/>
          <w:highlight w:val="none"/>
          <w14:textFill>
            <w14:solidFill>
              <w14:schemeClr w14:val="tx1"/>
            </w14:solidFill>
          </w14:textFill>
        </w:rPr>
        <w:fldChar w:fldCharType="begin"/>
      </w:r>
      <w:r>
        <w:rPr>
          <w:rFonts w:hint="eastAsia" w:ascii="黑体" w:hAnsi="黑体" w:eastAsia="黑体" w:cs="黑体"/>
          <w:bCs w:val="0"/>
          <w:color w:val="000000" w:themeColor="text1"/>
          <w:szCs w:val="21"/>
          <w:highlight w:val="none"/>
          <w14:textFill>
            <w14:solidFill>
              <w14:schemeClr w14:val="tx1"/>
            </w14:solidFill>
          </w14:textFill>
        </w:rPr>
        <w:instrText xml:space="preserve"> PAGEREF _Toc30060 </w:instrText>
      </w:r>
      <w:r>
        <w:rPr>
          <w:rFonts w:hint="eastAsia" w:ascii="黑体" w:hAnsi="黑体" w:eastAsia="黑体" w:cs="黑体"/>
          <w:bCs w:val="0"/>
          <w:color w:val="000000" w:themeColor="text1"/>
          <w:szCs w:val="21"/>
          <w:highlight w:val="none"/>
          <w14:textFill>
            <w14:solidFill>
              <w14:schemeClr w14:val="tx1"/>
            </w14:solidFill>
          </w14:textFill>
        </w:rPr>
        <w:fldChar w:fldCharType="separate"/>
      </w:r>
      <w:r>
        <w:rPr>
          <w:rFonts w:hint="eastAsia" w:ascii="黑体" w:hAnsi="黑体" w:eastAsia="黑体" w:cs="黑体"/>
          <w:bCs w:val="0"/>
          <w:color w:val="000000" w:themeColor="text1"/>
          <w:szCs w:val="21"/>
          <w:highlight w:val="none"/>
          <w14:textFill>
            <w14:solidFill>
              <w14:schemeClr w14:val="tx1"/>
            </w14:solidFill>
          </w14:textFill>
        </w:rPr>
        <w:t>101</w:t>
      </w:r>
      <w:r>
        <w:rPr>
          <w:rFonts w:hint="eastAsia" w:ascii="黑体" w:hAnsi="黑体" w:eastAsia="黑体" w:cs="黑体"/>
          <w:bCs w:val="0"/>
          <w:color w:val="000000" w:themeColor="text1"/>
          <w:szCs w:val="21"/>
          <w:highlight w:val="none"/>
          <w14:textFill>
            <w14:solidFill>
              <w14:schemeClr w14:val="tx1"/>
            </w14:solidFill>
          </w14:textFill>
        </w:rPr>
        <w:fldChar w:fldCharType="end"/>
      </w:r>
      <w:r>
        <w:rPr>
          <w:rFonts w:hint="eastAsia" w:ascii="黑体" w:hAnsi="黑体" w:eastAsia="黑体" w:cs="黑体"/>
          <w:bCs w:val="0"/>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黑体" w:hAnsi="黑体" w:eastAsia="黑体" w:cs="黑体"/>
          <w:b/>
          <w:bCs w:val="0"/>
          <w:color w:val="000000" w:themeColor="text1"/>
          <w:szCs w:val="21"/>
          <w:highlight w:val="none"/>
          <w14:textFill>
            <w14:solidFill>
              <w14:schemeClr w14:val="tx1"/>
            </w14:solidFill>
          </w14:textFill>
        </w:rPr>
      </w:pPr>
      <w:r>
        <w:rPr>
          <w:rFonts w:hint="eastAsia" w:ascii="黑体" w:hAnsi="黑体" w:eastAsia="黑体" w:cs="黑体"/>
          <w:b/>
          <w:bCs w:val="0"/>
          <w:color w:val="000000" w:themeColor="text1"/>
          <w:szCs w:val="21"/>
          <w:highlight w:val="none"/>
          <w14:textFill>
            <w14:solidFill>
              <w14:schemeClr w14:val="tx1"/>
            </w14:solidFill>
          </w14:textFill>
        </w:rPr>
        <w:fldChar w:fldCharType="begin"/>
      </w:r>
      <w:r>
        <w:rPr>
          <w:rFonts w:hint="eastAsia" w:ascii="黑体" w:hAnsi="黑体" w:eastAsia="黑体" w:cs="黑体"/>
          <w:b/>
          <w:bCs w:val="0"/>
          <w:color w:val="000000" w:themeColor="text1"/>
          <w:szCs w:val="21"/>
          <w:highlight w:val="none"/>
          <w14:textFill>
            <w14:solidFill>
              <w14:schemeClr w14:val="tx1"/>
            </w14:solidFill>
          </w14:textFill>
        </w:rPr>
        <w:instrText xml:space="preserve"> HYPERLINK \l _Toc32161 </w:instrText>
      </w:r>
      <w:r>
        <w:rPr>
          <w:rFonts w:hint="eastAsia" w:ascii="黑体" w:hAnsi="黑体" w:eastAsia="黑体" w:cs="黑体"/>
          <w:b/>
          <w:bCs w:val="0"/>
          <w:color w:val="000000" w:themeColor="text1"/>
          <w:szCs w:val="21"/>
          <w:highlight w:val="none"/>
          <w14:textFill>
            <w14:solidFill>
              <w14:schemeClr w14:val="tx1"/>
            </w14:solidFill>
          </w14:textFill>
        </w:rPr>
        <w:fldChar w:fldCharType="separate"/>
      </w:r>
      <w:r>
        <w:rPr>
          <w:rFonts w:hint="eastAsia" w:ascii="黑体" w:hAnsi="黑体" w:eastAsia="黑体" w:cs="黑体"/>
          <w:b/>
          <w:bCs w:val="0"/>
          <w:color w:val="000000" w:themeColor="text1"/>
          <w:szCs w:val="21"/>
          <w:highlight w:val="none"/>
          <w14:textFill>
            <w14:solidFill>
              <w14:schemeClr w14:val="tx1"/>
            </w14:solidFill>
          </w14:textFill>
        </w:rPr>
        <w:t>第六章 发包人要求</w:t>
      </w:r>
      <w:r>
        <w:rPr>
          <w:rFonts w:hint="eastAsia" w:ascii="黑体" w:hAnsi="黑体" w:eastAsia="黑体" w:cs="黑体"/>
          <w:b/>
          <w:bCs w:val="0"/>
          <w:color w:val="000000" w:themeColor="text1"/>
          <w:szCs w:val="21"/>
          <w:highlight w:val="none"/>
          <w14:textFill>
            <w14:solidFill>
              <w14:schemeClr w14:val="tx1"/>
            </w14:solidFill>
          </w14:textFill>
        </w:rPr>
        <w:tab/>
      </w:r>
      <w:r>
        <w:rPr>
          <w:rFonts w:hint="eastAsia" w:ascii="黑体" w:hAnsi="黑体" w:eastAsia="黑体" w:cs="黑体"/>
          <w:b/>
          <w:bCs w:val="0"/>
          <w:color w:val="000000" w:themeColor="text1"/>
          <w:szCs w:val="21"/>
          <w:highlight w:val="none"/>
          <w14:textFill>
            <w14:solidFill>
              <w14:schemeClr w14:val="tx1"/>
            </w14:solidFill>
          </w14:textFill>
        </w:rPr>
        <w:fldChar w:fldCharType="begin"/>
      </w:r>
      <w:r>
        <w:rPr>
          <w:rFonts w:hint="eastAsia" w:ascii="黑体" w:hAnsi="黑体" w:eastAsia="黑体" w:cs="黑体"/>
          <w:b/>
          <w:bCs w:val="0"/>
          <w:color w:val="000000" w:themeColor="text1"/>
          <w:szCs w:val="21"/>
          <w:highlight w:val="none"/>
          <w14:textFill>
            <w14:solidFill>
              <w14:schemeClr w14:val="tx1"/>
            </w14:solidFill>
          </w14:textFill>
        </w:rPr>
        <w:instrText xml:space="preserve"> PAGEREF _Toc32161 </w:instrText>
      </w:r>
      <w:r>
        <w:rPr>
          <w:rFonts w:hint="eastAsia" w:ascii="黑体" w:hAnsi="黑体" w:eastAsia="黑体" w:cs="黑体"/>
          <w:b/>
          <w:bCs w:val="0"/>
          <w:color w:val="000000" w:themeColor="text1"/>
          <w:szCs w:val="21"/>
          <w:highlight w:val="none"/>
          <w14:textFill>
            <w14:solidFill>
              <w14:schemeClr w14:val="tx1"/>
            </w14:solidFill>
          </w14:textFill>
        </w:rPr>
        <w:fldChar w:fldCharType="separate"/>
      </w:r>
      <w:r>
        <w:rPr>
          <w:rFonts w:hint="eastAsia" w:ascii="黑体" w:hAnsi="黑体" w:eastAsia="黑体" w:cs="黑体"/>
          <w:b/>
          <w:bCs w:val="0"/>
          <w:color w:val="000000" w:themeColor="text1"/>
          <w:szCs w:val="21"/>
          <w:highlight w:val="none"/>
          <w14:textFill>
            <w14:solidFill>
              <w14:schemeClr w14:val="tx1"/>
            </w14:solidFill>
          </w14:textFill>
        </w:rPr>
        <w:t>102</w:t>
      </w:r>
      <w:r>
        <w:rPr>
          <w:rFonts w:hint="eastAsia" w:ascii="黑体" w:hAnsi="黑体" w:eastAsia="黑体" w:cs="黑体"/>
          <w:b/>
          <w:bCs w:val="0"/>
          <w:color w:val="000000" w:themeColor="text1"/>
          <w:szCs w:val="21"/>
          <w:highlight w:val="none"/>
          <w14:textFill>
            <w14:solidFill>
              <w14:schemeClr w14:val="tx1"/>
            </w14:solidFill>
          </w14:textFill>
        </w:rPr>
        <w:fldChar w:fldCharType="end"/>
      </w:r>
      <w:r>
        <w:rPr>
          <w:rFonts w:hint="eastAsia" w:ascii="黑体" w:hAnsi="黑体" w:eastAsia="黑体" w:cs="黑体"/>
          <w:b/>
          <w:bCs w:val="0"/>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_Toc14564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14:textFill>
            <w14:solidFill>
              <w14:schemeClr w14:val="tx1"/>
            </w14:solidFill>
          </w14:textFill>
        </w:rPr>
        <w:t>一、勘察要求</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_Toc14564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102</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_Toc994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lang w:eastAsia="zh-CN"/>
          <w14:textFill>
            <w14:solidFill>
              <w14:schemeClr w14:val="tx1"/>
            </w14:solidFill>
          </w14:textFill>
        </w:rPr>
        <w:t>二</w:t>
      </w:r>
      <w:r>
        <w:rPr>
          <w:rFonts w:hint="eastAsia" w:ascii="宋体" w:hAnsi="宋体" w:eastAsia="宋体" w:cs="宋体"/>
          <w:b w:val="0"/>
          <w:bCs/>
          <w:color w:val="000000" w:themeColor="text1"/>
          <w:szCs w:val="21"/>
          <w:highlight w:val="none"/>
          <w14:textFill>
            <w14:solidFill>
              <w14:schemeClr w14:val="tx1"/>
            </w14:solidFill>
          </w14:textFill>
        </w:rPr>
        <w:t>、适用规范标准</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_Toc994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103</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_Toc839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lang w:eastAsia="zh-CN"/>
          <w14:textFill>
            <w14:solidFill>
              <w14:schemeClr w14:val="tx1"/>
            </w14:solidFill>
          </w14:textFill>
        </w:rPr>
        <w:t>三</w:t>
      </w:r>
      <w:r>
        <w:rPr>
          <w:rFonts w:hint="eastAsia" w:ascii="宋体" w:hAnsi="宋体" w:eastAsia="宋体" w:cs="宋体"/>
          <w:b w:val="0"/>
          <w:bCs/>
          <w:color w:val="000000" w:themeColor="text1"/>
          <w:szCs w:val="21"/>
          <w:highlight w:val="none"/>
          <w14:textFill>
            <w14:solidFill>
              <w14:schemeClr w14:val="tx1"/>
            </w14:solidFill>
          </w14:textFill>
        </w:rPr>
        <w:t>、技术文件要求</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_Toc839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103</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_Toc8173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lang w:eastAsia="zh-CN"/>
          <w14:textFill>
            <w14:solidFill>
              <w14:schemeClr w14:val="tx1"/>
            </w14:solidFill>
          </w14:textFill>
        </w:rPr>
        <w:t>四</w:t>
      </w:r>
      <w:r>
        <w:rPr>
          <w:rFonts w:hint="eastAsia" w:ascii="宋体" w:hAnsi="宋体" w:eastAsia="宋体" w:cs="宋体"/>
          <w:b w:val="0"/>
          <w:bCs/>
          <w:color w:val="000000" w:themeColor="text1"/>
          <w:szCs w:val="21"/>
          <w:highlight w:val="none"/>
          <w14:textFill>
            <w14:solidFill>
              <w14:schemeClr w14:val="tx1"/>
            </w14:solidFill>
          </w14:textFill>
        </w:rPr>
        <w:t>、服务要求</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_Toc8173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104</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_Toc1452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lang w:eastAsia="zh-CN"/>
          <w14:textFill>
            <w14:solidFill>
              <w14:schemeClr w14:val="tx1"/>
            </w14:solidFill>
          </w14:textFill>
        </w:rPr>
        <w:t>五</w:t>
      </w:r>
      <w:r>
        <w:rPr>
          <w:rFonts w:hint="eastAsia" w:ascii="宋体" w:hAnsi="宋体" w:eastAsia="宋体" w:cs="宋体"/>
          <w:b w:val="0"/>
          <w:bCs/>
          <w:color w:val="000000" w:themeColor="text1"/>
          <w:szCs w:val="21"/>
          <w:highlight w:val="none"/>
          <w14:textFill>
            <w14:solidFill>
              <w14:schemeClr w14:val="tx1"/>
            </w14:solidFill>
          </w14:textFill>
        </w:rPr>
        <w:t>、发包人财产清单</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_Toc1452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104</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_Toc15566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（一）发包人提供的设备、设施</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_Toc15566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104</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_Toc19450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（二）发包人提供的资料</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_Toc19450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104</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_Toc30642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（三）发包人财产使用要求及退还要求</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_Toc30642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104</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_Toc17410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lang w:eastAsia="zh-CN"/>
          <w14:textFill>
            <w14:solidFill>
              <w14:schemeClr w14:val="tx1"/>
            </w14:solidFill>
          </w14:textFill>
        </w:rPr>
        <w:t>六</w:t>
      </w:r>
      <w:r>
        <w:rPr>
          <w:rFonts w:hint="eastAsia" w:ascii="宋体" w:hAnsi="宋体" w:eastAsia="宋体" w:cs="宋体"/>
          <w:b w:val="0"/>
          <w:bCs/>
          <w:color w:val="000000" w:themeColor="text1"/>
          <w:szCs w:val="21"/>
          <w:highlight w:val="none"/>
          <w14:textFill>
            <w14:solidFill>
              <w14:schemeClr w14:val="tx1"/>
            </w14:solidFill>
          </w14:textFill>
        </w:rPr>
        <w:t>、发包人提供的便利条件</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_Toc17410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104</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_Toc7961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lang w:eastAsia="zh-CN"/>
          <w14:textFill>
            <w14:solidFill>
              <w14:schemeClr w14:val="tx1"/>
            </w14:solidFill>
          </w14:textFill>
        </w:rPr>
        <w:t>七</w:t>
      </w:r>
      <w:r>
        <w:rPr>
          <w:rFonts w:hint="eastAsia" w:ascii="宋体" w:hAnsi="宋体" w:eastAsia="宋体" w:cs="宋体"/>
          <w:b w:val="0"/>
          <w:bCs/>
          <w:color w:val="000000" w:themeColor="text1"/>
          <w:szCs w:val="21"/>
          <w:highlight w:val="none"/>
          <w14:textFill>
            <w14:solidFill>
              <w14:schemeClr w14:val="tx1"/>
            </w14:solidFill>
          </w14:textFill>
        </w:rPr>
        <w:t>、勘察人需要自备的工作条件</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_Toc7961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b w:val="0"/>
          <w:bCs/>
          <w:color w:val="000000" w:themeColor="text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HYPERLINK \l _Toc628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eastAsia="宋体" w:cs="宋体"/>
          <w:b w:val="0"/>
          <w:bCs/>
          <w:color w:val="000000" w:themeColor="text1"/>
          <w:szCs w:val="21"/>
          <w:highlight w:val="none"/>
          <w:lang w:eastAsia="zh-CN"/>
          <w14:textFill>
            <w14:solidFill>
              <w14:schemeClr w14:val="tx1"/>
            </w14:solidFill>
          </w14:textFill>
        </w:rPr>
        <w:t>八</w:t>
      </w:r>
      <w:r>
        <w:rPr>
          <w:rFonts w:hint="eastAsia" w:ascii="宋体" w:hAnsi="宋体" w:eastAsia="宋体" w:cs="宋体"/>
          <w:b w:val="0"/>
          <w:bCs/>
          <w:color w:val="000000" w:themeColor="text1"/>
          <w:szCs w:val="21"/>
          <w:highlight w:val="none"/>
          <w14:textFill>
            <w14:solidFill>
              <w14:schemeClr w14:val="tx1"/>
            </w14:solidFill>
          </w14:textFill>
        </w:rPr>
        <w:t>、发包人的其他要求</w:t>
      </w:r>
      <w:r>
        <w:rPr>
          <w:rFonts w:hint="eastAsia" w:ascii="宋体" w:hAnsi="宋体" w:cs="宋体"/>
          <w:b w:val="0"/>
          <w:bCs/>
          <w:color w:val="000000" w:themeColor="text1"/>
          <w:szCs w:val="21"/>
          <w:highlight w:val="none"/>
          <w14:textFill>
            <w14:solidFill>
              <w14:schemeClr w14:val="tx1"/>
            </w14:solidFill>
          </w14:textFill>
        </w:rPr>
        <w:tab/>
      </w:r>
      <w:r>
        <w:rPr>
          <w:rFonts w:hint="eastAsia" w:ascii="宋体" w:hAnsi="宋体" w:cs="宋体"/>
          <w:b w:val="0"/>
          <w:bCs/>
          <w:color w:val="000000" w:themeColor="text1"/>
          <w:szCs w:val="21"/>
          <w:highlight w:val="none"/>
          <w14:textFill>
            <w14:solidFill>
              <w14:schemeClr w14:val="tx1"/>
            </w14:solidFill>
          </w14:textFill>
        </w:rPr>
        <w:fldChar w:fldCharType="begin"/>
      </w:r>
      <w:r>
        <w:rPr>
          <w:rFonts w:hint="eastAsia" w:ascii="宋体" w:hAnsi="宋体" w:cs="宋体"/>
          <w:b w:val="0"/>
          <w:bCs/>
          <w:color w:val="000000" w:themeColor="text1"/>
          <w:szCs w:val="21"/>
          <w:highlight w:val="none"/>
          <w14:textFill>
            <w14:solidFill>
              <w14:schemeClr w14:val="tx1"/>
            </w14:solidFill>
          </w14:textFill>
        </w:rPr>
        <w:instrText xml:space="preserve"> PAGEREF _Toc628 </w:instrText>
      </w:r>
      <w:r>
        <w:rPr>
          <w:rFonts w:hint="eastAsia" w:ascii="宋体" w:hAnsi="宋体" w:cs="宋体"/>
          <w:b w:val="0"/>
          <w:bCs/>
          <w:color w:val="000000" w:themeColor="text1"/>
          <w:szCs w:val="21"/>
          <w:highlight w:val="none"/>
          <w14:textFill>
            <w14:solidFill>
              <w14:schemeClr w14:val="tx1"/>
            </w14:solidFill>
          </w14:textFill>
        </w:rPr>
        <w:fldChar w:fldCharType="separate"/>
      </w:r>
      <w:r>
        <w:rPr>
          <w:rFonts w:hint="eastAsia" w:ascii="宋体" w:hAnsi="宋体" w:cs="宋体"/>
          <w:b w:val="0"/>
          <w:bCs/>
          <w:color w:val="000000" w:themeColor="text1"/>
          <w:szCs w:val="21"/>
          <w:highlight w:val="none"/>
          <w14:textFill>
            <w14:solidFill>
              <w14:schemeClr w14:val="tx1"/>
            </w14:solidFill>
          </w14:textFill>
        </w:rPr>
        <w:t>105</w:t>
      </w:r>
      <w:r>
        <w:rPr>
          <w:rFonts w:hint="eastAsia"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14:textFill>
            <w14:solidFill>
              <w14:schemeClr w14:val="tx1"/>
            </w14:solidFill>
          </w14:textFill>
        </w:rPr>
        <w:fldChar w:fldCharType="end"/>
      </w:r>
    </w:p>
    <w:p>
      <w:pPr>
        <w:pStyle w:val="30"/>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_Toc7283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_Toc7283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35"/>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ind w:firstLine="420" w:firstLineChars="200"/>
        <w:textAlignment w:val="baseline"/>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_Toc23668 </w:instrText>
      </w:r>
      <w:r>
        <w:rPr>
          <w:rFonts w:ascii="宋体" w:hAnsi="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szCs w:val="44"/>
          <w:highlight w:val="none"/>
          <w14:textFill>
            <w14:solidFill>
              <w14:schemeClr w14:val="tx1"/>
            </w14:solidFill>
          </w14:textFill>
        </w:rPr>
        <w:t>第七章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_Toc23668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_Toc25303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一、资格审查文件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_Toc25303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_Toc8984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二、商务文件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_Toc8984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pStyle w:val="22"/>
        <w:keepNext w:val="0"/>
        <w:keepLines w:val="0"/>
        <w:pageBreakBefore w:val="0"/>
        <w:widowControl w:val="0"/>
        <w:tabs>
          <w:tab w:val="right" w:leader="dot" w:pos="8930"/>
        </w:tabs>
        <w:kinsoku/>
        <w:wordWrap/>
        <w:overflowPunct/>
        <w:topLinePunct w:val="0"/>
        <w:autoSpaceDE/>
        <w:autoSpaceDN/>
        <w:bidi w:val="0"/>
        <w:adjustRightInd w:val="0"/>
        <w:snapToGrid/>
        <w:spacing w:line="400" w:lineRule="exact"/>
        <w:textAlignment w:val="baseline"/>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_Toc28434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三、技术文件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_Toc28434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143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spacing w:line="240" w:lineRule="auto"/>
        <w:ind w:firstLine="531" w:firstLineChars="253"/>
        <w:textAlignment w:val="baseline"/>
        <w:rPr>
          <w:rFonts w:ascii="黑体" w:hAnsi="黑体" w:eastAsia="黑体"/>
          <w:color w:val="000000" w:themeColor="text1"/>
          <w:sz w:val="28"/>
          <w:szCs w:val="28"/>
          <w:highlight w:val="none"/>
          <w14:textFill>
            <w14:solidFill>
              <w14:schemeClr w14:val="tx1"/>
            </w14:solidFill>
          </w14:textFill>
        </w:rPr>
        <w:sectPr>
          <w:footerReference r:id="rId4" w:type="default"/>
          <w:footnotePr>
            <w:numFmt w:val="decimalEnclosedCircleChinese"/>
            <w:numRestart w:val="eachPage"/>
          </w:footnotePr>
          <w:pgSz w:w="11906" w:h="16838"/>
          <w:pgMar w:top="1276" w:right="1558" w:bottom="1560" w:left="1418" w:header="851" w:footer="992" w:gutter="0"/>
          <w:pgNumType w:start="1"/>
          <w:cols w:space="720" w:num="1"/>
          <w:docGrid w:type="linesAndChars" w:linePitch="312" w:charSpace="0"/>
        </w:sectPr>
      </w:pPr>
      <w:r>
        <w:rPr>
          <w:rFonts w:ascii="宋体" w:hAnsi="宋体"/>
          <w:color w:val="000000" w:themeColor="text1"/>
          <w:sz w:val="21"/>
          <w:szCs w:val="21"/>
          <w:highlight w:val="none"/>
          <w14:textFill>
            <w14:solidFill>
              <w14:schemeClr w14:val="tx1"/>
            </w14:solidFill>
          </w14:textFill>
        </w:rPr>
        <w:fldChar w:fldCharType="end"/>
      </w:r>
    </w:p>
    <w:p>
      <w:pPr>
        <w:pStyle w:val="4"/>
        <w:spacing w:before="3000" w:after="240"/>
        <w:jc w:val="center"/>
        <w:rPr>
          <w:rFonts w:ascii="黑体" w:hAnsi="黑体" w:eastAsia="黑体"/>
          <w:color w:val="000000" w:themeColor="text1"/>
          <w:highlight w:val="none"/>
          <w14:textFill>
            <w14:solidFill>
              <w14:schemeClr w14:val="tx1"/>
            </w14:solidFill>
          </w14:textFill>
        </w:rPr>
      </w:pPr>
      <w:bookmarkStart w:id="5" w:name="_Toc16327"/>
      <w:bookmarkStart w:id="6" w:name="_Toc15661"/>
      <w:bookmarkStart w:id="7" w:name="_Toc52137684"/>
      <w:bookmarkStart w:id="8" w:name="_Toc29649"/>
      <w:bookmarkStart w:id="9" w:name="_Toc14881"/>
      <w:bookmarkStart w:id="10" w:name="_Toc11464"/>
      <w:bookmarkStart w:id="11" w:name="_Toc17382"/>
      <w:bookmarkStart w:id="12" w:name="_Toc28782"/>
      <w:bookmarkStart w:id="13" w:name="_Toc106719259"/>
      <w:bookmarkStart w:id="14" w:name="_Toc18912"/>
      <w:bookmarkStart w:id="15" w:name="_Toc22073"/>
      <w:bookmarkStart w:id="16" w:name="_Toc17561"/>
      <w:bookmarkStart w:id="17" w:name="_Toc30467"/>
      <w:bookmarkStart w:id="18" w:name="_Toc29216"/>
      <w:r>
        <w:rPr>
          <w:rFonts w:hint="eastAsia" w:ascii="黑体" w:hAnsi="黑体" w:eastAsia="黑体"/>
          <w:color w:val="000000" w:themeColor="text1"/>
          <w:highlight w:val="none"/>
          <w14:textFill>
            <w14:solidFill>
              <w14:schemeClr w14:val="tx1"/>
            </w14:solidFill>
          </w14:textFill>
        </w:rPr>
        <w:t>第一卷</w:t>
      </w:r>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4"/>
        <w:spacing w:before="1440" w:after="120" w:line="360" w:lineRule="auto"/>
        <w:jc w:val="center"/>
        <w:rPr>
          <w:rFonts w:ascii="宋体" w:hAnsi="宋体"/>
          <w:color w:val="000000" w:themeColor="text1"/>
          <w:sz w:val="36"/>
          <w:szCs w:val="36"/>
          <w:highlight w:val="none"/>
          <w14:textFill>
            <w14:solidFill>
              <w14:schemeClr w14:val="tx1"/>
            </w14:solidFill>
          </w14:textFill>
        </w:rPr>
      </w:pPr>
    </w:p>
    <w:p>
      <w:pPr>
        <w:pStyle w:val="4"/>
        <w:spacing w:before="1440" w:after="120" w:line="360" w:lineRule="auto"/>
        <w:jc w:val="center"/>
        <w:rPr>
          <w:rFonts w:ascii="宋体" w:hAnsi="宋体"/>
          <w:color w:val="000000" w:themeColor="text1"/>
          <w:sz w:val="36"/>
          <w:szCs w:val="36"/>
          <w:highlight w:val="none"/>
          <w14:textFill>
            <w14:solidFill>
              <w14:schemeClr w14:val="tx1"/>
            </w14:solidFill>
          </w14:textFill>
        </w:rPr>
      </w:pPr>
    </w:p>
    <w:p>
      <w:pPr>
        <w:pStyle w:val="4"/>
        <w:spacing w:before="1440" w:after="120" w:line="360" w:lineRule="auto"/>
        <w:jc w:val="center"/>
        <w:rPr>
          <w:rFonts w:ascii="宋体" w:hAnsi="宋体"/>
          <w:color w:val="000000" w:themeColor="text1"/>
          <w:sz w:val="36"/>
          <w:szCs w:val="36"/>
          <w:highlight w:val="none"/>
          <w14:textFill>
            <w14:solidFill>
              <w14:schemeClr w14:val="tx1"/>
            </w14:solidFill>
          </w14:textFill>
        </w:rPr>
      </w:pPr>
    </w:p>
    <w:p>
      <w:pPr>
        <w:pStyle w:val="4"/>
        <w:spacing w:before="1440" w:after="120" w:line="360" w:lineRule="auto"/>
        <w:jc w:val="center"/>
        <w:rPr>
          <w:rFonts w:ascii="宋体" w:hAnsi="宋体"/>
          <w:color w:val="000000" w:themeColor="text1"/>
          <w:sz w:val="36"/>
          <w:szCs w:val="36"/>
          <w:highlight w:val="none"/>
          <w14:textFill>
            <w14:solidFill>
              <w14:schemeClr w14:val="tx1"/>
            </w14:solidFill>
          </w14:textFill>
        </w:rPr>
      </w:pPr>
    </w:p>
    <w:p>
      <w:pPr>
        <w:pStyle w:val="4"/>
        <w:spacing w:before="1440" w:after="120" w:line="360" w:lineRule="auto"/>
        <w:jc w:val="center"/>
        <w:rPr>
          <w:rFonts w:ascii="宋体" w:hAnsi="宋体"/>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spacing w:before="3000"/>
        <w:jc w:val="center"/>
        <w:rPr>
          <w:rFonts w:ascii="黑体" w:hAnsi="黑体" w:eastAsia="黑体"/>
          <w:b w:val="0"/>
          <w:color w:val="000000" w:themeColor="text1"/>
          <w:sz w:val="44"/>
          <w:szCs w:val="44"/>
          <w:highlight w:val="none"/>
          <w14:textFill>
            <w14:solidFill>
              <w14:schemeClr w14:val="tx1"/>
            </w14:solidFill>
          </w14:textFill>
        </w:rPr>
      </w:pPr>
      <w:bookmarkStart w:id="19" w:name="_Toc20200"/>
      <w:bookmarkStart w:id="20" w:name="_Toc28979"/>
      <w:bookmarkStart w:id="21" w:name="_Toc27170"/>
      <w:bookmarkStart w:id="22" w:name="_Toc52137685"/>
      <w:bookmarkStart w:id="23" w:name="_Toc9845"/>
      <w:bookmarkStart w:id="24" w:name="_Toc11955"/>
      <w:bookmarkStart w:id="25" w:name="_Toc13709"/>
      <w:bookmarkStart w:id="26" w:name="_Toc106719260"/>
      <w:bookmarkStart w:id="27" w:name="_Toc290"/>
      <w:bookmarkStart w:id="28" w:name="_Toc21530"/>
      <w:bookmarkStart w:id="29" w:name="_Toc5626"/>
      <w:bookmarkStart w:id="30" w:name="_Toc6386"/>
      <w:bookmarkStart w:id="31" w:name="_Toc21015"/>
      <w:bookmarkStart w:id="32" w:name="_Toc22326"/>
      <w:r>
        <w:rPr>
          <w:rFonts w:hint="eastAsia" w:ascii="黑体" w:hAnsi="黑体" w:eastAsia="黑体"/>
          <w:b w:val="0"/>
          <w:color w:val="000000" w:themeColor="text1"/>
          <w:sz w:val="44"/>
          <w:szCs w:val="44"/>
          <w:highlight w:val="none"/>
          <w14:textFill>
            <w14:solidFill>
              <w14:schemeClr w14:val="tx1"/>
            </w14:solidFill>
          </w14:textFill>
        </w:rPr>
        <w:t>第一章 招标公告</w:t>
      </w:r>
      <w:bookmarkEnd w:id="0"/>
      <w:bookmarkEnd w:id="1"/>
      <w:r>
        <w:rPr>
          <w:rFonts w:hint="eastAsia" w:ascii="黑体" w:hAnsi="黑体" w:eastAsia="黑体"/>
          <w:b w:val="0"/>
          <w:color w:val="000000" w:themeColor="text1"/>
          <w:sz w:val="44"/>
          <w:szCs w:val="44"/>
          <w:highlight w:val="none"/>
          <w14:textFill>
            <w14:solidFill>
              <w14:schemeClr w14:val="tx1"/>
            </w14:solidFill>
          </w14:textFill>
        </w:rPr>
        <w:t>/投标邀请书</w:t>
      </w:r>
      <w:bookmarkEnd w:id="2"/>
      <w:bookmarkEnd w:id="3"/>
      <w:bookmarkEnd w:id="4"/>
      <w:bookmarkEnd w:id="19"/>
      <w:bookmarkEnd w:id="20"/>
      <w:bookmarkEnd w:id="21"/>
      <w:bookmarkEnd w:id="22"/>
      <w:bookmarkEnd w:id="23"/>
      <w:bookmarkEnd w:id="24"/>
      <w:bookmarkEnd w:id="25"/>
      <w:bookmarkEnd w:id="26"/>
      <w:bookmarkEnd w:id="27"/>
      <w:bookmarkEnd w:id="28"/>
      <w:bookmarkEnd w:id="29"/>
      <w:bookmarkEnd w:id="30"/>
      <w:bookmarkEnd w:id="31"/>
      <w:bookmarkEnd w:id="32"/>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5"/>
        <w:jc w:val="center"/>
        <w:rPr>
          <w:rFonts w:ascii="黑体" w:hAnsi="黑体" w:eastAsia="黑体"/>
          <w:b w:val="0"/>
          <w:color w:val="000000" w:themeColor="text1"/>
          <w:sz w:val="28"/>
          <w:szCs w:val="28"/>
          <w:highlight w:val="none"/>
          <w:u w:val="single"/>
          <w14:textFill>
            <w14:solidFill>
              <w14:schemeClr w14:val="tx1"/>
            </w14:solidFill>
          </w14:textFill>
        </w:rPr>
      </w:pPr>
      <w:bookmarkStart w:id="33" w:name="_Toc9434"/>
      <w:bookmarkStart w:id="34" w:name="_Toc21097"/>
      <w:bookmarkStart w:id="35" w:name="_Toc21356"/>
      <w:bookmarkStart w:id="36" w:name="_Toc52137698"/>
      <w:bookmarkStart w:id="37" w:name="_Toc3447"/>
      <w:bookmarkStart w:id="38" w:name="_Toc3702"/>
      <w:bookmarkStart w:id="39" w:name="_Toc6638"/>
      <w:bookmarkStart w:id="40" w:name="_Toc106719272"/>
      <w:bookmarkStart w:id="41" w:name="_Toc17820"/>
      <w:bookmarkStart w:id="42" w:name="_Toc6265"/>
      <w:bookmarkStart w:id="43" w:name="_Toc21946"/>
      <w:bookmarkStart w:id="44" w:name="_Toc3772"/>
      <w:bookmarkStart w:id="45" w:name="_Toc2431"/>
      <w:bookmarkStart w:id="46" w:name="_Toc1832"/>
      <w:r>
        <w:rPr>
          <w:rFonts w:hint="eastAsia" w:ascii="黑体" w:hAnsi="黑体" w:eastAsia="黑体"/>
          <w:b w:val="0"/>
          <w:color w:val="000000" w:themeColor="text1"/>
          <w:sz w:val="28"/>
          <w:szCs w:val="28"/>
          <w:highlight w:val="none"/>
          <w14:textFill>
            <w14:solidFill>
              <w14:schemeClr w14:val="tx1"/>
            </w14:solidFill>
          </w14:textFill>
        </w:rPr>
        <w:t>第一章 招标公告</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7" w:name="_Toc2578"/>
      <w:bookmarkStart w:id="48" w:name="_Toc6439"/>
      <w:bookmarkStart w:id="49" w:name="_Toc5240"/>
      <w:bookmarkStart w:id="50" w:name="_Toc16005"/>
      <w:bookmarkStart w:id="51" w:name="_Toc10996"/>
      <w:bookmarkStart w:id="52" w:name="_Toc52137699"/>
      <w:bookmarkStart w:id="53" w:name="_Toc19078"/>
      <w:bookmarkStart w:id="54" w:name="_Toc106719273"/>
      <w:bookmarkStart w:id="55" w:name="_Toc10149"/>
      <w:bookmarkStart w:id="56" w:name="_Toc32397"/>
      <w:bookmarkStart w:id="57" w:name="_Toc21105"/>
      <w:bookmarkStart w:id="58" w:name="_Toc20454"/>
      <w:bookmarkStart w:id="59" w:name="_Toc22352"/>
      <w:bookmarkStart w:id="60" w:name="_Toc6601"/>
      <w:r>
        <w:rPr>
          <w:rFonts w:hint="eastAsia" w:ascii="黑体" w:hAnsi="黑体" w:eastAsia="黑体"/>
          <w:b w:val="0"/>
          <w:color w:val="000000" w:themeColor="text1"/>
          <w:sz w:val="28"/>
          <w:szCs w:val="28"/>
          <w:highlight w:val="none"/>
          <w14:textFill>
            <w14:solidFill>
              <w14:schemeClr w14:val="tx1"/>
            </w14:solidFill>
          </w14:textFill>
        </w:rPr>
        <w:t>1.招标条件</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
      </w:r>
      <w:r>
        <w:rPr>
          <w:rFonts w:hint="eastAsia" w:ascii="宋体" w:hAnsi="宋体"/>
          <w:color w:val="000000" w:themeColor="text1"/>
          <w:sz w:val="21"/>
          <w:szCs w:val="21"/>
          <w:highlight w:val="none"/>
          <w14:textFill>
            <w14:solidFill>
              <w14:schemeClr w14:val="tx1"/>
            </w14:solidFill>
          </w14:textFill>
        </w:rPr>
        <w:t>已由</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
      </w:r>
      <w:r>
        <w:rPr>
          <w:rFonts w:hint="eastAsia" w:ascii="宋体" w:hAnsi="宋体"/>
          <w:color w:val="000000" w:themeColor="text1"/>
          <w:sz w:val="21"/>
          <w:szCs w:val="21"/>
          <w:highlight w:val="none"/>
          <w14:textFill>
            <w14:solidFill>
              <w14:schemeClr w14:val="tx1"/>
            </w14:solidFill>
          </w14:textFill>
        </w:rPr>
        <w:t>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
      </w:r>
      <w:r>
        <w:rPr>
          <w:rFonts w:hint="eastAsia" w:ascii="宋体" w:hAnsi="宋体"/>
          <w:color w:val="000000" w:themeColor="text1"/>
          <w:sz w:val="21"/>
          <w:szCs w:val="21"/>
          <w:highlight w:val="none"/>
          <w14:textFill>
            <w14:solidFill>
              <w14:schemeClr w14:val="tx1"/>
            </w14:solidFill>
          </w14:textFill>
        </w:rPr>
        <w:t>批准建设，项目建设单位为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，建设资金来源为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，委托的招标代理单位为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。项目已具备招标条件，现决定对该项目的勘察</w:t>
      </w:r>
      <w:r>
        <w:rPr>
          <w:rFonts w:hint="eastAsia" w:ascii="宋体" w:hAnsi="宋体"/>
          <w:color w:val="000000" w:themeColor="text1"/>
          <w:sz w:val="21"/>
          <w:szCs w:val="21"/>
          <w:highlight w:val="none"/>
          <w:u w:val="none"/>
          <w:lang w:val="en-US" w:eastAsia="zh-CN"/>
          <w14:textFill>
            <w14:solidFill>
              <w14:schemeClr w14:val="tx1"/>
            </w14:solidFill>
          </w14:textFill>
        </w:rPr>
        <w:t>采用“评定分离”办法</w:t>
      </w:r>
      <w:r>
        <w:rPr>
          <w:rFonts w:hint="eastAsia" w:ascii="宋体" w:hAnsi="宋体"/>
          <w:color w:val="000000" w:themeColor="text1"/>
          <w:sz w:val="21"/>
          <w:szCs w:val="21"/>
          <w:highlight w:val="none"/>
          <w14:textFill>
            <w14:solidFill>
              <w14:schemeClr w14:val="tx1"/>
            </w14:solidFill>
          </w14:textFill>
        </w:rPr>
        <w:t>进行公开招标，择优选定勘察单位。</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1" w:name="_Toc20841"/>
      <w:bookmarkStart w:id="62" w:name="_Toc17488"/>
      <w:bookmarkStart w:id="63" w:name="_Toc16588"/>
      <w:bookmarkStart w:id="64" w:name="_Toc30494"/>
      <w:bookmarkStart w:id="65" w:name="_Toc52137700"/>
      <w:bookmarkStart w:id="66" w:name="_Toc106719274"/>
      <w:bookmarkStart w:id="67" w:name="_Toc26779"/>
      <w:bookmarkStart w:id="68" w:name="_Toc25576"/>
      <w:bookmarkStart w:id="69" w:name="_Toc4836"/>
      <w:bookmarkStart w:id="70" w:name="_Toc14416"/>
      <w:bookmarkStart w:id="71" w:name="_Toc26718"/>
      <w:bookmarkStart w:id="72" w:name="_Toc530"/>
      <w:bookmarkStart w:id="73" w:name="_Toc18544"/>
      <w:bookmarkStart w:id="74" w:name="_Toc27050"/>
      <w:r>
        <w:rPr>
          <w:rFonts w:hint="eastAsia" w:ascii="黑体" w:hAnsi="黑体" w:eastAsia="黑体"/>
          <w:b w:val="0"/>
          <w:color w:val="000000" w:themeColor="text1"/>
          <w:sz w:val="28"/>
          <w:szCs w:val="28"/>
          <w:highlight w:val="none"/>
          <w14:textFill>
            <w14:solidFill>
              <w14:schemeClr w14:val="tx1"/>
            </w14:solidFill>
          </w14:textFill>
        </w:rPr>
        <w:t>2.项目概况与招标范围</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widowControl/>
        <w:tabs>
          <w:tab w:val="left" w:pos="510"/>
        </w:tabs>
        <w:adjustRightInd/>
        <w:spacing w:line="360" w:lineRule="auto"/>
        <w:ind w:firstLine="422" w:firstLineChars="201"/>
        <w:jc w:val="left"/>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2.1.项目概况</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2.1.1.建设地点：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2.1.2.工程建设规模：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2.1.3.投资总额：人民币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万元。其中，工程费用限额：人民币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2.1.4.最高投标报价限价：</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2.2.招标范围与内容</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2.2.1.工程类别：</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4"/>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2.2.2.招标范围：</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5"/>
      </w:r>
      <w:r>
        <w:rPr>
          <w:rFonts w:hint="eastAsia" w:ascii="宋体" w:hAnsi="宋体"/>
          <w:color w:val="000000" w:themeColor="text1"/>
          <w:sz w:val="21"/>
          <w:szCs w:val="21"/>
          <w:highlight w:val="none"/>
          <w14:textFill>
            <w14:solidFill>
              <w14:schemeClr w14:val="tx1"/>
            </w14:solidFill>
          </w14:textFill>
        </w:rPr>
        <w:t>。</w:t>
      </w:r>
    </w:p>
    <w:p>
      <w:pPr>
        <w:widowControl/>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2.2.3.招标内容：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2.2.4.标段划分：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5" w:name="_Toc627"/>
      <w:bookmarkStart w:id="76" w:name="_Toc20971"/>
      <w:bookmarkStart w:id="77" w:name="_Toc29723"/>
      <w:bookmarkStart w:id="78" w:name="_Toc2055"/>
      <w:bookmarkStart w:id="79" w:name="_Toc106719275"/>
      <w:bookmarkStart w:id="80" w:name="_Toc12153"/>
      <w:bookmarkStart w:id="81" w:name="_Toc24733"/>
      <w:bookmarkStart w:id="82" w:name="_Toc30601"/>
      <w:bookmarkStart w:id="83" w:name="_Toc18137"/>
      <w:bookmarkStart w:id="84" w:name="_Toc14301"/>
      <w:bookmarkStart w:id="85" w:name="_Toc52137701"/>
      <w:bookmarkStart w:id="86" w:name="_Toc4408"/>
      <w:bookmarkStart w:id="87" w:name="_Toc6887"/>
      <w:bookmarkStart w:id="88" w:name="_Toc20211"/>
      <w:r>
        <w:rPr>
          <w:rFonts w:hint="eastAsia" w:ascii="黑体" w:hAnsi="黑体" w:eastAsia="黑体"/>
          <w:b w:val="0"/>
          <w:color w:val="000000" w:themeColor="text1"/>
          <w:sz w:val="28"/>
          <w:szCs w:val="28"/>
          <w:highlight w:val="none"/>
          <w14:textFill>
            <w14:solidFill>
              <w14:schemeClr w14:val="tx1"/>
            </w14:solidFill>
          </w14:textFill>
        </w:rPr>
        <w:t>3.投标人资格要求</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3.1.本招标项目要求投标人具备住房城乡建设行政主管部门核发的有效的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6"/>
      </w:r>
      <w:r>
        <w:rPr>
          <w:rFonts w:hint="eastAsia" w:ascii="宋体" w:hAnsi="宋体"/>
          <w:color w:val="000000" w:themeColor="text1"/>
          <w:sz w:val="21"/>
          <w:szCs w:val="21"/>
          <w:highlight w:val="none"/>
          <w14:textFill>
            <w14:solidFill>
              <w14:schemeClr w14:val="tx1"/>
            </w14:solidFill>
          </w14:textFill>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3.2.本招标项目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7"/>
      </w:r>
      <w:r>
        <w:rPr>
          <w:rFonts w:hint="eastAsia" w:ascii="宋体" w:hAnsi="宋体"/>
          <w:color w:val="000000" w:themeColor="text1"/>
          <w:sz w:val="21"/>
          <w:szCs w:val="21"/>
          <w:highlight w:val="none"/>
          <w14:textFill>
            <w14:solidFill>
              <w14:schemeClr w14:val="tx1"/>
            </w14:solidFill>
          </w14:textFill>
        </w:rPr>
        <w:t>联合体投标，自愿组成联合体的应由资质等级高的单位为联合体牵头人，同等级时应明确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3.3.投标人拟派出担任本招标项目的勘察项目负责人应具备有效的国家注册土木工程师（岩土）执业证书。</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3.4.投标人及其拟派出担任本勘察项目负责人均应具备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hint="eastAsia" w:ascii="宋体" w:hAnsi="宋体"/>
          <w:color w:val="000000" w:themeColor="text1"/>
          <w:sz w:val="21"/>
          <w:szCs w:val="21"/>
          <w:highlight w:val="none"/>
          <w:u w:val="single"/>
          <w14:textFill>
            <w14:solidFill>
              <w14:schemeClr w14:val="tx1"/>
            </w14:solidFill>
          </w14:textFill>
        </w:rPr>
        <w:footnoteReference w:id="8"/>
      </w:r>
      <w:r>
        <w:rPr>
          <w:rFonts w:hint="eastAsia" w:ascii="宋体" w:hAnsi="宋体"/>
          <w:color w:val="000000" w:themeColor="text1"/>
          <w:sz w:val="21"/>
          <w:szCs w:val="21"/>
          <w:highlight w:val="none"/>
          <w14:textFill>
            <w14:solidFill>
              <w14:schemeClr w14:val="tx1"/>
            </w14:solidFill>
          </w14:textFill>
        </w:rPr>
        <w:t>项类似项目勘察业绩</w:t>
      </w:r>
      <w:r>
        <w:rPr>
          <w:rFonts w:hint="eastAsia" w:ascii="宋体"/>
          <w:color w:val="000000" w:themeColor="text1"/>
          <w:sz w:val="21"/>
          <w:szCs w:val="21"/>
          <w:highlight w:val="none"/>
          <w14:textFill>
            <w14:solidFill>
              <w14:schemeClr w14:val="tx1"/>
            </w14:solidFill>
          </w14:textFill>
        </w:rPr>
        <w:t>（仅适用于甲级、乙级工程勘察项目）</w:t>
      </w:r>
      <w:r>
        <w:rPr>
          <w:rFonts w:hint="eastAsia" w:ascii="宋体" w:hAnsi="宋体"/>
          <w:color w:val="000000" w:themeColor="text1"/>
          <w:sz w:val="21"/>
          <w:szCs w:val="21"/>
          <w:highlight w:val="none"/>
          <w14:textFill>
            <w14:solidFill>
              <w14:schemeClr w14:val="tx1"/>
            </w14:solidFill>
          </w14:textFill>
        </w:rPr>
        <w:t>。类似项目勘察业绩是指（下同）：自本招标公告发布之日的前三年内（以施工图审查报告日期为准，不含发布招标公告当日）投标人、勘察项目负责人完成的与招标项目同级或以上的工程勘察项目。</w:t>
      </w:r>
    </w:p>
    <w:p>
      <w:pPr>
        <w:widowControl/>
        <w:tabs>
          <w:tab w:val="left" w:pos="510"/>
          <w:tab w:val="left" w:pos="900"/>
          <w:tab w:val="left" w:pos="1100"/>
        </w:tabs>
        <w:adjustRightInd/>
        <w:spacing w:line="360" w:lineRule="auto"/>
        <w:ind w:firstLine="422" w:firstLineChars="201"/>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r>
        <w:rPr>
          <w:rFonts w:hint="eastAsia" w:ascii="宋体" w:hAnsi="宋体" w:cs="瀹嬩綋"/>
          <w:color w:val="000000" w:themeColor="text1"/>
          <w:sz w:val="21"/>
          <w:szCs w:val="21"/>
          <w:highlight w:val="none"/>
          <w14:textFill>
            <w14:solidFill>
              <w14:schemeClr w14:val="tx1"/>
            </w14:solidFill>
          </w14:textFill>
        </w:rPr>
        <w:t>各投标人均可就本招标项目中的所有标段提出投标申请，但招标人允许中标的标段数量为</w:t>
      </w:r>
    </w:p>
    <w:p>
      <w:pPr>
        <w:widowControl/>
        <w:tabs>
          <w:tab w:val="left" w:pos="510"/>
          <w:tab w:val="left" w:pos="900"/>
          <w:tab w:val="left" w:pos="1100"/>
        </w:tabs>
        <w:adjustRightInd/>
        <w:spacing w:line="360" w:lineRule="auto"/>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个标段</w:t>
      </w:r>
      <w:r>
        <w:rPr>
          <w:rFonts w:hint="eastAsia" w:ascii="宋体" w:hAnsi="宋体" w:cs="瀹嬩綋"/>
          <w:color w:val="000000" w:themeColor="text1"/>
          <w:sz w:val="21"/>
          <w:szCs w:val="21"/>
          <w:highlight w:val="none"/>
          <w14:textFill>
            <w14:solidFill>
              <w14:schemeClr w14:val="tx1"/>
            </w14:solidFill>
          </w14:textFill>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14:textFill>
            <w14:solidFill>
              <w14:schemeClr w14:val="tx1"/>
            </w14:solidFill>
          </w14:textFill>
        </w:rPr>
        <w:t>3.6.</w:t>
      </w:r>
      <w:r>
        <w:rPr>
          <w:rFonts w:hint="eastAsia"/>
          <w:color w:val="000000" w:themeColor="text1"/>
          <w:sz w:val="21"/>
          <w:szCs w:val="21"/>
          <w:highlight w:val="none"/>
          <w14:textFill>
            <w14:solidFill>
              <w14:schemeClr w14:val="tx1"/>
            </w14:solidFill>
          </w14:textFill>
        </w:rPr>
        <w:t>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3.7.</w:t>
      </w:r>
      <w:r>
        <w:rPr>
          <w:rFonts w:hint="eastAsia" w:ascii="宋体" w:hAnsi="宋体" w:cs="瀹嬩綋"/>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14:textFill>
            <w14:solidFill>
              <w14:schemeClr w14:val="tx1"/>
            </w14:solidFill>
          </w14:textFill>
        </w:rPr>
        <w:t>其他主要勘察人员要求、以及资格审查的其他条件要求的具体内容见招标文件。</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3.8.本招标项目招标人对投标人的资格审查采用资格后审方式。</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9" w:name="_Toc1836"/>
      <w:bookmarkStart w:id="90" w:name="_Toc22051"/>
      <w:bookmarkStart w:id="91" w:name="_Toc855"/>
      <w:bookmarkStart w:id="92" w:name="_Toc12251"/>
      <w:bookmarkStart w:id="93" w:name="_Toc52137703"/>
      <w:bookmarkStart w:id="94" w:name="_Toc26844"/>
      <w:bookmarkStart w:id="95" w:name="_Toc11699"/>
      <w:bookmarkStart w:id="96" w:name="_Toc11009"/>
      <w:bookmarkStart w:id="97" w:name="_Toc26536"/>
      <w:bookmarkStart w:id="98" w:name="_Toc4186"/>
      <w:bookmarkStart w:id="99" w:name="_Toc106719276"/>
      <w:bookmarkStart w:id="100" w:name="_Toc8691"/>
      <w:bookmarkStart w:id="101" w:name="_Toc5329"/>
      <w:bookmarkStart w:id="102" w:name="_Toc9395"/>
      <w:r>
        <w:rPr>
          <w:rFonts w:hint="eastAsia" w:ascii="黑体" w:hAnsi="黑体" w:eastAsia="黑体"/>
          <w:b w:val="0"/>
          <w:color w:val="000000" w:themeColor="text1"/>
          <w:sz w:val="28"/>
          <w:szCs w:val="28"/>
          <w:highlight w:val="none"/>
          <w14:textFill>
            <w14:solidFill>
              <w14:schemeClr w14:val="tx1"/>
            </w14:solidFill>
          </w14:textFill>
        </w:rPr>
        <w:t>4.招标文件的获取</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凡有意参加投标者，请于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日，每天上午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秒，下午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秒（北京时间，下同），通过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9"/>
      </w:r>
      <w:r>
        <w:rPr>
          <w:rFonts w:hint="eastAsia" w:ascii="宋体" w:hAnsi="宋体"/>
          <w:color w:val="000000" w:themeColor="text1"/>
          <w:sz w:val="21"/>
          <w:szCs w:val="21"/>
          <w:highlight w:val="none"/>
          <w14:textFill>
            <w14:solidFill>
              <w14:schemeClr w14:val="tx1"/>
            </w14:solidFill>
          </w14:textFill>
        </w:rPr>
        <w:t>采用无记名方式免费下载招标文件（含资格审查文件）。</w:t>
      </w:r>
      <w:r>
        <w:rPr>
          <w:rFonts w:hint="eastAsia" w:ascii="宋体" w:hAnsi="宋体" w:cs="瀹嬩綋"/>
          <w:color w:val="000000" w:themeColor="text1"/>
          <w:sz w:val="21"/>
          <w:szCs w:val="21"/>
          <w:highlight w:val="none"/>
          <w14:textFill>
            <w14:solidFill>
              <w14:schemeClr w14:val="tx1"/>
            </w14:solidFill>
          </w14:textFill>
        </w:rPr>
        <w:t>本招标项目电子招标文件使用</w:t>
      </w:r>
      <w:r>
        <w:rPr>
          <w:rFonts w:hint="eastAsia" w:ascii="宋体" w:hAnsi="宋体" w:cs="瀹嬩綋"/>
          <w:color w:val="000000" w:themeColor="text1"/>
          <w:sz w:val="21"/>
          <w:szCs w:val="21"/>
          <w:highlight w:val="none"/>
          <w:u w:val="single"/>
          <w14:textFill>
            <w14:solidFill>
              <w14:schemeClr w14:val="tx1"/>
            </w14:solidFill>
          </w14:textFill>
        </w:rPr>
        <w:t xml:space="preserve">              </w:t>
      </w:r>
      <w:r>
        <w:rPr>
          <w:rStyle w:val="49"/>
          <w:rFonts w:ascii="宋体" w:hAnsi="宋体" w:cs="瀹嬩綋"/>
          <w:color w:val="000000" w:themeColor="text1"/>
          <w:sz w:val="21"/>
          <w:szCs w:val="21"/>
          <w:highlight w:val="none"/>
          <w:u w:val="single"/>
          <w14:textFill>
            <w14:solidFill>
              <w14:schemeClr w14:val="tx1"/>
            </w14:solidFill>
          </w14:textFill>
        </w:rPr>
        <w:footnoteReference w:id="10"/>
      </w:r>
      <w:r>
        <w:rPr>
          <w:rFonts w:hint="eastAsia" w:ascii="宋体" w:hAnsi="宋体" w:cs="瀹嬩綋"/>
          <w:color w:val="000000" w:themeColor="text1"/>
          <w:sz w:val="21"/>
          <w:szCs w:val="21"/>
          <w:highlight w:val="none"/>
          <w14:textFill>
            <w14:solidFill>
              <w14:schemeClr w14:val="tx1"/>
            </w14:solidFill>
          </w14:textFill>
        </w:rPr>
        <w:t>打开。</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03" w:name="_Toc25498"/>
      <w:bookmarkStart w:id="104" w:name="_Toc28643"/>
      <w:bookmarkStart w:id="105" w:name="_Toc25042"/>
      <w:bookmarkStart w:id="106" w:name="_Toc6905"/>
      <w:bookmarkStart w:id="107" w:name="_Toc106719277"/>
      <w:bookmarkStart w:id="108" w:name="_Toc3130"/>
      <w:bookmarkStart w:id="109" w:name="_Toc27845"/>
      <w:bookmarkStart w:id="110" w:name="_Toc52137704"/>
      <w:bookmarkStart w:id="111" w:name="_Toc27772"/>
      <w:bookmarkStart w:id="112" w:name="_Toc8515"/>
      <w:bookmarkStart w:id="113" w:name="_Toc28159"/>
      <w:bookmarkStart w:id="114" w:name="_Toc13787"/>
      <w:bookmarkStart w:id="115" w:name="_Toc12131"/>
      <w:bookmarkStart w:id="116" w:name="_Toc2825"/>
      <w:r>
        <w:rPr>
          <w:rFonts w:hint="eastAsia" w:ascii="黑体" w:hAnsi="黑体" w:eastAsia="黑体"/>
          <w:b w:val="0"/>
          <w:color w:val="000000" w:themeColor="text1"/>
          <w:sz w:val="28"/>
          <w:szCs w:val="28"/>
          <w:highlight w:val="none"/>
          <w14:textFill>
            <w14:solidFill>
              <w14:schemeClr w14:val="tx1"/>
            </w14:solidFill>
          </w14:textFill>
        </w:rPr>
        <w:t>5.评标办法</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本招标项目采用的评标办法：</w:t>
      </w:r>
      <w:r>
        <w:rPr>
          <w:rFonts w:hint="eastAsia" w:ascii="宋体" w:hAnsi="宋体"/>
          <w:color w:val="000000" w:themeColor="text1"/>
          <w:sz w:val="21"/>
          <w:szCs w:val="21"/>
          <w:highlight w:val="none"/>
          <w:u w:val="single"/>
          <w14:textFill>
            <w14:solidFill>
              <w14:schemeClr w14:val="tx1"/>
            </w14:solidFill>
          </w14:textFill>
        </w:rPr>
        <w:t>定性评审法</w:t>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7" w:name="_Toc23475"/>
      <w:bookmarkStart w:id="118" w:name="_Toc106719278"/>
      <w:bookmarkStart w:id="119" w:name="_Toc13485"/>
      <w:bookmarkStart w:id="120" w:name="_Toc8935"/>
      <w:bookmarkStart w:id="121" w:name="_Toc25915"/>
      <w:bookmarkStart w:id="122" w:name="_Toc32343"/>
      <w:bookmarkStart w:id="123" w:name="_Toc12516"/>
      <w:bookmarkStart w:id="124" w:name="_Toc52137705"/>
      <w:bookmarkStart w:id="125" w:name="_Toc25961"/>
      <w:bookmarkStart w:id="126" w:name="_Toc3577"/>
      <w:bookmarkStart w:id="127" w:name="_Toc16860"/>
      <w:bookmarkStart w:id="128" w:name="_Toc11039"/>
      <w:bookmarkStart w:id="129" w:name="_Toc4056"/>
      <w:bookmarkStart w:id="130" w:name="_Toc23327"/>
      <w:r>
        <w:rPr>
          <w:rFonts w:hint="eastAsia" w:ascii="黑体" w:hAnsi="黑体" w:eastAsia="黑体"/>
          <w:b w:val="0"/>
          <w:color w:val="000000" w:themeColor="text1"/>
          <w:sz w:val="28"/>
          <w:szCs w:val="28"/>
          <w:highlight w:val="none"/>
          <w14:textFill>
            <w14:solidFill>
              <w14:schemeClr w14:val="tx1"/>
            </w14:solidFill>
          </w14:textFill>
        </w:rPr>
        <w:t>6.定标</w:t>
      </w:r>
      <w:r>
        <w:rPr>
          <w:rFonts w:hint="eastAsia" w:ascii="黑体" w:hAnsi="黑体" w:eastAsia="黑体"/>
          <w:b w:val="0"/>
          <w:color w:val="000000" w:themeColor="text1"/>
          <w:sz w:val="28"/>
          <w:szCs w:val="28"/>
          <w:highlight w:val="none"/>
          <w:lang w:val="en-US" w:eastAsia="zh-CN"/>
          <w14:textFill>
            <w14:solidFill>
              <w14:schemeClr w14:val="tx1"/>
            </w14:solidFill>
          </w14:textFill>
        </w:rPr>
        <w:t>方</w:t>
      </w:r>
      <w:r>
        <w:rPr>
          <w:rFonts w:hint="eastAsia" w:ascii="黑体" w:hAnsi="黑体" w:eastAsia="黑体"/>
          <w:b w:val="0"/>
          <w:color w:val="000000" w:themeColor="text1"/>
          <w:sz w:val="28"/>
          <w:szCs w:val="28"/>
          <w:highlight w:val="none"/>
          <w14:textFill>
            <w14:solidFill>
              <w14:schemeClr w14:val="tx1"/>
            </w14:solidFill>
          </w14:textFill>
        </w:rPr>
        <w:t>法</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本招标项目采用的定标</w:t>
      </w:r>
      <w:r>
        <w:rPr>
          <w:rFonts w:hint="eastAsia" w:ascii="宋体" w:hAnsi="宋体"/>
          <w:color w:val="000000" w:themeColor="text1"/>
          <w:sz w:val="21"/>
          <w:szCs w:val="21"/>
          <w:highlight w:val="none"/>
          <w:lang w:val="en-US" w:eastAsia="zh-CN"/>
          <w14:textFill>
            <w14:solidFill>
              <w14:schemeClr w14:val="tx1"/>
            </w14:solidFill>
          </w14:textFill>
        </w:rPr>
        <w:t>方</w:t>
      </w:r>
      <w:r>
        <w:rPr>
          <w:rFonts w:hint="eastAsia" w:ascii="宋体" w:hAnsi="宋体"/>
          <w:color w:val="000000" w:themeColor="text1"/>
          <w:sz w:val="21"/>
          <w:szCs w:val="21"/>
          <w:highlight w:val="none"/>
          <w14:textFill>
            <w14:solidFill>
              <w14:schemeClr w14:val="tx1"/>
            </w14:solidFill>
          </w14:textFill>
        </w:rPr>
        <w:t>法：</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1"/>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hint="eastAsia" w:ascii="黑体" w:hAnsi="黑体" w:eastAsia="黑体"/>
          <w:b w:val="0"/>
          <w:color w:val="000000" w:themeColor="text1"/>
          <w:sz w:val="28"/>
          <w:szCs w:val="28"/>
          <w:highlight w:val="none"/>
          <w:lang w:eastAsia="zh-CN"/>
          <w14:textFill>
            <w14:solidFill>
              <w14:schemeClr w14:val="tx1"/>
            </w14:solidFill>
          </w14:textFill>
        </w:rPr>
      </w:pPr>
      <w:bookmarkStart w:id="131" w:name="_Toc52137706"/>
      <w:bookmarkStart w:id="132" w:name="_Toc17747"/>
      <w:bookmarkStart w:id="133" w:name="_Toc26972"/>
      <w:bookmarkStart w:id="134" w:name="_Toc106719279"/>
      <w:bookmarkStart w:id="135" w:name="_Toc24311"/>
      <w:bookmarkStart w:id="136" w:name="_Toc6223"/>
      <w:bookmarkStart w:id="137" w:name="_Toc9842"/>
      <w:bookmarkStart w:id="138" w:name="_Toc28264"/>
      <w:bookmarkStart w:id="139" w:name="_Toc15229"/>
      <w:bookmarkStart w:id="140" w:name="_Toc16778"/>
      <w:bookmarkStart w:id="141" w:name="_Toc13273"/>
      <w:bookmarkStart w:id="142" w:name="_Toc24690"/>
      <w:bookmarkStart w:id="143" w:name="_Toc16131"/>
      <w:bookmarkStart w:id="144" w:name="_Toc16507"/>
      <w:r>
        <w:rPr>
          <w:rFonts w:hint="eastAsia" w:ascii="黑体" w:hAnsi="黑体" w:eastAsia="黑体"/>
          <w:b w:val="0"/>
          <w:color w:val="000000" w:themeColor="text1"/>
          <w:sz w:val="28"/>
          <w:szCs w:val="28"/>
          <w:highlight w:val="none"/>
          <w14:textFill>
            <w14:solidFill>
              <w14:schemeClr w14:val="tx1"/>
            </w14:solidFill>
          </w14:textFill>
        </w:rPr>
        <w:t>7.投标保证金的</w:t>
      </w:r>
      <w:bookmarkEnd w:id="131"/>
      <w:bookmarkEnd w:id="132"/>
      <w:bookmarkEnd w:id="133"/>
      <w:bookmarkEnd w:id="134"/>
      <w:bookmarkEnd w:id="135"/>
      <w:bookmarkEnd w:id="136"/>
      <w:bookmarkEnd w:id="137"/>
      <w:bookmarkEnd w:id="138"/>
      <w:bookmarkEnd w:id="139"/>
      <w:bookmarkEnd w:id="140"/>
      <w:r>
        <w:rPr>
          <w:rFonts w:hint="eastAsia" w:ascii="黑体" w:hAnsi="黑体" w:eastAsia="黑体"/>
          <w:b w:val="0"/>
          <w:color w:val="000000" w:themeColor="text1"/>
          <w:sz w:val="28"/>
          <w:szCs w:val="28"/>
          <w:highlight w:val="none"/>
          <w:lang w:eastAsia="zh-CN"/>
          <w14:textFill>
            <w14:solidFill>
              <w14:schemeClr w14:val="tx1"/>
            </w14:solidFill>
          </w14:textFill>
        </w:rPr>
        <w:t>递交</w:t>
      </w:r>
      <w:bookmarkEnd w:id="141"/>
      <w:bookmarkEnd w:id="142"/>
      <w:bookmarkEnd w:id="143"/>
      <w:bookmarkEnd w:id="144"/>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7.1.投标保证金</w:t>
      </w:r>
      <w:r>
        <w:rPr>
          <w:rFonts w:hint="eastAsia" w:ascii="宋体" w:hAnsi="宋体"/>
          <w:color w:val="000000" w:themeColor="text1"/>
          <w:sz w:val="21"/>
          <w:szCs w:val="21"/>
          <w:highlight w:val="none"/>
          <w:lang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7.2.投标保证金</w:t>
      </w:r>
      <w:r>
        <w:rPr>
          <w:rFonts w:hint="eastAsia" w:ascii="宋体" w:hAnsi="宋体"/>
          <w:color w:val="000000" w:themeColor="text1"/>
          <w:sz w:val="21"/>
          <w:szCs w:val="21"/>
          <w:highlight w:val="none"/>
          <w:lang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7.3.投标保证金</w:t>
      </w:r>
      <w:r>
        <w:rPr>
          <w:rFonts w:hint="eastAsia" w:ascii="宋体" w:hAnsi="宋体"/>
          <w:color w:val="000000" w:themeColor="text1"/>
          <w:sz w:val="21"/>
          <w:szCs w:val="21"/>
          <w:highlight w:val="none"/>
          <w:lang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的金额：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45" w:name="_Toc24165"/>
      <w:bookmarkStart w:id="146" w:name="_Toc6600"/>
      <w:bookmarkStart w:id="147" w:name="_Toc26079"/>
      <w:bookmarkStart w:id="148" w:name="_Toc20937"/>
      <w:bookmarkStart w:id="149" w:name="_Toc26409"/>
      <w:bookmarkStart w:id="150" w:name="_Toc4393"/>
      <w:bookmarkStart w:id="151" w:name="_Toc21170"/>
      <w:bookmarkStart w:id="152" w:name="_Toc8465"/>
      <w:bookmarkStart w:id="153" w:name="_Toc27398"/>
      <w:bookmarkStart w:id="154" w:name="_Toc52137707"/>
      <w:bookmarkStart w:id="155" w:name="_Toc15502"/>
      <w:bookmarkStart w:id="156" w:name="_Toc9984"/>
      <w:bookmarkStart w:id="157" w:name="_Toc106719280"/>
      <w:bookmarkStart w:id="158" w:name="_Toc23129"/>
      <w:r>
        <w:rPr>
          <w:rFonts w:hint="eastAsia" w:ascii="黑体" w:hAnsi="黑体" w:eastAsia="黑体"/>
          <w:b w:val="0"/>
          <w:color w:val="000000" w:themeColor="text1"/>
          <w:sz w:val="28"/>
          <w:szCs w:val="28"/>
          <w:highlight w:val="none"/>
          <w14:textFill>
            <w14:solidFill>
              <w14:schemeClr w14:val="tx1"/>
            </w14:solidFill>
          </w14:textFill>
        </w:rPr>
        <w:t>8.投标文件的递交</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8.1.本招标项目投标文件采用线上方式递交，投标文件的截止时间（投标截止时间，下同）：</w:t>
      </w:r>
    </w:p>
    <w:p>
      <w:pPr>
        <w:widowControl/>
        <w:tabs>
          <w:tab w:val="left" w:pos="900"/>
          <w:tab w:val="left" w:pos="1100"/>
        </w:tabs>
        <w:adjustRightInd/>
        <w:spacing w:line="360" w:lineRule="auto"/>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秒，投标人应在截止时间前通过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2"/>
      </w:r>
      <w:r>
        <w:rPr>
          <w:rFonts w:hint="eastAsia" w:ascii="宋体" w:hAnsi="宋体"/>
          <w:color w:val="000000" w:themeColor="text1"/>
          <w:sz w:val="21"/>
          <w:szCs w:val="21"/>
          <w:highlight w:val="none"/>
          <w14:textFill>
            <w14:solidFill>
              <w14:schemeClr w14:val="tx1"/>
            </w14:solidFill>
          </w14:textFill>
        </w:rPr>
        <w:t>递交电子投标文件。</w:t>
      </w:r>
      <w:r>
        <w:rPr>
          <w:rFonts w:hint="eastAsia" w:ascii="宋体" w:hAnsi="宋体" w:cs="瀹嬩綋"/>
          <w:color w:val="000000" w:themeColor="text1"/>
          <w:sz w:val="21"/>
          <w:szCs w:val="21"/>
          <w:highlight w:val="none"/>
          <w14:textFill>
            <w14:solidFill>
              <w14:schemeClr w14:val="tx1"/>
            </w14:solidFill>
          </w14:textFill>
        </w:rPr>
        <w:t>联合投标的，投标文件应由联合体牵头单位的</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加密并上传到电子交易平台，开标时由上传此投标文件的单位</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解密。</w:t>
      </w:r>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8.2.逾期递交至指定电子交易平台的投标文件，电子交易平台将不予受理。</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59" w:name="_Toc52137708"/>
      <w:bookmarkStart w:id="160" w:name="_Toc18199"/>
      <w:bookmarkStart w:id="161" w:name="_Toc10010"/>
      <w:bookmarkStart w:id="162" w:name="_Toc106719281"/>
      <w:bookmarkStart w:id="163" w:name="_Toc757"/>
      <w:bookmarkStart w:id="164" w:name="_Toc6909"/>
      <w:bookmarkStart w:id="165" w:name="_Toc2745"/>
      <w:bookmarkStart w:id="166" w:name="_Toc20947"/>
      <w:bookmarkStart w:id="167" w:name="_Toc12346"/>
      <w:bookmarkStart w:id="168" w:name="_Toc13355"/>
      <w:bookmarkStart w:id="169" w:name="_Toc24622"/>
      <w:bookmarkStart w:id="170" w:name="_Toc16613"/>
      <w:bookmarkStart w:id="171" w:name="_Toc27586"/>
      <w:bookmarkStart w:id="172" w:name="_Toc2979"/>
      <w:r>
        <w:rPr>
          <w:rFonts w:hint="eastAsia" w:ascii="黑体" w:hAnsi="黑体" w:eastAsia="黑体"/>
          <w:b w:val="0"/>
          <w:color w:val="000000" w:themeColor="text1"/>
          <w:sz w:val="28"/>
          <w:szCs w:val="28"/>
          <w:highlight w:val="none"/>
          <w14:textFill>
            <w14:solidFill>
              <w14:schemeClr w14:val="tx1"/>
            </w14:solidFill>
          </w14:textFill>
        </w:rPr>
        <w:t>9.发布公告的媒体</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本次招标公告同时在</w:t>
      </w:r>
      <w:r>
        <w:rPr>
          <w:rFonts w:hint="eastAsia" w:ascii="宋体" w:hAnsi="宋体" w:cs="Times New Roman"/>
          <w:color w:val="000000" w:themeColor="text1"/>
          <w:sz w:val="21"/>
          <w:szCs w:val="21"/>
          <w:highlight w:val="none"/>
          <w:u w:val="none"/>
          <w14:textFill>
            <w14:solidFill>
              <w14:schemeClr w14:val="tx1"/>
            </w14:solidFill>
          </w14:textFill>
        </w:rPr>
        <w:t>中国招标投标公共服务平台（http://www.cebpubservice.com/）</w:t>
      </w:r>
      <w:r>
        <w:rPr>
          <w:rFonts w:hint="eastAsia" w:ascii="宋体" w:hAnsi="宋体" w:cs="Times New Roman"/>
          <w:color w:val="000000" w:themeColor="text1"/>
          <w:sz w:val="21"/>
          <w:szCs w:val="21"/>
          <w:highlight w:val="none"/>
          <w:u w:val="none"/>
          <w:lang w:eastAsia="zh-CN"/>
          <w14:textFill>
            <w14:solidFill>
              <w14:schemeClr w14:val="tx1"/>
            </w14:solidFill>
          </w14:textFill>
        </w:rPr>
        <w:t>、</w:t>
      </w:r>
      <w:r>
        <w:rPr>
          <w:rFonts w:hint="eastAsia" w:ascii="宋体" w:hAnsi="宋体" w:cs="Times New Roman"/>
          <w:color w:val="000000" w:themeColor="text1"/>
          <w:sz w:val="21"/>
          <w:szCs w:val="21"/>
          <w:highlight w:val="none"/>
          <w:u w:val="none"/>
          <w14:textFill>
            <w14:solidFill>
              <w14:schemeClr w14:val="tx1"/>
            </w14:solidFill>
          </w14:textFill>
        </w:rPr>
        <w:t>福建省公共资源交易电子公共服务平台（http://ggzyfw.fujian.gov.cn）和厦门市公共资源交易网（http://zyjy.as.xm.gov.cn/）</w:t>
      </w:r>
      <w:r>
        <w:rPr>
          <w:rFonts w:hint="eastAsia" w:ascii="宋体" w:hAnsi="宋体"/>
          <w:color w:val="000000" w:themeColor="text1"/>
          <w:sz w:val="21"/>
          <w:szCs w:val="21"/>
          <w:highlight w:val="none"/>
          <w:u w:val="none"/>
          <w14:textFill>
            <w14:solidFill>
              <w14:schemeClr w14:val="tx1"/>
            </w14:solidFill>
          </w14:textFill>
        </w:rPr>
        <w:t>上发布</w:t>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3" w:name="_Toc27716"/>
      <w:bookmarkStart w:id="174" w:name="_Toc10687"/>
      <w:bookmarkStart w:id="175" w:name="_Toc1815"/>
      <w:bookmarkStart w:id="176" w:name="_Toc3030"/>
      <w:bookmarkStart w:id="177" w:name="_Toc17095"/>
      <w:bookmarkStart w:id="178" w:name="_Toc29115"/>
      <w:bookmarkStart w:id="179" w:name="_Toc1695"/>
      <w:bookmarkStart w:id="180" w:name="_Toc52137709"/>
      <w:bookmarkStart w:id="181" w:name="_Toc31192"/>
      <w:bookmarkStart w:id="182" w:name="_Toc22235"/>
      <w:bookmarkStart w:id="183" w:name="_Toc106719282"/>
      <w:bookmarkStart w:id="184" w:name="_Toc12362"/>
      <w:bookmarkStart w:id="185" w:name="_Toc22011"/>
      <w:bookmarkStart w:id="186" w:name="_Toc31358"/>
      <w:r>
        <w:rPr>
          <w:rFonts w:hint="eastAsia" w:ascii="黑体" w:hAnsi="黑体" w:eastAsia="黑体"/>
          <w:b w:val="0"/>
          <w:color w:val="000000" w:themeColor="text1"/>
          <w:sz w:val="28"/>
          <w:szCs w:val="28"/>
          <w:highlight w:val="none"/>
          <w14:textFill>
            <w14:solidFill>
              <w14:schemeClr w14:val="tx1"/>
            </w14:solidFill>
          </w14:textFill>
        </w:rPr>
        <w:t>10.联系方式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招标代理机构：</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lang w:eastAsia="zh-CN"/>
          <w14:textFill>
            <w14:solidFill>
              <w14:schemeClr w14:val="tx1"/>
            </w14:solidFill>
          </w14:textFill>
        </w:rPr>
        <w:t>电子交易平台</w:t>
      </w:r>
      <w:r>
        <w:rPr>
          <w:rFonts w:hint="eastAsia" w:ascii="宋体" w:hAnsi="宋体" w:eastAsia="宋体" w:cs="瀹嬩綋"/>
          <w:color w:val="000000" w:themeColor="text1"/>
          <w:szCs w:val="21"/>
          <w:highlight w:val="none"/>
          <w14:textFill>
            <w14:solidFill>
              <w14:schemeClr w14:val="tx1"/>
            </w14:solidFill>
          </w14:textFill>
        </w:rPr>
        <w:t>名称</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网址</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招投标监督机构名称：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公共资源交易中心名称：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p>
    <w:p>
      <w:pPr>
        <w:pStyle w:val="5"/>
        <w:jc w:val="center"/>
        <w:rPr>
          <w:rFonts w:ascii="黑体" w:hAnsi="黑体" w:eastAsia="黑体"/>
          <w:b w:val="0"/>
          <w:color w:val="000000" w:themeColor="text1"/>
          <w:sz w:val="28"/>
          <w:szCs w:val="28"/>
          <w:highlight w:val="none"/>
          <w:u w:val="single"/>
          <w14:textFill>
            <w14:solidFill>
              <w14:schemeClr w14:val="tx1"/>
            </w14:solidFill>
          </w14:textFill>
        </w:rPr>
      </w:pPr>
      <w:bookmarkStart w:id="187" w:name="_Toc28072"/>
      <w:bookmarkStart w:id="188" w:name="_Toc106719283"/>
      <w:bookmarkStart w:id="189" w:name="_Toc6212"/>
      <w:bookmarkStart w:id="190" w:name="_Toc12026"/>
      <w:bookmarkStart w:id="191" w:name="_Toc2346"/>
      <w:bookmarkStart w:id="192" w:name="_Toc1681"/>
      <w:bookmarkStart w:id="193" w:name="_Toc28158"/>
      <w:bookmarkStart w:id="194" w:name="_Toc8895"/>
      <w:bookmarkStart w:id="195" w:name="_Toc16258"/>
      <w:bookmarkStart w:id="196" w:name="_Toc22493"/>
      <w:bookmarkStart w:id="197" w:name="_Toc9898"/>
      <w:bookmarkStart w:id="198" w:name="_Toc18019"/>
      <w:bookmarkStart w:id="199" w:name="_Toc26113"/>
      <w:bookmarkStart w:id="200" w:name="_Toc52137710"/>
      <w:r>
        <w:rPr>
          <w:rFonts w:hint="eastAsia" w:ascii="黑体" w:hAnsi="黑体" w:eastAsia="黑体"/>
          <w:b w:val="0"/>
          <w:color w:val="000000" w:themeColor="text1"/>
          <w:sz w:val="28"/>
          <w:szCs w:val="28"/>
          <w:highlight w:val="none"/>
          <w14:textFill>
            <w14:solidFill>
              <w14:schemeClr w14:val="tx1"/>
            </w14:solidFill>
          </w14:textFill>
        </w:rPr>
        <w:t>第一章 投标邀请书</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beforeLines="50" w:afterLines="50"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3"/>
      </w:r>
      <w:r>
        <w:rPr>
          <w:rFonts w:hint="eastAsia" w:ascii="宋体" w:hAnsi="宋体"/>
          <w:color w:val="000000" w:themeColor="text1"/>
          <w:sz w:val="24"/>
          <w:szCs w:val="24"/>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01" w:name="_Toc32323"/>
      <w:bookmarkStart w:id="202" w:name="_Toc106719284"/>
      <w:bookmarkStart w:id="203" w:name="_Toc52137711"/>
      <w:bookmarkStart w:id="204" w:name="_Toc27387"/>
      <w:bookmarkStart w:id="205" w:name="_Toc262"/>
      <w:bookmarkStart w:id="206" w:name="_Toc31220"/>
      <w:bookmarkStart w:id="207" w:name="_Toc5285"/>
      <w:bookmarkStart w:id="208" w:name="_Toc10543"/>
      <w:bookmarkStart w:id="209" w:name="_Toc17662"/>
      <w:bookmarkStart w:id="210" w:name="_Toc28998"/>
      <w:bookmarkStart w:id="211" w:name="_Toc4857"/>
      <w:bookmarkStart w:id="212" w:name="_Toc11030"/>
      <w:bookmarkStart w:id="213" w:name="_Toc8529"/>
      <w:bookmarkStart w:id="214" w:name="_Toc15035"/>
      <w:r>
        <w:rPr>
          <w:rFonts w:hint="eastAsia" w:ascii="黑体" w:hAnsi="黑体" w:eastAsia="黑体"/>
          <w:b w:val="0"/>
          <w:color w:val="000000" w:themeColor="text1"/>
          <w:sz w:val="28"/>
          <w:szCs w:val="28"/>
          <w:highlight w:val="none"/>
          <w14:textFill>
            <w14:solidFill>
              <w14:schemeClr w14:val="tx1"/>
            </w14:solidFill>
          </w14:textFill>
        </w:rPr>
        <w:t>1.招标条件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4"/>
      </w:r>
      <w:r>
        <w:rPr>
          <w:rFonts w:hint="eastAsia" w:ascii="宋体" w:hAnsi="宋体"/>
          <w:color w:val="000000" w:themeColor="text1"/>
          <w:sz w:val="21"/>
          <w:szCs w:val="21"/>
          <w:highlight w:val="none"/>
          <w14:textFill>
            <w14:solidFill>
              <w14:schemeClr w14:val="tx1"/>
            </w14:solidFill>
          </w14:textFill>
        </w:rPr>
        <w:t>已由</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5"/>
      </w:r>
      <w:r>
        <w:rPr>
          <w:rFonts w:hint="eastAsia" w:ascii="宋体" w:hAnsi="宋体"/>
          <w:color w:val="000000" w:themeColor="text1"/>
          <w:sz w:val="21"/>
          <w:szCs w:val="21"/>
          <w:highlight w:val="none"/>
          <w14:textFill>
            <w14:solidFill>
              <w14:schemeClr w14:val="tx1"/>
            </w14:solidFill>
          </w14:textFill>
        </w:rPr>
        <w:t>以</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6"/>
      </w:r>
      <w:r>
        <w:rPr>
          <w:rFonts w:hint="eastAsia" w:ascii="宋体" w:hAnsi="宋体"/>
          <w:color w:val="000000" w:themeColor="text1"/>
          <w:sz w:val="21"/>
          <w:szCs w:val="21"/>
          <w:highlight w:val="none"/>
          <w14:textFill>
            <w14:solidFill>
              <w14:schemeClr w14:val="tx1"/>
            </w14:solidFill>
          </w14:textFill>
        </w:rPr>
        <w:t>批准建设，项目建设单位为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，建设资金来源为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，委托的招标代理单位为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。项目已具备招标条件，</w:t>
      </w:r>
      <w:r>
        <w:rPr>
          <w:rFonts w:hint="eastAsia" w:ascii="宋体" w:hAnsi="宋体"/>
          <w:color w:val="000000" w:themeColor="text1"/>
          <w:sz w:val="21"/>
          <w:szCs w:val="21"/>
          <w:highlight w:val="none"/>
          <w:lang w:val="en-US" w:eastAsia="zh-CN"/>
          <w14:textFill>
            <w14:solidFill>
              <w14:schemeClr w14:val="tx1"/>
            </w14:solidFill>
          </w14:textFill>
        </w:rPr>
        <w:t>采用“评定分离”办法进行招标，</w:t>
      </w:r>
      <w:r>
        <w:rPr>
          <w:rFonts w:hint="eastAsia" w:ascii="宋体" w:hAnsi="宋体"/>
          <w:color w:val="000000" w:themeColor="text1"/>
          <w:sz w:val="21"/>
          <w:szCs w:val="21"/>
          <w:highlight w:val="none"/>
          <w14:textFill>
            <w14:solidFill>
              <w14:schemeClr w14:val="tx1"/>
            </w14:solidFill>
          </w14:textFill>
        </w:rPr>
        <w:t>现邀请你单位参加该项目勘察招标的投标。</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15" w:name="_Toc13414"/>
      <w:bookmarkStart w:id="216" w:name="_Toc52137712"/>
      <w:bookmarkStart w:id="217" w:name="_Toc29075"/>
      <w:bookmarkStart w:id="218" w:name="_Toc30134"/>
      <w:bookmarkStart w:id="219" w:name="_Toc26345"/>
      <w:bookmarkStart w:id="220" w:name="_Toc106719285"/>
      <w:bookmarkStart w:id="221" w:name="_Toc161"/>
      <w:bookmarkStart w:id="222" w:name="_Toc20723"/>
      <w:bookmarkStart w:id="223" w:name="_Toc14359"/>
      <w:bookmarkStart w:id="224" w:name="_Toc15070"/>
      <w:bookmarkStart w:id="225" w:name="_Toc31785"/>
      <w:bookmarkStart w:id="226" w:name="_Toc21185"/>
      <w:bookmarkStart w:id="227" w:name="_Toc9036"/>
      <w:bookmarkStart w:id="228" w:name="_Toc24160"/>
      <w:r>
        <w:rPr>
          <w:rFonts w:hint="eastAsia" w:ascii="黑体" w:hAnsi="黑体" w:eastAsia="黑体"/>
          <w:b w:val="0"/>
          <w:color w:val="000000" w:themeColor="text1"/>
          <w:sz w:val="28"/>
          <w:szCs w:val="28"/>
          <w:highlight w:val="none"/>
          <w14:textFill>
            <w14:solidFill>
              <w14:schemeClr w14:val="tx1"/>
            </w14:solidFill>
          </w14:textFill>
        </w:rPr>
        <w:t>2.项目概况与招标范围</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widowControl/>
        <w:tabs>
          <w:tab w:val="left" w:pos="510"/>
        </w:tabs>
        <w:adjustRightInd/>
        <w:spacing w:line="360" w:lineRule="auto"/>
        <w:ind w:firstLine="422" w:firstLineChars="201"/>
        <w:jc w:val="left"/>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2.1.项目概况</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2.1.1.建设地点：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2.1.2.工程建设规模：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2.1.3.投资总额：人民币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万元。其中，工程费用限额：人民币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2.1.4.最高投标报价限价：</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2.2.招标范围与内容</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2.2.1.工程类别：</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7"/>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2.2.2.招标范围：</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8"/>
      </w:r>
      <w:r>
        <w:rPr>
          <w:rFonts w:hint="eastAsia" w:ascii="宋体" w:hAnsi="宋体"/>
          <w:color w:val="000000" w:themeColor="text1"/>
          <w:sz w:val="21"/>
          <w:szCs w:val="21"/>
          <w:highlight w:val="none"/>
          <w14:textFill>
            <w14:solidFill>
              <w14:schemeClr w14:val="tx1"/>
            </w14:solidFill>
          </w14:textFill>
        </w:rPr>
        <w:t>。</w:t>
      </w:r>
    </w:p>
    <w:p>
      <w:pPr>
        <w:widowControl/>
        <w:adjustRightInd/>
        <w:spacing w:line="360" w:lineRule="auto"/>
        <w:ind w:firstLine="422" w:firstLineChars="201"/>
        <w:jc w:val="left"/>
        <w:textAlignment w:val="auto"/>
        <w:rPr>
          <w:rFonts w:ascii="宋体" w:hAnsi="宋体"/>
          <w:i/>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2.2.3.招标内容：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2.2.4.标段划分：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29" w:name="_Toc12238"/>
      <w:bookmarkStart w:id="230" w:name="_Toc52137713"/>
      <w:bookmarkStart w:id="231" w:name="_Toc15433"/>
      <w:bookmarkStart w:id="232" w:name="_Toc15970"/>
      <w:bookmarkStart w:id="233" w:name="_Toc17016"/>
      <w:bookmarkStart w:id="234" w:name="_Toc1919"/>
      <w:bookmarkStart w:id="235" w:name="_Toc27498"/>
      <w:bookmarkStart w:id="236" w:name="_Toc28557"/>
      <w:bookmarkStart w:id="237" w:name="_Toc11816"/>
      <w:bookmarkStart w:id="238" w:name="_Toc1754"/>
      <w:bookmarkStart w:id="239" w:name="_Toc106719286"/>
      <w:bookmarkStart w:id="240" w:name="_Toc12852"/>
      <w:bookmarkStart w:id="241" w:name="_Toc5191"/>
      <w:bookmarkStart w:id="242" w:name="_Toc5869"/>
      <w:r>
        <w:rPr>
          <w:rFonts w:hint="eastAsia" w:ascii="黑体" w:hAnsi="黑体" w:eastAsia="黑体"/>
          <w:b w:val="0"/>
          <w:color w:val="000000" w:themeColor="text1"/>
          <w:sz w:val="28"/>
          <w:szCs w:val="28"/>
          <w:highlight w:val="none"/>
          <w14:textFill>
            <w14:solidFill>
              <w14:schemeClr w14:val="tx1"/>
            </w14:solidFill>
          </w14:textFill>
        </w:rPr>
        <w:t>3.投标人资格要求</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3.1.本招标项目要求投标人具备住房城乡建设行政主管部门核发的有效的</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19"/>
      </w:r>
      <w:r>
        <w:rPr>
          <w:rFonts w:hint="eastAsia" w:ascii="宋体" w:hAnsi="宋体"/>
          <w:color w:val="000000" w:themeColor="text1"/>
          <w:sz w:val="21"/>
          <w:szCs w:val="21"/>
          <w:highlight w:val="none"/>
          <w14:textFill>
            <w14:solidFill>
              <w14:schemeClr w14:val="tx1"/>
            </w14:solidFill>
          </w14:textFill>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3.2.本招标项目</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0"/>
      </w:r>
      <w:r>
        <w:rPr>
          <w:rFonts w:hint="eastAsia" w:ascii="宋体" w:hAnsi="宋体"/>
          <w:color w:val="000000" w:themeColor="text1"/>
          <w:sz w:val="21"/>
          <w:szCs w:val="21"/>
          <w:highlight w:val="none"/>
          <w14:textFill>
            <w14:solidFill>
              <w14:schemeClr w14:val="tx1"/>
            </w14:solidFill>
          </w14:textFill>
        </w:rPr>
        <w:t>联合体投标，自愿组成联合体的应由资质等级高的单位为联合体牵头人，同等级时应明确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3.3.投标人拟派出担任本招标项目的勘察项目负责人应具备有效的国家注册土木工程师（岩土）执业证书。</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3.4.投标人及其拟派出担任本勘察项目负责人均应具备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hint="eastAsia" w:ascii="宋体" w:hAnsi="宋体"/>
          <w:color w:val="000000" w:themeColor="text1"/>
          <w:sz w:val="21"/>
          <w:szCs w:val="21"/>
          <w:highlight w:val="none"/>
          <w:u w:val="single"/>
          <w14:textFill>
            <w14:solidFill>
              <w14:schemeClr w14:val="tx1"/>
            </w14:solidFill>
          </w14:textFill>
        </w:rPr>
        <w:footnoteReference w:id="21"/>
      </w:r>
      <w:r>
        <w:rPr>
          <w:rFonts w:hint="eastAsia" w:ascii="宋体" w:hAnsi="宋体"/>
          <w:color w:val="000000" w:themeColor="text1"/>
          <w:sz w:val="21"/>
          <w:szCs w:val="21"/>
          <w:highlight w:val="none"/>
          <w14:textFill>
            <w14:solidFill>
              <w14:schemeClr w14:val="tx1"/>
            </w14:solidFill>
          </w14:textFill>
        </w:rPr>
        <w:t>项类似项目勘察业绩</w:t>
      </w:r>
      <w:r>
        <w:rPr>
          <w:rFonts w:hint="eastAsia" w:ascii="宋体"/>
          <w:color w:val="000000" w:themeColor="text1"/>
          <w:sz w:val="21"/>
          <w:szCs w:val="21"/>
          <w:highlight w:val="none"/>
          <w14:textFill>
            <w14:solidFill>
              <w14:schemeClr w14:val="tx1"/>
            </w14:solidFill>
          </w14:textFill>
        </w:rPr>
        <w:t>（仅适用于甲级、乙级工程勘察项目）</w:t>
      </w:r>
      <w:r>
        <w:rPr>
          <w:rFonts w:hint="eastAsia" w:ascii="宋体" w:hAnsi="宋体"/>
          <w:color w:val="000000" w:themeColor="text1"/>
          <w:sz w:val="21"/>
          <w:szCs w:val="21"/>
          <w:highlight w:val="none"/>
          <w14:textFill>
            <w14:solidFill>
              <w14:schemeClr w14:val="tx1"/>
            </w14:solidFill>
          </w14:textFill>
        </w:rPr>
        <w:t>。类似项目勘察业绩是指（下同）：自本投标邀请书发布之日的前三年内（以施工图审查报告日期为准，不含发布投标邀请书当日）投标人、勘察项目负责人完成的与招标项目同级或以上的工程勘察项目。</w:t>
      </w:r>
    </w:p>
    <w:p>
      <w:pPr>
        <w:widowControl/>
        <w:tabs>
          <w:tab w:val="left" w:pos="510"/>
          <w:tab w:val="left" w:pos="900"/>
          <w:tab w:val="left" w:pos="1100"/>
        </w:tabs>
        <w:adjustRightInd/>
        <w:spacing w:line="360" w:lineRule="auto"/>
        <w:ind w:firstLine="422" w:firstLineChars="201"/>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r>
        <w:rPr>
          <w:rFonts w:hint="eastAsia" w:ascii="宋体" w:hAnsi="宋体" w:cs="瀹嬩綋"/>
          <w:color w:val="000000" w:themeColor="text1"/>
          <w:sz w:val="21"/>
          <w:szCs w:val="21"/>
          <w:highlight w:val="none"/>
          <w14:textFill>
            <w14:solidFill>
              <w14:schemeClr w14:val="tx1"/>
            </w14:solidFill>
          </w14:textFill>
        </w:rPr>
        <w:t>各投标人均可就本招标项目中的所有标段提出投标申请，但招标人允许中标的标段数量为</w:t>
      </w:r>
    </w:p>
    <w:p>
      <w:pPr>
        <w:widowControl/>
        <w:tabs>
          <w:tab w:val="left" w:pos="510"/>
          <w:tab w:val="left" w:pos="900"/>
          <w:tab w:val="left" w:pos="1100"/>
        </w:tabs>
        <w:adjustRightInd/>
        <w:spacing w:line="360" w:lineRule="auto"/>
        <w:jc w:val="left"/>
        <w:textAlignment w:val="auto"/>
        <w:rPr>
          <w:rFonts w:ascii="宋体" w:hAnsi="宋体" w:cs="瀹嬩綋"/>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个标段</w:t>
      </w:r>
      <w:r>
        <w:rPr>
          <w:rFonts w:hint="eastAsia" w:ascii="宋体" w:hAnsi="宋体" w:cs="瀹嬩綋"/>
          <w:color w:val="000000" w:themeColor="text1"/>
          <w:sz w:val="21"/>
          <w:szCs w:val="21"/>
          <w:highlight w:val="none"/>
          <w14:textFill>
            <w14:solidFill>
              <w14:schemeClr w14:val="tx1"/>
            </w14:solidFill>
          </w14:textFill>
        </w:rPr>
        <w:t>。</w:t>
      </w:r>
    </w:p>
    <w:p>
      <w:pPr>
        <w:widowControl/>
        <w:tabs>
          <w:tab w:val="left" w:pos="510"/>
          <w:tab w:val="left" w:pos="900"/>
          <w:tab w:val="left" w:pos="1100"/>
        </w:tabs>
        <w:adjustRightInd/>
        <w:spacing w:line="360" w:lineRule="auto"/>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14:textFill>
            <w14:solidFill>
              <w14:schemeClr w14:val="tx1"/>
            </w14:solidFill>
          </w14:textFill>
        </w:rPr>
        <w:t>3.6.</w:t>
      </w:r>
      <w:r>
        <w:rPr>
          <w:rFonts w:hint="eastAsia"/>
          <w:color w:val="000000" w:themeColor="text1"/>
          <w:sz w:val="21"/>
          <w:szCs w:val="21"/>
          <w:highlight w:val="none"/>
          <w14:textFill>
            <w14:solidFill>
              <w14:schemeClr w14:val="tx1"/>
            </w14:solidFill>
          </w14:textFill>
        </w:rPr>
        <w:t>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3.7.</w:t>
      </w:r>
      <w:r>
        <w:rPr>
          <w:rFonts w:hint="eastAsia" w:ascii="宋体" w:hAnsi="宋体" w:cs="瀹嬩綋"/>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14:textFill>
            <w14:solidFill>
              <w14:schemeClr w14:val="tx1"/>
            </w14:solidFill>
          </w14:textFill>
        </w:rPr>
        <w:t>其他主要勘察人员要求、以及资格审查的其他条件要求的具体内容见招标文件。</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3.8.本招标项目招标人对投标人的资格审查采用资格后审方式。</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43" w:name="_Toc29461"/>
      <w:bookmarkStart w:id="244" w:name="_Toc20869"/>
      <w:bookmarkStart w:id="245" w:name="_Toc14692"/>
      <w:bookmarkStart w:id="246" w:name="_Toc13295"/>
      <w:bookmarkStart w:id="247" w:name="_Toc52137715"/>
      <w:bookmarkStart w:id="248" w:name="_Toc27221"/>
      <w:bookmarkStart w:id="249" w:name="_Toc106719287"/>
      <w:bookmarkStart w:id="250" w:name="_Toc1339"/>
      <w:bookmarkStart w:id="251" w:name="_Toc4945"/>
      <w:bookmarkStart w:id="252" w:name="_Toc20737"/>
      <w:bookmarkStart w:id="253" w:name="_Toc30405"/>
      <w:bookmarkStart w:id="254" w:name="_Toc6574"/>
      <w:bookmarkStart w:id="255" w:name="_Toc22350"/>
      <w:bookmarkStart w:id="256" w:name="_Toc12786"/>
      <w:r>
        <w:rPr>
          <w:rFonts w:hint="eastAsia" w:ascii="黑体" w:hAnsi="黑体" w:eastAsia="黑体"/>
          <w:b w:val="0"/>
          <w:color w:val="000000" w:themeColor="text1"/>
          <w:sz w:val="28"/>
          <w:szCs w:val="28"/>
          <w:highlight w:val="none"/>
          <w14:textFill>
            <w14:solidFill>
              <w14:schemeClr w14:val="tx1"/>
            </w14:solidFill>
          </w14:textFill>
        </w:rPr>
        <w:t>4.招标文件的获取</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请被邀请参加投标的投标人于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日，每天上午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秒，下午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秒（北京时间，下同），通过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2"/>
      </w:r>
      <w:r>
        <w:rPr>
          <w:rFonts w:hint="eastAsia" w:ascii="宋体" w:hAnsi="宋体"/>
          <w:color w:val="000000" w:themeColor="text1"/>
          <w:sz w:val="21"/>
          <w:szCs w:val="21"/>
          <w:highlight w:val="none"/>
          <w14:textFill>
            <w14:solidFill>
              <w14:schemeClr w14:val="tx1"/>
            </w14:solidFill>
          </w14:textFill>
        </w:rPr>
        <w:t>采用无记名方式免费下载招标文件（含资格审查文件）。</w:t>
      </w:r>
      <w:r>
        <w:rPr>
          <w:rFonts w:hint="eastAsia" w:ascii="宋体" w:hAnsi="宋体" w:cs="瀹嬩綋"/>
          <w:color w:val="000000" w:themeColor="text1"/>
          <w:sz w:val="21"/>
          <w:szCs w:val="21"/>
          <w:highlight w:val="none"/>
          <w14:textFill>
            <w14:solidFill>
              <w14:schemeClr w14:val="tx1"/>
            </w14:solidFill>
          </w14:textFill>
        </w:rPr>
        <w:t>本招标项目电子招标文件使用</w:t>
      </w:r>
      <w:r>
        <w:rPr>
          <w:rFonts w:hint="eastAsia" w:ascii="宋体" w:hAnsi="宋体" w:cs="瀹嬩綋"/>
          <w:color w:val="000000" w:themeColor="text1"/>
          <w:sz w:val="21"/>
          <w:szCs w:val="21"/>
          <w:highlight w:val="none"/>
          <w:u w:val="single"/>
          <w14:textFill>
            <w14:solidFill>
              <w14:schemeClr w14:val="tx1"/>
            </w14:solidFill>
          </w14:textFill>
        </w:rPr>
        <w:t xml:space="preserve">               </w:t>
      </w:r>
      <w:r>
        <w:rPr>
          <w:rStyle w:val="49"/>
          <w:rFonts w:ascii="宋体" w:hAnsi="宋体" w:cs="瀹嬩綋"/>
          <w:color w:val="000000" w:themeColor="text1"/>
          <w:sz w:val="21"/>
          <w:szCs w:val="21"/>
          <w:highlight w:val="none"/>
          <w:u w:val="single"/>
          <w14:textFill>
            <w14:solidFill>
              <w14:schemeClr w14:val="tx1"/>
            </w14:solidFill>
          </w14:textFill>
        </w:rPr>
        <w:footnoteReference w:id="23"/>
      </w:r>
      <w:r>
        <w:rPr>
          <w:rFonts w:hint="eastAsia" w:ascii="宋体" w:hAnsi="宋体" w:cs="瀹嬩綋"/>
          <w:color w:val="000000" w:themeColor="text1"/>
          <w:sz w:val="21"/>
          <w:szCs w:val="21"/>
          <w:highlight w:val="none"/>
          <w14:textFill>
            <w14:solidFill>
              <w14:schemeClr w14:val="tx1"/>
            </w14:solidFill>
          </w14:textFill>
        </w:rPr>
        <w:t>打开。</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57" w:name="_Toc18892"/>
      <w:bookmarkStart w:id="258" w:name="_Toc6566"/>
      <w:bookmarkStart w:id="259" w:name="_Toc13478"/>
      <w:bookmarkStart w:id="260" w:name="_Toc1917"/>
      <w:bookmarkStart w:id="261" w:name="_Toc6335"/>
      <w:bookmarkStart w:id="262" w:name="_Toc8029"/>
      <w:bookmarkStart w:id="263" w:name="_Toc6785"/>
      <w:bookmarkStart w:id="264" w:name="_Toc52137716"/>
      <w:bookmarkStart w:id="265" w:name="_Toc322"/>
      <w:bookmarkStart w:id="266" w:name="_Toc1493"/>
      <w:bookmarkStart w:id="267" w:name="_Toc28794"/>
      <w:bookmarkStart w:id="268" w:name="_Toc106719288"/>
      <w:bookmarkStart w:id="269" w:name="_Toc31956"/>
      <w:bookmarkStart w:id="270" w:name="_Toc30731"/>
      <w:r>
        <w:rPr>
          <w:rFonts w:hint="eastAsia" w:ascii="黑体" w:hAnsi="黑体" w:eastAsia="黑体"/>
          <w:b w:val="0"/>
          <w:color w:val="000000" w:themeColor="text1"/>
          <w:sz w:val="28"/>
          <w:szCs w:val="28"/>
          <w:highlight w:val="none"/>
          <w14:textFill>
            <w14:solidFill>
              <w14:schemeClr w14:val="tx1"/>
            </w14:solidFill>
          </w14:textFill>
        </w:rPr>
        <w:t>5.评标办法</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本招标项目采用的评标办法：</w:t>
      </w:r>
      <w:r>
        <w:rPr>
          <w:rFonts w:hint="eastAsia" w:ascii="宋体" w:hAnsi="宋体"/>
          <w:color w:val="000000" w:themeColor="text1"/>
          <w:sz w:val="21"/>
          <w:szCs w:val="21"/>
          <w:highlight w:val="none"/>
          <w:u w:val="single"/>
          <w14:textFill>
            <w14:solidFill>
              <w14:schemeClr w14:val="tx1"/>
            </w14:solidFill>
          </w14:textFill>
        </w:rPr>
        <w:t>定性评审法</w:t>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71" w:name="_Toc52137717"/>
      <w:bookmarkStart w:id="272" w:name="_Toc106719289"/>
      <w:bookmarkStart w:id="273" w:name="_Toc347"/>
      <w:bookmarkStart w:id="274" w:name="_Toc10849"/>
      <w:bookmarkStart w:id="275" w:name="_Toc6634"/>
      <w:bookmarkStart w:id="276" w:name="_Toc28364"/>
      <w:bookmarkStart w:id="277" w:name="_Toc16973"/>
      <w:bookmarkStart w:id="278" w:name="_Toc26754"/>
      <w:bookmarkStart w:id="279" w:name="_Toc22280"/>
      <w:bookmarkStart w:id="280" w:name="_Toc14285"/>
      <w:bookmarkStart w:id="281" w:name="_Toc31580"/>
      <w:bookmarkStart w:id="282" w:name="_Toc23564"/>
      <w:bookmarkStart w:id="283" w:name="_Toc23460"/>
      <w:bookmarkStart w:id="284" w:name="_Toc13021"/>
      <w:r>
        <w:rPr>
          <w:rFonts w:hint="eastAsia" w:ascii="黑体" w:hAnsi="黑体" w:eastAsia="黑体"/>
          <w:b w:val="0"/>
          <w:color w:val="000000" w:themeColor="text1"/>
          <w:sz w:val="28"/>
          <w:szCs w:val="28"/>
          <w:highlight w:val="none"/>
          <w14:textFill>
            <w14:solidFill>
              <w14:schemeClr w14:val="tx1"/>
            </w14:solidFill>
          </w14:textFill>
        </w:rPr>
        <w:t>6.定标</w:t>
      </w:r>
      <w:r>
        <w:rPr>
          <w:rFonts w:hint="eastAsia" w:ascii="黑体" w:hAnsi="黑体" w:eastAsia="黑体"/>
          <w:b w:val="0"/>
          <w:color w:val="000000" w:themeColor="text1"/>
          <w:sz w:val="28"/>
          <w:szCs w:val="28"/>
          <w:highlight w:val="none"/>
          <w:lang w:val="en-US" w:eastAsia="zh-CN"/>
          <w14:textFill>
            <w14:solidFill>
              <w14:schemeClr w14:val="tx1"/>
            </w14:solidFill>
          </w14:textFill>
        </w:rPr>
        <w:t>方</w:t>
      </w:r>
      <w:r>
        <w:rPr>
          <w:rFonts w:hint="eastAsia" w:ascii="黑体" w:hAnsi="黑体" w:eastAsia="黑体"/>
          <w:b w:val="0"/>
          <w:color w:val="000000" w:themeColor="text1"/>
          <w:sz w:val="28"/>
          <w:szCs w:val="28"/>
          <w:highlight w:val="none"/>
          <w14:textFill>
            <w14:solidFill>
              <w14:schemeClr w14:val="tx1"/>
            </w14:solidFill>
          </w14:textFill>
        </w:rPr>
        <w:t>法</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本招标项目采用的定标</w:t>
      </w:r>
      <w:r>
        <w:rPr>
          <w:rFonts w:hint="eastAsia" w:ascii="宋体" w:hAnsi="宋体"/>
          <w:color w:val="000000" w:themeColor="text1"/>
          <w:sz w:val="21"/>
          <w:szCs w:val="21"/>
          <w:highlight w:val="none"/>
          <w:lang w:val="en-US" w:eastAsia="zh-CN"/>
          <w14:textFill>
            <w14:solidFill>
              <w14:schemeClr w14:val="tx1"/>
            </w14:solidFill>
          </w14:textFill>
        </w:rPr>
        <w:t>方</w:t>
      </w:r>
      <w:r>
        <w:rPr>
          <w:rFonts w:hint="eastAsia" w:ascii="宋体" w:hAnsi="宋体"/>
          <w:color w:val="000000" w:themeColor="text1"/>
          <w:sz w:val="21"/>
          <w:szCs w:val="21"/>
          <w:highlight w:val="none"/>
          <w14:textFill>
            <w14:solidFill>
              <w14:schemeClr w14:val="tx1"/>
            </w14:solidFill>
          </w14:textFill>
        </w:rPr>
        <w:t>法：</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4"/>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hint="eastAsia" w:ascii="黑体" w:hAnsi="黑体" w:eastAsia="黑体"/>
          <w:b w:val="0"/>
          <w:color w:val="000000" w:themeColor="text1"/>
          <w:sz w:val="28"/>
          <w:szCs w:val="28"/>
          <w:highlight w:val="none"/>
          <w:lang w:eastAsia="zh-CN"/>
          <w14:textFill>
            <w14:solidFill>
              <w14:schemeClr w14:val="tx1"/>
            </w14:solidFill>
          </w14:textFill>
        </w:rPr>
      </w:pPr>
      <w:bookmarkStart w:id="285" w:name="_Toc31708"/>
      <w:bookmarkStart w:id="286" w:name="_Toc52137718"/>
      <w:bookmarkStart w:id="287" w:name="_Toc26517"/>
      <w:bookmarkStart w:id="288" w:name="_Toc12216"/>
      <w:bookmarkStart w:id="289" w:name="_Toc14201"/>
      <w:bookmarkStart w:id="290" w:name="_Toc7955"/>
      <w:bookmarkStart w:id="291" w:name="_Toc25630"/>
      <w:bookmarkStart w:id="292" w:name="_Toc24267"/>
      <w:bookmarkStart w:id="293" w:name="_Toc106719290"/>
      <w:bookmarkStart w:id="294" w:name="_Toc18260"/>
      <w:bookmarkStart w:id="295" w:name="_Toc31703"/>
      <w:bookmarkStart w:id="296" w:name="_Toc11110"/>
      <w:bookmarkStart w:id="297" w:name="_Toc7136"/>
      <w:bookmarkStart w:id="298" w:name="_Toc25208"/>
      <w:r>
        <w:rPr>
          <w:rFonts w:hint="eastAsia" w:ascii="黑体" w:hAnsi="黑体" w:eastAsia="黑体"/>
          <w:b w:val="0"/>
          <w:color w:val="000000" w:themeColor="text1"/>
          <w:sz w:val="28"/>
          <w:szCs w:val="28"/>
          <w:highlight w:val="none"/>
          <w14:textFill>
            <w14:solidFill>
              <w14:schemeClr w14:val="tx1"/>
            </w14:solidFill>
          </w14:textFill>
        </w:rPr>
        <w:t>7.投标保证金的</w:t>
      </w:r>
      <w:bookmarkEnd w:id="285"/>
      <w:bookmarkEnd w:id="286"/>
      <w:bookmarkEnd w:id="287"/>
      <w:bookmarkEnd w:id="288"/>
      <w:bookmarkEnd w:id="289"/>
      <w:bookmarkEnd w:id="290"/>
      <w:bookmarkEnd w:id="291"/>
      <w:bookmarkEnd w:id="292"/>
      <w:bookmarkEnd w:id="293"/>
      <w:bookmarkEnd w:id="294"/>
      <w:r>
        <w:rPr>
          <w:rFonts w:hint="eastAsia" w:ascii="黑体" w:hAnsi="黑体" w:eastAsia="黑体"/>
          <w:b w:val="0"/>
          <w:color w:val="000000" w:themeColor="text1"/>
          <w:sz w:val="28"/>
          <w:szCs w:val="28"/>
          <w:highlight w:val="none"/>
          <w:lang w:eastAsia="zh-CN"/>
          <w14:textFill>
            <w14:solidFill>
              <w14:schemeClr w14:val="tx1"/>
            </w14:solidFill>
          </w14:textFill>
        </w:rPr>
        <w:t>递交</w:t>
      </w:r>
      <w:bookmarkEnd w:id="295"/>
      <w:bookmarkEnd w:id="296"/>
      <w:bookmarkEnd w:id="297"/>
      <w:bookmarkEnd w:id="298"/>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7.1.投标保证金</w:t>
      </w:r>
      <w:r>
        <w:rPr>
          <w:rFonts w:hint="eastAsia" w:ascii="宋体" w:hAnsi="宋体"/>
          <w:color w:val="000000" w:themeColor="text1"/>
          <w:sz w:val="21"/>
          <w:szCs w:val="21"/>
          <w:highlight w:val="none"/>
          <w:lang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的时间：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7.2.投标保证金</w:t>
      </w:r>
      <w:r>
        <w:rPr>
          <w:rFonts w:hint="eastAsia" w:ascii="宋体" w:hAnsi="宋体"/>
          <w:color w:val="000000" w:themeColor="text1"/>
          <w:sz w:val="21"/>
          <w:szCs w:val="21"/>
          <w:highlight w:val="none"/>
          <w:lang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7.3.投标保证金</w:t>
      </w:r>
      <w:r>
        <w:rPr>
          <w:rFonts w:hint="eastAsia" w:ascii="宋体" w:hAnsi="宋体"/>
          <w:color w:val="000000" w:themeColor="text1"/>
          <w:sz w:val="21"/>
          <w:szCs w:val="21"/>
          <w:highlight w:val="none"/>
          <w:lang w:eastAsia="zh-CN"/>
          <w14:textFill>
            <w14:solidFill>
              <w14:schemeClr w14:val="tx1"/>
            </w14:solidFill>
          </w14:textFill>
        </w:rPr>
        <w:t>递交</w:t>
      </w:r>
      <w:r>
        <w:rPr>
          <w:rFonts w:hint="eastAsia" w:ascii="宋体" w:hAnsi="宋体"/>
          <w:color w:val="000000" w:themeColor="text1"/>
          <w:sz w:val="21"/>
          <w:szCs w:val="21"/>
          <w:highlight w:val="none"/>
          <w14:textFill>
            <w14:solidFill>
              <w14:schemeClr w14:val="tx1"/>
            </w14:solidFill>
          </w14:textFill>
        </w:rPr>
        <w:t>的金额：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299" w:name="_Toc15204"/>
      <w:bookmarkStart w:id="300" w:name="_Toc23864"/>
      <w:bookmarkStart w:id="301" w:name="_Toc24460"/>
      <w:bookmarkStart w:id="302" w:name="_Toc4097"/>
      <w:bookmarkStart w:id="303" w:name="_Toc28856"/>
      <w:bookmarkStart w:id="304" w:name="_Toc7345"/>
      <w:bookmarkStart w:id="305" w:name="_Toc9109"/>
      <w:bookmarkStart w:id="306" w:name="_Toc52137719"/>
      <w:bookmarkStart w:id="307" w:name="_Toc18100"/>
      <w:bookmarkStart w:id="308" w:name="_Toc32758"/>
      <w:bookmarkStart w:id="309" w:name="_Toc13937"/>
      <w:bookmarkStart w:id="310" w:name="_Toc106719291"/>
      <w:bookmarkStart w:id="311" w:name="_Toc180"/>
      <w:bookmarkStart w:id="312" w:name="_Toc11561"/>
      <w:r>
        <w:rPr>
          <w:rFonts w:hint="eastAsia" w:ascii="黑体" w:hAnsi="黑体" w:eastAsia="黑体"/>
          <w:b w:val="0"/>
          <w:color w:val="000000" w:themeColor="text1"/>
          <w:sz w:val="28"/>
          <w:szCs w:val="28"/>
          <w:highlight w:val="none"/>
          <w14:textFill>
            <w14:solidFill>
              <w14:schemeClr w14:val="tx1"/>
            </w14:solidFill>
          </w14:textFill>
        </w:rPr>
        <w:t>8.投标文件的递交</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8.1.本招标项目投标文件采用线上方式递交，投标文件的截止时间（投标截止时间，下同）：</w:t>
      </w:r>
    </w:p>
    <w:p>
      <w:pPr>
        <w:widowControl/>
        <w:tabs>
          <w:tab w:val="left" w:pos="900"/>
          <w:tab w:val="left" w:pos="1100"/>
        </w:tabs>
        <w:adjustRightInd/>
        <w:spacing w:line="360" w:lineRule="auto"/>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秒，投标人应在截止时间前通过</w:t>
      </w:r>
      <w:r>
        <w:rPr>
          <w:rFonts w:hint="eastAsia" w:ascii="宋体" w:hAnsi="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25"/>
      </w:r>
      <w:r>
        <w:rPr>
          <w:rFonts w:hint="eastAsia" w:ascii="宋体" w:hAnsi="宋体"/>
          <w:color w:val="000000" w:themeColor="text1"/>
          <w:sz w:val="21"/>
          <w:szCs w:val="21"/>
          <w:highlight w:val="none"/>
          <w14:textFill>
            <w14:solidFill>
              <w14:schemeClr w14:val="tx1"/>
            </w14:solidFill>
          </w14:textFill>
        </w:rPr>
        <w:t>递交电子投标文件。</w:t>
      </w:r>
      <w:r>
        <w:rPr>
          <w:rFonts w:hint="eastAsia" w:ascii="宋体" w:hAnsi="宋体" w:cs="瀹嬩綋"/>
          <w:color w:val="000000" w:themeColor="text1"/>
          <w:sz w:val="21"/>
          <w:szCs w:val="21"/>
          <w:highlight w:val="none"/>
          <w14:textFill>
            <w14:solidFill>
              <w14:schemeClr w14:val="tx1"/>
            </w14:solidFill>
          </w14:textFill>
        </w:rPr>
        <w:t>联合投标的，投标文件应由联合体牵头单位的</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加密并上传到电子交易平台，开标时由上传此投标文件的单位</w:t>
      </w:r>
      <w:r>
        <w:rPr>
          <w:rFonts w:hint="eastAsia" w:ascii="宋体" w:hAnsi="宋体" w:cs="瀹嬩綋"/>
          <w:color w:val="000000" w:themeColor="text1"/>
          <w:sz w:val="21"/>
          <w:szCs w:val="21"/>
          <w:highlight w:val="none"/>
          <w:lang w:eastAsia="zh-CN"/>
          <w14:textFill>
            <w14:solidFill>
              <w14:schemeClr w14:val="tx1"/>
            </w14:solidFill>
          </w14:textFill>
        </w:rPr>
        <w:t>CA证书</w:t>
      </w:r>
      <w:r>
        <w:rPr>
          <w:rFonts w:hint="eastAsia" w:ascii="宋体" w:hAnsi="宋体" w:cs="瀹嬩綋"/>
          <w:color w:val="000000" w:themeColor="text1"/>
          <w:sz w:val="21"/>
          <w:szCs w:val="21"/>
          <w:highlight w:val="none"/>
          <w14:textFill>
            <w14:solidFill>
              <w14:schemeClr w14:val="tx1"/>
            </w14:solidFill>
          </w14:textFill>
        </w:rPr>
        <w:t>解密。</w:t>
      </w:r>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8.2.逾期上传至指定电子交易平台的投标文件，电子交易平台将不予受理。</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13" w:name="_Toc29235"/>
      <w:bookmarkStart w:id="314" w:name="_Toc26612"/>
      <w:bookmarkStart w:id="315" w:name="_Toc15590"/>
      <w:bookmarkStart w:id="316" w:name="_Toc19868"/>
      <w:bookmarkStart w:id="317" w:name="_Toc13393"/>
      <w:bookmarkStart w:id="318" w:name="_Toc25084"/>
      <w:bookmarkStart w:id="319" w:name="_Toc6883"/>
      <w:bookmarkStart w:id="320" w:name="_Toc24221"/>
      <w:bookmarkStart w:id="321" w:name="_Toc1933"/>
      <w:bookmarkStart w:id="322" w:name="_Toc6120"/>
      <w:bookmarkStart w:id="323" w:name="_Toc52137720"/>
      <w:bookmarkStart w:id="324" w:name="_Toc31322"/>
      <w:bookmarkStart w:id="325" w:name="_Toc106719292"/>
      <w:bookmarkStart w:id="326" w:name="_Toc3984"/>
      <w:r>
        <w:rPr>
          <w:rFonts w:hint="eastAsia" w:ascii="黑体" w:hAnsi="黑体" w:eastAsia="黑体"/>
          <w:b w:val="0"/>
          <w:color w:val="000000" w:themeColor="text1"/>
          <w:sz w:val="28"/>
          <w:szCs w:val="28"/>
          <w:highlight w:val="none"/>
          <w14:textFill>
            <w14:solidFill>
              <w14:schemeClr w14:val="tx1"/>
            </w14:solidFill>
          </w14:textFill>
        </w:rPr>
        <w:t>9.确认</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widowControl/>
        <w:tabs>
          <w:tab w:val="left" w:pos="900"/>
          <w:tab w:val="left" w:pos="1100"/>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你单位收到本邀请书后，请于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秒前，通过电子交易平台确认是否参加投标（确认通知格式附后）。在本邀请书规定的时间内未表示是否参加投标或明确表示不参加投标的，不得再参加投标。</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27" w:name="_Toc11903"/>
      <w:bookmarkStart w:id="328" w:name="_Toc8314"/>
      <w:bookmarkStart w:id="329" w:name="_Toc20032"/>
      <w:bookmarkStart w:id="330" w:name="_Toc4137"/>
      <w:bookmarkStart w:id="331" w:name="_Toc24819"/>
      <w:bookmarkStart w:id="332" w:name="_Toc871"/>
      <w:bookmarkStart w:id="333" w:name="_Toc201"/>
      <w:bookmarkStart w:id="334" w:name="_Toc106719293"/>
      <w:bookmarkStart w:id="335" w:name="_Toc3894"/>
      <w:bookmarkStart w:id="336" w:name="_Toc23938"/>
      <w:bookmarkStart w:id="337" w:name="_Toc52137721"/>
      <w:bookmarkStart w:id="338" w:name="_Toc30752"/>
      <w:bookmarkStart w:id="339" w:name="_Toc28036"/>
      <w:bookmarkStart w:id="340" w:name="_Toc4865"/>
      <w:r>
        <w:rPr>
          <w:rFonts w:hint="eastAsia" w:ascii="黑体" w:hAnsi="黑体" w:eastAsia="黑体"/>
          <w:b w:val="0"/>
          <w:color w:val="000000" w:themeColor="text1"/>
          <w:sz w:val="28"/>
          <w:szCs w:val="28"/>
          <w:highlight w:val="none"/>
          <w14:textFill>
            <w14:solidFill>
              <w14:schemeClr w14:val="tx1"/>
            </w14:solidFill>
          </w14:textFill>
        </w:rPr>
        <w:t>10.联系方式</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招标代理机构：</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，传真：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lang w:eastAsia="zh-CN"/>
          <w14:textFill>
            <w14:solidFill>
              <w14:schemeClr w14:val="tx1"/>
            </w14:solidFill>
          </w14:textFill>
        </w:rPr>
        <w:t>电子交易平台</w:t>
      </w:r>
      <w:r>
        <w:rPr>
          <w:rFonts w:hint="eastAsia" w:ascii="宋体" w:hAnsi="宋体" w:eastAsia="宋体" w:cs="瀹嬩綋"/>
          <w:color w:val="000000" w:themeColor="text1"/>
          <w:szCs w:val="21"/>
          <w:highlight w:val="none"/>
          <w14:textFill>
            <w14:solidFill>
              <w14:schemeClr w14:val="tx1"/>
            </w14:solidFill>
          </w14:textFill>
        </w:rPr>
        <w:t>名称</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网址</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招投标监督机构名称：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瀹嬩綋"/>
          <w:color w:val="000000" w:themeColor="text1"/>
          <w:szCs w:val="21"/>
          <w:highlight w:val="none"/>
          <w14:textFill>
            <w14:solidFill>
              <w14:schemeClr w14:val="tx1"/>
            </w14:solidFill>
          </w14:textFill>
        </w:rPr>
        <w:t>联系电话</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beforeLines="100"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公共资源交易中心名称：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pStyle w:val="15"/>
        <w:snapToGrid w:val="0"/>
        <w:spacing w:line="360" w:lineRule="auto"/>
        <w:ind w:firstLine="422" w:firstLineChars="201"/>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theme="minorBidi"/>
          <w:color w:val="000000" w:themeColor="text1"/>
          <w:sz w:val="21"/>
          <w:szCs w:val="21"/>
          <w:highlight w:val="none"/>
          <w14:textFill>
            <w14:solidFill>
              <w14:schemeClr w14:val="tx1"/>
            </w14:solidFill>
          </w14:textFill>
        </w:rPr>
        <w:t>联系电话</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p>
    <w:p>
      <w:pPr>
        <w:rPr>
          <w:rFonts w:ascii="宋体" w:hAnsi="宋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pStyle w:val="6"/>
        <w:rPr>
          <w:rFonts w:ascii="黑体" w:hAnsi="黑体" w:eastAsia="黑体"/>
          <w:b w:val="0"/>
          <w:color w:val="000000" w:themeColor="text1"/>
          <w:sz w:val="21"/>
          <w:szCs w:val="21"/>
          <w:highlight w:val="none"/>
          <w14:textFill>
            <w14:solidFill>
              <w14:schemeClr w14:val="tx1"/>
            </w14:solidFill>
          </w14:textFill>
        </w:rPr>
      </w:pPr>
      <w:bookmarkStart w:id="341" w:name="_Toc52137722"/>
    </w:p>
    <w:p>
      <w:pPr>
        <w:rPr>
          <w:color w:val="000000" w:themeColor="text1"/>
          <w:highlight w:val="none"/>
          <w14:textFill>
            <w14:solidFill>
              <w14:schemeClr w14:val="tx1"/>
            </w14:solidFill>
          </w14:textFill>
        </w:rPr>
      </w:pPr>
    </w:p>
    <w:p>
      <w:pPr>
        <w:pStyle w:val="6"/>
        <w:rPr>
          <w:rFonts w:ascii="宋体" w:hAnsi="宋体"/>
          <w:color w:val="000000" w:themeColor="text1"/>
          <w:sz w:val="28"/>
          <w:szCs w:val="28"/>
          <w:highlight w:val="none"/>
          <w14:textFill>
            <w14:solidFill>
              <w14:schemeClr w14:val="tx1"/>
            </w14:solidFill>
          </w14:textFill>
        </w:rPr>
      </w:pPr>
      <w:bookmarkStart w:id="342" w:name="_Toc7090"/>
      <w:bookmarkStart w:id="343" w:name="_Toc32479"/>
      <w:bookmarkStart w:id="344" w:name="_Toc106719294"/>
      <w:bookmarkStart w:id="345" w:name="_Toc27124"/>
      <w:bookmarkStart w:id="346" w:name="_Toc3350"/>
      <w:bookmarkStart w:id="347" w:name="_Toc1614"/>
      <w:bookmarkStart w:id="348" w:name="_Toc4851"/>
      <w:bookmarkStart w:id="349" w:name="_Toc13746"/>
      <w:bookmarkStart w:id="350" w:name="_Toc18704"/>
      <w:bookmarkStart w:id="351" w:name="_Toc25880"/>
      <w:bookmarkStart w:id="352" w:name="_Toc5127"/>
      <w:bookmarkStart w:id="353" w:name="_Toc30330"/>
      <w:bookmarkStart w:id="354" w:name="_Toc5499"/>
      <w:r>
        <w:rPr>
          <w:rFonts w:hint="eastAsia" w:ascii="黑体" w:hAnsi="黑体" w:eastAsia="黑体"/>
          <w:b w:val="0"/>
          <w:color w:val="000000" w:themeColor="text1"/>
          <w:sz w:val="21"/>
          <w:szCs w:val="21"/>
          <w:highlight w:val="none"/>
          <w14:textFill>
            <w14:solidFill>
              <w14:schemeClr w14:val="tx1"/>
            </w14:solidFill>
          </w14:textFill>
        </w:rPr>
        <w:t>附件1-1：确认通知（格式）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57"/>
        <w:jc w:val="center"/>
        <w:rPr>
          <w:rFonts w:hAnsi="黑体"/>
          <w:b/>
          <w:color w:val="000000" w:themeColor="text1"/>
          <w:sz w:val="28"/>
          <w:szCs w:val="28"/>
          <w:highlight w:val="none"/>
          <w14:textFill>
            <w14:solidFill>
              <w14:schemeClr w14:val="tx1"/>
            </w14:solidFill>
          </w14:textFill>
        </w:rPr>
      </w:pPr>
      <w:r>
        <w:rPr>
          <w:rFonts w:hint="eastAsia" w:hAnsi="黑体"/>
          <w:b/>
          <w:color w:val="000000" w:themeColor="text1"/>
          <w:sz w:val="28"/>
          <w:szCs w:val="28"/>
          <w:highlight w:val="none"/>
          <w14:textFill>
            <w14:solidFill>
              <w14:schemeClr w14:val="tx1"/>
            </w14:solidFill>
          </w14:textFill>
        </w:rPr>
        <w:t>确认通知</w:t>
      </w:r>
    </w:p>
    <w:p>
      <w:pPr>
        <w:pStyle w:val="57"/>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49"/>
          <w:rFonts w:ascii="宋体" w:hAnsi="宋体" w:eastAsia="宋体" w:cs="宋体"/>
          <w:color w:val="000000" w:themeColor="text1"/>
          <w:sz w:val="21"/>
          <w:szCs w:val="21"/>
          <w:highlight w:val="none"/>
          <w:u w:val="single"/>
          <w14:textFill>
            <w14:solidFill>
              <w14:schemeClr w14:val="tx1"/>
            </w14:solidFill>
          </w14:textFill>
        </w:rPr>
        <w:footnoteReference w:id="26"/>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我方已于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日收到你方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日发出的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49"/>
          <w:rFonts w:ascii="宋体" w:hAnsi="宋体" w:eastAsia="宋体" w:cs="宋体"/>
          <w:color w:val="000000" w:themeColor="text1"/>
          <w:sz w:val="21"/>
          <w:szCs w:val="21"/>
          <w:highlight w:val="none"/>
          <w:u w:val="single"/>
          <w14:textFill>
            <w14:solidFill>
              <w14:schemeClr w14:val="tx1"/>
            </w14:solidFill>
          </w14:textFill>
        </w:rPr>
        <w:footnoteReference w:id="27"/>
      </w:r>
      <w:r>
        <w:rPr>
          <w:rFonts w:hint="eastAsia" w:ascii="宋体" w:hAnsi="宋体" w:eastAsia="宋体" w:cs="宋体"/>
          <w:color w:val="000000" w:themeColor="text1"/>
          <w:sz w:val="21"/>
          <w:szCs w:val="21"/>
          <w:highlight w:val="none"/>
          <w14:textFill>
            <w14:solidFill>
              <w14:schemeClr w14:val="tx1"/>
            </w14:solidFill>
          </w14:textFill>
        </w:rPr>
        <w:t>勘察招标的投标邀请书，并确认</w:t>
      </w:r>
      <w:r>
        <w:rPr>
          <w:rFonts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49"/>
          <w:rFonts w:ascii="宋体" w:hAnsi="宋体" w:eastAsia="宋体" w:cs="宋体"/>
          <w:color w:val="000000" w:themeColor="text1"/>
          <w:sz w:val="21"/>
          <w:szCs w:val="21"/>
          <w:highlight w:val="none"/>
          <w:u w:val="single"/>
          <w14:textFill>
            <w14:solidFill>
              <w14:schemeClr w14:val="tx1"/>
            </w14:solidFill>
          </w14:textFill>
        </w:rPr>
        <w:footnoteReference w:id="28"/>
      </w:r>
      <w:r>
        <w:rPr>
          <w:rFonts w:hint="eastAsia" w:ascii="宋体" w:hAnsi="宋体" w:eastAsia="宋体" w:cs="宋体"/>
          <w:color w:val="000000" w:themeColor="text1"/>
          <w:sz w:val="21"/>
          <w:szCs w:val="21"/>
          <w:highlight w:val="none"/>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特此确认。</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被邀请单位名称：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（盖单位章）</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（签字或盖章）</w:t>
      </w:r>
    </w:p>
    <w:p>
      <w:pPr>
        <w:pStyle w:val="57"/>
        <w:spacing w:line="360" w:lineRule="auto"/>
        <w:ind w:firstLine="3402" w:firstLineChars="162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pPr>
        <w:pStyle w:val="57"/>
        <w:spacing w:line="360" w:lineRule="auto"/>
        <w:ind w:firstLine="3402" w:firstLineChars="1620"/>
        <w:rPr>
          <w:rFonts w:ascii="宋体" w:hAnsi="宋体" w:eastAsia="宋体" w:cs="宋体"/>
          <w:color w:val="000000" w:themeColor="text1"/>
          <w:sz w:val="21"/>
          <w:szCs w:val="21"/>
          <w:highlight w:val="none"/>
          <w14:textFill>
            <w14:solidFill>
              <w14:schemeClr w14:val="tx1"/>
            </w14:solidFill>
          </w14:textFill>
        </w:rPr>
      </w:pPr>
    </w:p>
    <w:p>
      <w:pPr>
        <w:pStyle w:val="57"/>
        <w:spacing w:line="360" w:lineRule="auto"/>
        <w:jc w:val="center"/>
        <w:rPr>
          <w:rFonts w:ascii="宋体" w:hAnsi="宋体" w:eastAsia="宋体"/>
          <w:b/>
          <w:color w:val="000000" w:themeColor="text1"/>
          <w:sz w:val="44"/>
          <w:szCs w:val="44"/>
          <w:highlight w:val="none"/>
          <w14:textFill>
            <w14:solidFill>
              <w14:schemeClr w14:val="tx1"/>
            </w14:solidFill>
          </w14:textFill>
        </w:rPr>
      </w:pPr>
    </w:p>
    <w:p>
      <w:pPr>
        <w:pStyle w:val="57"/>
        <w:spacing w:line="360" w:lineRule="auto"/>
        <w:jc w:val="center"/>
        <w:rPr>
          <w:rFonts w:ascii="宋体" w:hAnsi="宋体" w:eastAsia="宋体"/>
          <w:b/>
          <w:color w:val="000000" w:themeColor="text1"/>
          <w:sz w:val="44"/>
          <w:szCs w:val="44"/>
          <w:highlight w:val="none"/>
          <w14:textFill>
            <w14:solidFill>
              <w14:schemeClr w14:val="tx1"/>
            </w14:solidFill>
          </w14:textFill>
        </w:rPr>
      </w:pPr>
    </w:p>
    <w:p>
      <w:pPr>
        <w:pStyle w:val="57"/>
        <w:spacing w:line="360" w:lineRule="auto"/>
        <w:jc w:val="center"/>
        <w:rPr>
          <w:rFonts w:ascii="宋体" w:hAnsi="宋体" w:eastAsia="宋体"/>
          <w:b/>
          <w:color w:val="000000" w:themeColor="text1"/>
          <w:sz w:val="44"/>
          <w:szCs w:val="44"/>
          <w:highlight w:val="none"/>
          <w14:textFill>
            <w14:solidFill>
              <w14:schemeClr w14:val="tx1"/>
            </w14:solidFill>
          </w14:textFill>
        </w:rPr>
      </w:pPr>
    </w:p>
    <w:p>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pPr>
        <w:pStyle w:val="57"/>
        <w:spacing w:line="360" w:lineRule="auto"/>
        <w:jc w:val="center"/>
        <w:rPr>
          <w:rFonts w:ascii="宋体" w:hAnsi="宋体" w:eastAsia="宋体"/>
          <w:b/>
          <w:color w:val="000000" w:themeColor="text1"/>
          <w:sz w:val="36"/>
          <w:szCs w:val="36"/>
          <w:highlight w:val="none"/>
          <w14:textFill>
            <w14:solidFill>
              <w14:schemeClr w14:val="tx1"/>
            </w14:solidFill>
          </w14:textFill>
        </w:rPr>
      </w:pPr>
    </w:p>
    <w:p>
      <w:pPr>
        <w:pStyle w:val="57"/>
        <w:spacing w:beforeLines="700" w:line="360" w:lineRule="auto"/>
        <w:jc w:val="center"/>
        <w:outlineLvl w:val="1"/>
        <w:rPr>
          <w:rFonts w:hint="eastAsia" w:hAnsi="黑体"/>
          <w:color w:val="000000" w:themeColor="text1"/>
          <w:sz w:val="44"/>
          <w:szCs w:val="44"/>
          <w:highlight w:val="none"/>
          <w14:textFill>
            <w14:solidFill>
              <w14:schemeClr w14:val="tx1"/>
            </w14:solidFill>
          </w14:textFill>
        </w:rPr>
      </w:pPr>
      <w:bookmarkStart w:id="355" w:name="_Toc52137723"/>
      <w:bookmarkStart w:id="356" w:name="_Toc31065"/>
      <w:bookmarkStart w:id="357" w:name="_Toc7786"/>
      <w:bookmarkStart w:id="358" w:name="_Toc106719295"/>
      <w:bookmarkStart w:id="359" w:name="_Toc2021"/>
      <w:bookmarkStart w:id="360" w:name="_Toc20044"/>
      <w:bookmarkStart w:id="361" w:name="_Toc21282"/>
      <w:bookmarkStart w:id="362" w:name="_Toc8813"/>
      <w:bookmarkStart w:id="363" w:name="_Toc30712"/>
      <w:bookmarkStart w:id="364" w:name="_Toc20235"/>
      <w:bookmarkStart w:id="365" w:name="_Toc29645"/>
      <w:bookmarkStart w:id="366" w:name="_Toc24812"/>
      <w:bookmarkStart w:id="367" w:name="_Toc21302"/>
    </w:p>
    <w:p>
      <w:pPr>
        <w:pStyle w:val="57"/>
        <w:spacing w:beforeLines="700" w:line="360" w:lineRule="auto"/>
        <w:jc w:val="center"/>
        <w:outlineLvl w:val="1"/>
        <w:rPr>
          <w:rFonts w:hAnsi="黑体"/>
          <w:color w:val="000000" w:themeColor="text1"/>
          <w:sz w:val="44"/>
          <w:szCs w:val="44"/>
          <w:highlight w:val="none"/>
          <w14:textFill>
            <w14:solidFill>
              <w14:schemeClr w14:val="tx1"/>
            </w14:solidFill>
          </w14:textFill>
        </w:rPr>
      </w:pPr>
      <w:bookmarkStart w:id="368" w:name="_Toc4682"/>
      <w:r>
        <w:rPr>
          <w:rFonts w:hint="eastAsia" w:hAnsi="黑体"/>
          <w:color w:val="000000" w:themeColor="text1"/>
          <w:sz w:val="44"/>
          <w:szCs w:val="44"/>
          <w:highlight w:val="none"/>
          <w14:textFill>
            <w14:solidFill>
              <w14:schemeClr w14:val="tx1"/>
            </w14:solidFill>
          </w14:textFill>
        </w:rPr>
        <w:t>第二章 投标人须知</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57"/>
        <w:spacing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p>
    <w:p>
      <w:pPr>
        <w:pStyle w:val="6"/>
        <w:spacing w:before="0" w:after="0" w:line="360" w:lineRule="auto"/>
        <w:jc w:val="center"/>
        <w:rPr>
          <w:rFonts w:ascii="黑体" w:hAnsi="黑体" w:eastAsia="黑体"/>
          <w:b w:val="0"/>
          <w:color w:val="000000" w:themeColor="text1"/>
          <w:highlight w:val="none"/>
          <w14:textFill>
            <w14:solidFill>
              <w14:schemeClr w14:val="tx1"/>
            </w14:solidFill>
          </w14:textFill>
        </w:rPr>
      </w:pPr>
      <w:bookmarkStart w:id="369" w:name="_Toc20609"/>
      <w:bookmarkStart w:id="370" w:name="_Toc31936"/>
      <w:bookmarkStart w:id="371" w:name="_Toc24914"/>
      <w:bookmarkStart w:id="372" w:name="_Toc24959"/>
      <w:bookmarkStart w:id="373" w:name="_Toc7612"/>
      <w:bookmarkStart w:id="374" w:name="_Toc24607"/>
      <w:bookmarkStart w:id="375" w:name="_Toc26850"/>
      <w:bookmarkStart w:id="376" w:name="_Toc3943"/>
      <w:bookmarkStart w:id="377" w:name="_Toc32341"/>
      <w:bookmarkStart w:id="378" w:name="_Toc17187"/>
      <w:bookmarkStart w:id="379" w:name="_Toc52137724"/>
      <w:bookmarkStart w:id="380" w:name="_Toc106719296"/>
      <w:bookmarkStart w:id="381" w:name="_Toc25490"/>
      <w:bookmarkStart w:id="382" w:name="_Toc14432"/>
      <w:r>
        <w:rPr>
          <w:rFonts w:hint="eastAsia" w:ascii="黑体" w:hAnsi="黑体" w:eastAsia="黑体"/>
          <w:b w:val="0"/>
          <w:color w:val="000000" w:themeColor="text1"/>
          <w:highlight w:val="none"/>
          <w14:textFill>
            <w14:solidFill>
              <w14:schemeClr w14:val="tx1"/>
            </w14:solidFill>
          </w14:textFill>
        </w:rPr>
        <w:t>第二章 投标人须知</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6"/>
        <w:spacing w:before="0" w:after="0" w:line="360" w:lineRule="auto"/>
        <w:rPr>
          <w:rFonts w:ascii="黑体" w:hAnsi="黑体" w:eastAsia="黑体"/>
          <w:b w:val="0"/>
          <w:color w:val="000000" w:themeColor="text1"/>
          <w:sz w:val="21"/>
          <w:szCs w:val="21"/>
          <w:highlight w:val="none"/>
          <w14:textFill>
            <w14:solidFill>
              <w14:schemeClr w14:val="tx1"/>
            </w14:solidFill>
          </w14:textFill>
        </w:rPr>
      </w:pPr>
      <w:bookmarkStart w:id="383" w:name="_Toc20172"/>
      <w:bookmarkStart w:id="384" w:name="_Toc22126"/>
      <w:bookmarkStart w:id="385" w:name="_Toc32748"/>
      <w:bookmarkStart w:id="386" w:name="_Toc106719297"/>
      <w:bookmarkStart w:id="387" w:name="_Toc3452"/>
      <w:bookmarkStart w:id="388" w:name="_Toc3948"/>
      <w:bookmarkStart w:id="389" w:name="_Toc19719"/>
      <w:bookmarkStart w:id="390" w:name="_Toc13032"/>
      <w:bookmarkStart w:id="391" w:name="_Toc21442"/>
      <w:bookmarkStart w:id="392" w:name="_Toc299"/>
      <w:bookmarkStart w:id="393" w:name="_Toc14451"/>
      <w:bookmarkStart w:id="394" w:name="_Toc32438"/>
      <w:bookmarkStart w:id="395" w:name="_Toc52137725"/>
      <w:bookmarkStart w:id="396" w:name="_Toc25288"/>
      <w:r>
        <w:rPr>
          <w:rFonts w:hint="eastAsia" w:ascii="黑体" w:hAnsi="黑体" w:eastAsia="黑体"/>
          <w:b w:val="0"/>
          <w:color w:val="000000" w:themeColor="text1"/>
          <w:sz w:val="21"/>
          <w:szCs w:val="21"/>
          <w:highlight w:val="none"/>
          <w14:textFill>
            <w14:solidFill>
              <w14:schemeClr w14:val="tx1"/>
            </w14:solidFill>
          </w14:textFill>
        </w:rPr>
        <w:t>投标人须知前附表</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tbl>
      <w:tblPr>
        <w:tblStyle w:val="4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141"/>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09" w:type="dxa"/>
            <w:tcBorders>
              <w:top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项号</w:t>
            </w:r>
          </w:p>
        </w:tc>
        <w:tc>
          <w:tcPr>
            <w:tcW w:w="993" w:type="dxa"/>
            <w:tcBorders>
              <w:top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条款号</w:t>
            </w:r>
          </w:p>
        </w:tc>
        <w:tc>
          <w:tcPr>
            <w:tcW w:w="1842" w:type="dxa"/>
            <w:gridSpan w:val="2"/>
            <w:tcBorders>
              <w:top w:val="single" w:color="auto" w:sz="4" w:space="0"/>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条款名称</w:t>
            </w:r>
          </w:p>
        </w:tc>
        <w:tc>
          <w:tcPr>
            <w:tcW w:w="5954" w:type="dxa"/>
            <w:tcBorders>
              <w:top w:val="single" w:color="auto" w:sz="4" w:space="0"/>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编列内容</w:t>
            </w:r>
            <w:r>
              <w:rPr>
                <w:rStyle w:val="49"/>
                <w:rFonts w:ascii="黑体" w:hAnsi="黑体" w:eastAsia="黑体"/>
                <w:color w:val="000000" w:themeColor="text1"/>
                <w:sz w:val="21"/>
                <w:szCs w:val="21"/>
                <w:highlight w:val="none"/>
                <w14:textFill>
                  <w14:solidFill>
                    <w14:schemeClr w14:val="tx1"/>
                  </w14:solidFill>
                </w14:textFill>
              </w:rPr>
              <w:footnoteReference w:id="2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招标人和招标代理机构</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招标人：</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地址：</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联系人：</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电话：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招标代理机构：</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地址：</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联系人： </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i/>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电话：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1.1.2</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招标项目名称、报建编号、招标编号</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招标项目名称：</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报建编号：</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招标编号：</w:t>
            </w:r>
            <w:r>
              <w:rPr>
                <w:rFonts w:hint="eastAsia" w:ascii="宋体" w:hAnsi="宋体" w:eastAsia="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1.1.3</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建设地点</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hint="default" w:ascii="宋体" w:hAnsi="宋体" w:eastAsia="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1.1.4</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建设规模</w:t>
            </w:r>
          </w:p>
        </w:tc>
        <w:tc>
          <w:tcPr>
            <w:tcW w:w="5954" w:type="dxa"/>
            <w:tcBorders>
              <w:left w:val="single" w:color="auto" w:sz="4" w:space="0"/>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315" w:firstLineChars="15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资金来源和落实情况</w:t>
            </w:r>
          </w:p>
        </w:tc>
        <w:tc>
          <w:tcPr>
            <w:tcW w:w="5954" w:type="dxa"/>
            <w:tcBorders>
              <w:left w:val="single" w:color="auto" w:sz="4" w:space="0"/>
              <w:right w:val="single" w:color="auto" w:sz="4" w:space="0"/>
            </w:tcBorders>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资金来源：</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i/>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资金落实情况：</w:t>
            </w:r>
            <w:r>
              <w:rPr>
                <w:rFonts w:hint="eastAsia" w:ascii="宋体" w:hAnsi="宋体" w:eastAsia="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招标范围与内容</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（1）招标范围：包括</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（2）招标内容：包括</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1.3.2</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标段划分</w:t>
            </w:r>
          </w:p>
        </w:tc>
        <w:tc>
          <w:tcPr>
            <w:tcW w:w="5954" w:type="dxa"/>
            <w:tcBorders>
              <w:left w:val="single" w:color="auto" w:sz="4" w:space="0"/>
              <w:right w:val="single" w:color="auto" w:sz="8" w:space="0"/>
            </w:tcBorders>
            <w:vAlign w:val="center"/>
          </w:tcPr>
          <w:p>
            <w:pPr>
              <w:keepNext w:val="0"/>
              <w:keepLines w:val="0"/>
              <w:pageBreakBefore w:val="0"/>
              <w:kinsoku/>
              <w:wordWrap/>
              <w:overflowPunct/>
              <w:topLinePunct w:val="0"/>
              <w:bidi w:val="0"/>
              <w:snapToGrid w:val="0"/>
              <w:spacing w:line="400" w:lineRule="exact"/>
              <w:ind w:firstLine="420" w:firstLineChars="200"/>
              <w:jc w:val="left"/>
              <w:rPr>
                <w:rFonts w:ascii="宋体"/>
                <w:color w:val="000000" w:themeColor="text1"/>
                <w:kern w:val="2"/>
                <w:sz w:val="21"/>
                <w:szCs w:val="21"/>
                <w:highlight w:val="none"/>
                <w:u w:val="single"/>
                <w14:textFill>
                  <w14:solidFill>
                    <w14:schemeClr w14:val="tx1"/>
                  </w14:solidFill>
                </w14:textFill>
              </w:rPr>
            </w:pPr>
            <w:r>
              <w:rPr>
                <w:rFonts w:hint="eastAsia" w:ascii="宋体"/>
                <w:color w:val="000000" w:themeColor="text1"/>
                <w:kern w:val="2"/>
                <w:sz w:val="21"/>
                <w:szCs w:val="21"/>
                <w:highlight w:val="none"/>
                <w14:textFill>
                  <w14:solidFill>
                    <w14:schemeClr w14:val="tx1"/>
                  </w14:solidFill>
                </w14:textFill>
              </w:rPr>
              <w:t>标段名称：</w:t>
            </w:r>
            <w:r>
              <w:rPr>
                <w:rFonts w:hint="eastAsia" w:ascii="宋体"/>
                <w:color w:val="000000" w:themeColor="text1"/>
                <w:kern w:val="2"/>
                <w:sz w:val="21"/>
                <w:szCs w:val="21"/>
                <w:highlight w:val="none"/>
                <w:u w:val="single"/>
                <w14:textFill>
                  <w14:solidFill>
                    <w14:schemeClr w14:val="tx1"/>
                  </w14:solidFill>
                </w14:textFill>
              </w:rPr>
              <w:t xml:space="preserve">                                        </w:t>
            </w:r>
          </w:p>
          <w:p>
            <w:pPr>
              <w:keepNext w:val="0"/>
              <w:keepLines w:val="0"/>
              <w:pageBreakBefore w:val="0"/>
              <w:kinsoku/>
              <w:wordWrap/>
              <w:overflowPunct/>
              <w:topLinePunct w:val="0"/>
              <w:bidi w:val="0"/>
              <w:snapToGrid w:val="0"/>
              <w:spacing w:line="400" w:lineRule="exact"/>
              <w:ind w:firstLine="420" w:firstLineChars="200"/>
              <w:jc w:val="left"/>
              <w:rPr>
                <w:rFonts w:ascii="宋体"/>
                <w:color w:val="000000" w:themeColor="text1"/>
                <w:kern w:val="2"/>
                <w:sz w:val="21"/>
                <w:szCs w:val="21"/>
                <w:highlight w:val="none"/>
                <w:u w:val="single"/>
                <w14:textFill>
                  <w14:solidFill>
                    <w14:schemeClr w14:val="tx1"/>
                  </w14:solidFill>
                </w14:textFill>
              </w:rPr>
            </w:pPr>
            <w:r>
              <w:rPr>
                <w:rFonts w:hint="eastAsia" w:ascii="宋体"/>
                <w:color w:val="000000" w:themeColor="text1"/>
                <w:kern w:val="2"/>
                <w:sz w:val="21"/>
                <w:szCs w:val="21"/>
                <w:highlight w:val="none"/>
                <w14:textFill>
                  <w14:solidFill>
                    <w14:schemeClr w14:val="tx1"/>
                  </w14:solidFill>
                </w14:textFill>
              </w:rPr>
              <w:t>标段编号：</w:t>
            </w:r>
            <w:r>
              <w:rPr>
                <w:rFonts w:hint="eastAsia" w:ascii="宋体"/>
                <w:color w:val="000000" w:themeColor="text1"/>
                <w:kern w:val="2"/>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Chars="200"/>
              <w:jc w:val="left"/>
              <w:rPr>
                <w:rFonts w:ascii="宋体"/>
                <w:color w:val="000000" w:themeColor="text1"/>
                <w:sz w:val="21"/>
                <w:szCs w:val="21"/>
                <w:highlight w:val="none"/>
                <w:u w:val="single"/>
                <w14:textFill>
                  <w14:solidFill>
                    <w14:schemeClr w14:val="tx1"/>
                  </w14:solidFill>
                </w14:textFill>
              </w:rPr>
            </w:pPr>
            <w:r>
              <w:rPr>
                <w:rFonts w:hint="eastAsia" w:ascii="宋体" w:hAnsi="宋体" w:cs="瀹嬩綋"/>
                <w:color w:val="000000" w:themeColor="text1"/>
                <w:sz w:val="21"/>
                <w:szCs w:val="21"/>
                <w:highlight w:val="none"/>
                <w14:textFill>
                  <w14:solidFill>
                    <w14:schemeClr w14:val="tx1"/>
                  </w14:solidFill>
                </w14:textFill>
              </w:rPr>
              <w:t>投标人均可就本招标项目中的所有标段提出投标申请</w:t>
            </w:r>
            <w:r>
              <w:rPr>
                <w:rFonts w:hint="eastAsia" w:ascii="宋体"/>
                <w:color w:val="000000" w:themeColor="text1"/>
                <w:sz w:val="21"/>
                <w:szCs w:val="21"/>
                <w:highlight w:val="none"/>
                <w14:textFill>
                  <w14:solidFill>
                    <w14:schemeClr w14:val="tx1"/>
                  </w14:solidFill>
                </w14:textFill>
              </w:rPr>
              <w:t>，</w:t>
            </w:r>
            <w:r>
              <w:rPr>
                <w:rFonts w:hint="eastAsia" w:ascii="宋体" w:hAnsi="宋体" w:cs="瀹嬩綋"/>
                <w:color w:val="000000" w:themeColor="text1"/>
                <w:sz w:val="21"/>
                <w:szCs w:val="21"/>
                <w:highlight w:val="none"/>
                <w14:textFill>
                  <w14:solidFill>
                    <w14:schemeClr w14:val="tx1"/>
                  </w14:solidFill>
                </w14:textFill>
              </w:rPr>
              <w:t>但招标人允许中标的标段数量</w:t>
            </w:r>
            <w:r>
              <w:rPr>
                <w:rFonts w:hint="eastAsia"/>
                <w:color w:val="000000" w:themeColor="text1"/>
                <w:sz w:val="21"/>
                <w:szCs w:val="21"/>
                <w:highlight w:val="none"/>
                <w14:textFill>
                  <w14:solidFill>
                    <w14:schemeClr w14:val="tx1"/>
                  </w14:solidFill>
                </w14:textFill>
              </w:rPr>
              <w:t>和规定：</w:t>
            </w:r>
            <w:r>
              <w:rPr>
                <w:rFonts w:hint="eastAsia" w:ascii="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1.3.3</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勘察服务期限</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9</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1.3.4</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质量标准</w:t>
            </w:r>
          </w:p>
        </w:tc>
        <w:tc>
          <w:tcPr>
            <w:tcW w:w="5954" w:type="dxa"/>
            <w:tcBorders>
              <w:left w:val="single" w:color="auto" w:sz="4" w:space="0"/>
              <w:right w:val="single" w:color="auto" w:sz="8" w:space="0"/>
            </w:tcBorders>
            <w:vAlign w:val="center"/>
          </w:tcPr>
          <w:p>
            <w:pPr>
              <w:keepNext w:val="0"/>
              <w:keepLines w:val="0"/>
              <w:pageBreakBefore w:val="0"/>
              <w:kinsoku/>
              <w:wordWrap/>
              <w:overflowPunct/>
              <w:topLinePunct w:val="0"/>
              <w:bidi w:val="0"/>
              <w:spacing w:line="400" w:lineRule="exact"/>
              <w:ind w:firstLine="420" w:firstLineChars="200"/>
              <w:jc w:val="left"/>
              <w:rPr>
                <w:rFonts w:hint="default" w:ascii="宋体" w:hAnsi="宋体"/>
                <w:color w:val="000000" w:themeColor="text1"/>
                <w:sz w:val="21"/>
                <w:szCs w:val="21"/>
                <w:highlight w:val="none"/>
                <w:lang w:val="en-US"/>
                <w14:textFill>
                  <w14:solidFill>
                    <w14:schemeClr w14:val="tx1"/>
                  </w14:solidFill>
                </w14:textFill>
              </w:rPr>
            </w:pP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1.4</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资格审查方式</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采用资格后审方式。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1.5.1（3）</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合格投标人资格条件</w:t>
            </w:r>
          </w:p>
        </w:tc>
        <w:tc>
          <w:tcPr>
            <w:tcW w:w="5954" w:type="dxa"/>
            <w:tcBorders>
              <w:left w:val="single" w:color="auto" w:sz="4" w:space="0"/>
              <w:right w:val="single" w:color="auto" w:sz="8" w:space="0"/>
            </w:tcBorders>
            <w:vAlign w:val="center"/>
          </w:tcPr>
          <w:p>
            <w:pPr>
              <w:pStyle w:val="15"/>
              <w:keepNext w:val="0"/>
              <w:keepLines w:val="0"/>
              <w:pageBreakBefore w:val="0"/>
              <w:tabs>
                <w:tab w:val="left" w:pos="0"/>
              </w:tabs>
              <w:kinsoku/>
              <w:wordWrap/>
              <w:overflowPunct/>
              <w:topLinePunct w:val="0"/>
              <w:bidi w:val="0"/>
              <w:snapToGrid w:val="0"/>
              <w:spacing w:line="400" w:lineRule="exact"/>
              <w:ind w:firstLine="218" w:firstLineChars="104"/>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（1）资质要求：见附录1。</w:t>
            </w:r>
          </w:p>
          <w:p>
            <w:pPr>
              <w:pStyle w:val="15"/>
              <w:keepNext w:val="0"/>
              <w:keepLines w:val="0"/>
              <w:pageBreakBefore w:val="0"/>
              <w:tabs>
                <w:tab w:val="left" w:pos="0"/>
              </w:tabs>
              <w:kinsoku/>
              <w:wordWrap/>
              <w:overflowPunct/>
              <w:topLinePunct w:val="0"/>
              <w:bidi w:val="0"/>
              <w:snapToGrid w:val="0"/>
              <w:spacing w:line="400" w:lineRule="exact"/>
              <w:ind w:firstLine="218" w:firstLineChars="104"/>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（2）项目人员配置：见附录1。</w:t>
            </w:r>
          </w:p>
          <w:p>
            <w:pPr>
              <w:pStyle w:val="15"/>
              <w:keepNext w:val="0"/>
              <w:keepLines w:val="0"/>
              <w:pageBreakBefore w:val="0"/>
              <w:tabs>
                <w:tab w:val="left" w:pos="0"/>
              </w:tabs>
              <w:kinsoku/>
              <w:wordWrap/>
              <w:overflowPunct/>
              <w:topLinePunct w:val="0"/>
              <w:bidi w:val="0"/>
              <w:snapToGrid w:val="0"/>
              <w:spacing w:line="400" w:lineRule="exact"/>
              <w:ind w:firstLine="218" w:firstLineChars="104"/>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w:t>
            </w:r>
            <w:r>
              <w:rPr>
                <w:rFonts w:hint="eastAsia" w:ascii="宋体" w:hAnsi="宋体" w:eastAsia="宋体" w:cs="黑体"/>
                <w:color w:val="000000" w:themeColor="text1"/>
                <w:sz w:val="21"/>
                <w:szCs w:val="21"/>
                <w:highlight w:val="none"/>
                <w14:textFill>
                  <w14:solidFill>
                    <w14:schemeClr w14:val="tx1"/>
                  </w14:solidFill>
                </w14:textFill>
              </w:rPr>
              <w:t>类似项目业绩</w:t>
            </w:r>
            <w:r>
              <w:rPr>
                <w:rFonts w:hint="eastAsia" w:ascii="宋体" w:hAnsi="宋体" w:eastAsia="宋体"/>
                <w:color w:val="000000" w:themeColor="text1"/>
                <w:sz w:val="21"/>
                <w:szCs w:val="21"/>
                <w:highlight w:val="none"/>
                <w14:textFill>
                  <w14:solidFill>
                    <w14:schemeClr w14:val="tx1"/>
                  </w14:solidFill>
                </w14:textFill>
              </w:rPr>
              <w:t>：见附录1。</w:t>
            </w:r>
          </w:p>
          <w:p>
            <w:pPr>
              <w:pStyle w:val="15"/>
              <w:keepNext w:val="0"/>
              <w:keepLines w:val="0"/>
              <w:pageBreakBefore w:val="0"/>
              <w:tabs>
                <w:tab w:val="left" w:pos="0"/>
              </w:tabs>
              <w:kinsoku/>
              <w:wordWrap/>
              <w:overflowPunct/>
              <w:topLinePunct w:val="0"/>
              <w:bidi w:val="0"/>
              <w:snapToGrid w:val="0"/>
              <w:spacing w:line="400" w:lineRule="exact"/>
              <w:ind w:firstLine="218" w:firstLineChars="104"/>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（4）信用：见附录1。</w:t>
            </w:r>
          </w:p>
          <w:p>
            <w:pPr>
              <w:pStyle w:val="15"/>
              <w:keepNext w:val="0"/>
              <w:keepLines w:val="0"/>
              <w:pageBreakBefore w:val="0"/>
              <w:tabs>
                <w:tab w:val="left" w:pos="510"/>
              </w:tabs>
              <w:kinsoku/>
              <w:wordWrap/>
              <w:overflowPunct/>
              <w:topLinePunct w:val="0"/>
              <w:bidi w:val="0"/>
              <w:snapToGrid w:val="0"/>
              <w:spacing w:afterLines="50" w:line="400" w:lineRule="exact"/>
              <w:ind w:firstLine="218" w:firstLineChars="104"/>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（5）其他：见附录1。</w:t>
            </w:r>
          </w:p>
          <w:p>
            <w:pPr>
              <w:pStyle w:val="15"/>
              <w:keepNext w:val="0"/>
              <w:keepLines w:val="0"/>
              <w:pageBreakBefore w:val="0"/>
              <w:tabs>
                <w:tab w:val="left" w:pos="510"/>
              </w:tabs>
              <w:kinsoku/>
              <w:wordWrap/>
              <w:overflowPunct/>
              <w:topLinePunct w:val="0"/>
              <w:bidi w:val="0"/>
              <w:snapToGrid w:val="0"/>
              <w:spacing w:line="400" w:lineRule="exact"/>
              <w:ind w:firstLine="323" w:firstLineChars="154"/>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投标人应当按本章和第七章投标文件格式之 “资格审查文件”规定的格式</w:t>
            </w:r>
            <w:r>
              <w:rPr>
                <w:rFonts w:hint="eastAsia" w:ascii="宋体" w:hAnsi="宋体" w:eastAsia="宋体"/>
                <w:color w:val="000000" w:themeColor="text1"/>
                <w:sz w:val="21"/>
                <w:szCs w:val="21"/>
                <w:highlight w:val="none"/>
                <w14:textFill>
                  <w14:solidFill>
                    <w14:schemeClr w14:val="tx1"/>
                  </w14:solidFill>
                </w14:textFill>
              </w:rPr>
              <w:t>（包括脚注要求和说明）</w:t>
            </w:r>
            <w:r>
              <w:rPr>
                <w:rFonts w:hint="eastAsia" w:ascii="宋体" w:hAnsi="宋体"/>
                <w:color w:val="000000" w:themeColor="text1"/>
                <w:sz w:val="21"/>
                <w:szCs w:val="21"/>
                <w:highlight w:val="none"/>
                <w14:textFill>
                  <w14:solidFill>
                    <w14:schemeClr w14:val="tx1"/>
                  </w14:solidFill>
                </w14:textFill>
              </w:rPr>
              <w:t>和内容要求提交有关资料。合格投标人的评审办法见第三章</w:t>
            </w:r>
            <w:r>
              <w:rPr>
                <w:rFonts w:hint="eastAsia" w:ascii="宋体" w:hAnsi="宋体"/>
                <w:color w:val="000000" w:themeColor="text1"/>
                <w:sz w:val="21"/>
                <w:szCs w:val="21"/>
                <w:highlight w:val="none"/>
                <w:lang w:val="en-US" w:eastAsia="zh-CN"/>
                <w14:textFill>
                  <w14:solidFill>
                    <w14:schemeClr w14:val="tx1"/>
                  </w14:solidFill>
                </w14:textFill>
              </w:rPr>
              <w:t>评标办法</w:t>
            </w:r>
            <w:r>
              <w:rPr>
                <w:rFonts w:hint="eastAsia" w:ascii="宋体" w:hAnsi="宋体"/>
                <w:color w:val="000000" w:themeColor="text1"/>
                <w:sz w:val="21"/>
                <w:szCs w:val="21"/>
                <w:highlight w:val="none"/>
                <w14:textFill>
                  <w14:solidFill>
                    <w14:schemeClr w14:val="tx1"/>
                  </w14:solidFill>
                </w14:textFill>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1.5.3</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是否接受联合体投标</w:t>
            </w:r>
          </w:p>
        </w:tc>
        <w:tc>
          <w:tcPr>
            <w:tcW w:w="5954" w:type="dxa"/>
            <w:tcBorders>
              <w:left w:val="single" w:color="auto" w:sz="4" w:space="0"/>
              <w:right w:val="single" w:color="auto" w:sz="8" w:space="0"/>
            </w:tcBorders>
            <w:vAlign w:val="center"/>
          </w:tcPr>
          <w:p>
            <w:pPr>
              <w:pStyle w:val="57"/>
              <w:keepNext w:val="0"/>
              <w:keepLines w:val="0"/>
              <w:pageBreakBefore w:val="0"/>
              <w:kinsoku/>
              <w:wordWrap/>
              <w:overflowPunct/>
              <w:topLinePunct w:val="0"/>
              <w:bidi w:val="0"/>
              <w:spacing w:line="400" w:lineRule="exact"/>
              <w:ind w:firstLine="359" w:firstLineChars="171"/>
              <w:rPr>
                <w:rFonts w:ascii="宋体" w:hAnsi="宋体" w:eastAsia="宋体" w:cstheme="minorBidi"/>
                <w:color w:val="000000" w:themeColor="text1"/>
                <w:kern w:val="2"/>
                <w:sz w:val="21"/>
                <w:szCs w:val="21"/>
                <w:highlight w:val="none"/>
                <w14:textFill>
                  <w14:solidFill>
                    <w14:schemeClr w14:val="tx1"/>
                  </w14:solidFill>
                </w14:textFill>
              </w:rPr>
            </w:pPr>
            <w:r>
              <w:rPr>
                <w:rFonts w:hint="eastAsia" w:ascii="宋体" w:hAnsi="宋体" w:eastAsia="宋体" w:cstheme="minorBidi"/>
                <w:color w:val="000000" w:themeColor="text1"/>
                <w:kern w:val="2"/>
                <w:sz w:val="21"/>
                <w:szCs w:val="21"/>
                <w:highlight w:val="none"/>
                <w14:textFill>
                  <w14:solidFill>
                    <w14:schemeClr w14:val="tx1"/>
                  </w14:solidFill>
                </w14:textFill>
              </w:rPr>
              <w:t>□不接受</w:t>
            </w:r>
            <w:r>
              <w:rPr>
                <w:rFonts w:ascii="宋体" w:hAnsi="宋体" w:eastAsia="宋体" w:cstheme="minorBidi"/>
                <w:color w:val="000000" w:themeColor="text1"/>
                <w:kern w:val="2"/>
                <w:sz w:val="21"/>
                <w:szCs w:val="21"/>
                <w:highlight w:val="none"/>
                <w14:textFill>
                  <w14:solidFill>
                    <w14:schemeClr w14:val="tx1"/>
                  </w14:solidFill>
                </w14:textFill>
              </w:rPr>
              <w:t xml:space="preserve"> </w:t>
            </w:r>
          </w:p>
          <w:p>
            <w:pPr>
              <w:pStyle w:val="57"/>
              <w:keepNext w:val="0"/>
              <w:keepLines w:val="0"/>
              <w:pageBreakBefore w:val="0"/>
              <w:kinsoku/>
              <w:wordWrap/>
              <w:overflowPunct/>
              <w:topLinePunct w:val="0"/>
              <w:bidi w:val="0"/>
              <w:spacing w:line="400" w:lineRule="exact"/>
              <w:ind w:firstLine="359" w:firstLineChars="171"/>
              <w:rPr>
                <w:rFonts w:ascii="宋体" w:hAnsi="宋体" w:eastAsia="宋体" w:cstheme="minorBidi"/>
                <w:color w:val="000000" w:themeColor="text1"/>
                <w:kern w:val="2"/>
                <w:sz w:val="21"/>
                <w:szCs w:val="21"/>
                <w:highlight w:val="none"/>
                <w14:textFill>
                  <w14:solidFill>
                    <w14:schemeClr w14:val="tx1"/>
                  </w14:solidFill>
                </w14:textFill>
              </w:rPr>
            </w:pPr>
            <w:r>
              <w:rPr>
                <w:rFonts w:hint="eastAsia" w:ascii="宋体" w:hAnsi="宋体" w:eastAsia="宋体" w:cstheme="minorBidi"/>
                <w:color w:val="000000" w:themeColor="text1"/>
                <w:kern w:val="2"/>
                <w:sz w:val="21"/>
                <w:szCs w:val="21"/>
                <w:highlight w:val="none"/>
                <w14:textFill>
                  <w14:solidFill>
                    <w14:schemeClr w14:val="tx1"/>
                  </w14:solidFill>
                </w14:textFill>
              </w:rPr>
              <w:t>□接受，联合体所有成员数量不得超过</w:t>
            </w:r>
            <w:r>
              <w:rPr>
                <w:rFonts w:hint="eastAsia" w:ascii="宋体" w:hAnsi="宋体" w:eastAsia="宋体" w:cstheme="minorBidi"/>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theme="minorBidi"/>
                <w:color w:val="000000" w:themeColor="text1"/>
                <w:kern w:val="2"/>
                <w:sz w:val="21"/>
                <w:szCs w:val="21"/>
                <w:highlight w:val="none"/>
                <w14:textFill>
                  <w14:solidFill>
                    <w14:schemeClr w14:val="tx1"/>
                  </w14:solidFill>
                </w14:textFill>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1.5.4（16）</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投标人（包括联合体成员）不得存在其他情形</w:t>
            </w:r>
          </w:p>
        </w:tc>
        <w:tc>
          <w:tcPr>
            <w:tcW w:w="5954" w:type="dxa"/>
            <w:tcBorders>
              <w:left w:val="single" w:color="auto" w:sz="4" w:space="0"/>
              <w:right w:val="single" w:color="auto" w:sz="8" w:space="0"/>
            </w:tcBorders>
            <w:vAlign w:val="center"/>
          </w:tcPr>
          <w:p>
            <w:pPr>
              <w:pStyle w:val="57"/>
              <w:keepNext w:val="0"/>
              <w:keepLines w:val="0"/>
              <w:pageBreakBefore w:val="0"/>
              <w:kinsoku/>
              <w:wordWrap/>
              <w:overflowPunct/>
              <w:topLinePunct w:val="0"/>
              <w:bidi w:val="0"/>
              <w:spacing w:line="400" w:lineRule="exact"/>
              <w:ind w:firstLine="359" w:firstLineChars="171"/>
              <w:rPr>
                <w:rFonts w:ascii="宋体" w:hAnsi="宋体" w:eastAsia="宋体" w:cstheme="minorBidi"/>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14</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1.9.1/1.9.3</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踏勘现场和标前会时间地点</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（1）踏勘现场：□不组织  </w:t>
            </w:r>
          </w:p>
          <w:p>
            <w:pPr>
              <w:pStyle w:val="15"/>
              <w:keepNext w:val="0"/>
              <w:keepLines w:val="0"/>
              <w:pageBreakBefore w:val="0"/>
              <w:kinsoku/>
              <w:wordWrap/>
              <w:overflowPunct/>
              <w:topLinePunct w:val="0"/>
              <w:bidi w:val="0"/>
              <w:spacing w:line="400" w:lineRule="exact"/>
              <w:ind w:firstLine="1575" w:firstLineChars="75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□组织,踏勘时间：</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15"/>
              <w:keepNext w:val="0"/>
              <w:keepLines w:val="0"/>
              <w:pageBreakBefore w:val="0"/>
              <w:kinsoku/>
              <w:wordWrap/>
              <w:overflowPunct/>
              <w:topLinePunct w:val="0"/>
              <w:bidi w:val="0"/>
              <w:spacing w:line="400" w:lineRule="exact"/>
              <w:ind w:firstLine="2310" w:firstLineChars="11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踏勘集中地点：</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（2）标前会议：□不组织  </w:t>
            </w:r>
          </w:p>
          <w:p>
            <w:pPr>
              <w:pStyle w:val="15"/>
              <w:keepNext w:val="0"/>
              <w:keepLines w:val="0"/>
              <w:pageBreakBefore w:val="0"/>
              <w:kinsoku/>
              <w:wordWrap/>
              <w:overflowPunct/>
              <w:topLinePunct w:val="0"/>
              <w:bidi w:val="0"/>
              <w:snapToGrid w:val="0"/>
              <w:spacing w:line="400" w:lineRule="exact"/>
              <w:ind w:firstLine="1575" w:firstLineChars="75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□组织,召开时间：</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2310" w:firstLineChars="11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召开地点：</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（3）投标人在标前会议前提出问题的时间和方式：</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2.2/2.3</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招标文件的澄清、修改、补充</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投标人提交要求澄清文件的方式：通过发布招标公告（</w:t>
            </w:r>
            <w:r>
              <w:rPr>
                <w:rFonts w:hint="eastAsia" w:ascii="宋体" w:hAnsi="宋体" w:eastAsia="宋体"/>
                <w:color w:val="000000" w:themeColor="text1"/>
                <w:sz w:val="21"/>
                <w:szCs w:val="21"/>
                <w:highlight w:val="none"/>
                <w:lang w:eastAsia="zh-CN"/>
                <w14:textFill>
                  <w14:solidFill>
                    <w14:schemeClr w14:val="tx1"/>
                  </w14:solidFill>
                </w14:textFill>
              </w:rPr>
              <w:t>或投标邀请书</w:t>
            </w:r>
            <w:r>
              <w:rPr>
                <w:rFonts w:hint="eastAsia" w:ascii="宋体" w:hAnsi="宋体" w:eastAsia="宋体"/>
                <w:color w:val="000000" w:themeColor="text1"/>
                <w:sz w:val="21"/>
                <w:szCs w:val="21"/>
                <w:highlight w:val="none"/>
                <w14:textFill>
                  <w14:solidFill>
                    <w14:schemeClr w14:val="tx1"/>
                  </w14:solidFill>
                </w14:textFill>
              </w:rPr>
              <w:t>）的电子交易平台提交需要澄清的文件。</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要求澄清的截止时间：</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年</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月</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日</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时</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w:t>
            </w:r>
            <w:r>
              <w:rPr>
                <w:rFonts w:hint="eastAsia" w:ascii="宋体" w:hAnsi="宋体" w:eastAsia="宋体"/>
                <w:color w:val="000000" w:themeColor="text1"/>
                <w:sz w:val="21"/>
                <w:szCs w:val="21"/>
                <w:highlight w:val="none"/>
                <w14:textFill>
                  <w14:solidFill>
                    <w14:schemeClr w14:val="tx1"/>
                  </w14:solidFill>
                </w14:textFill>
              </w:rPr>
              <w:t>之前。</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招标人发送澄清、修改、补充的方式：通过发布招标公告（</w:t>
            </w:r>
            <w:r>
              <w:rPr>
                <w:rFonts w:hint="eastAsia" w:ascii="宋体" w:hAnsi="宋体" w:eastAsia="宋体"/>
                <w:color w:val="000000" w:themeColor="text1"/>
                <w:sz w:val="21"/>
                <w:szCs w:val="21"/>
                <w:highlight w:val="none"/>
                <w:lang w:eastAsia="zh-CN"/>
                <w14:textFill>
                  <w14:solidFill>
                    <w14:schemeClr w14:val="tx1"/>
                  </w14:solidFill>
                </w14:textFill>
              </w:rPr>
              <w:t>或投标邀请书</w:t>
            </w:r>
            <w:r>
              <w:rPr>
                <w:rFonts w:hint="eastAsia" w:ascii="宋体" w:hAnsi="宋体" w:eastAsia="宋体"/>
                <w:color w:val="000000" w:themeColor="text1"/>
                <w:sz w:val="21"/>
                <w:szCs w:val="21"/>
                <w:highlight w:val="none"/>
                <w14:textFill>
                  <w14:solidFill>
                    <w14:schemeClr w14:val="tx1"/>
                  </w14:solidFill>
                </w14:textFill>
              </w:rPr>
              <w:t>）的电子交易平台发布。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16</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3.2.1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最高投标报价限价和计算办法</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480"/>
              <w:rPr>
                <w:rFonts w:ascii="宋体" w:hAnsi="宋体" w:eastAsia="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□采用综合收费方式</w:t>
            </w:r>
          </w:p>
          <w:p>
            <w:pPr>
              <w:pStyle w:val="15"/>
              <w:keepNext w:val="0"/>
              <w:keepLines w:val="0"/>
              <w:pageBreakBefore w:val="0"/>
              <w:kinsoku/>
              <w:wordWrap/>
              <w:overflowPunct/>
              <w:topLinePunct w:val="0"/>
              <w:bidi w:val="0"/>
              <w:snapToGrid w:val="0"/>
              <w:spacing w:line="400" w:lineRule="exact"/>
              <w:ind w:firstLine="48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招标人公布的工程勘察</w:t>
            </w:r>
            <w:r>
              <w:rPr>
                <w:rFonts w:hint="eastAsia" w:ascii="宋体" w:hAnsi="宋体"/>
                <w:color w:val="000000" w:themeColor="text1"/>
                <w:sz w:val="21"/>
                <w:szCs w:val="21"/>
                <w:highlight w:val="none"/>
                <w14:textFill>
                  <w14:solidFill>
                    <w14:schemeClr w14:val="tx1"/>
                  </w14:solidFill>
                </w14:textFill>
              </w:rPr>
              <w:t>最高投标报价限价</w:t>
            </w:r>
            <w:r>
              <w:rPr>
                <w:rFonts w:hint="eastAsia" w:ascii="宋体" w:hAnsi="宋体" w:eastAsia="宋体"/>
                <w:color w:val="000000" w:themeColor="text1"/>
                <w:sz w:val="21"/>
                <w:szCs w:val="21"/>
                <w:highlight w:val="none"/>
                <w14:textFill>
                  <w14:solidFill>
                    <w14:schemeClr w14:val="tx1"/>
                  </w14:solidFill>
                </w14:textFill>
              </w:rPr>
              <w:t>金额〔工程勘察收费基准价×（1±浮动幅度值）〕、勘察费计算办法为：</w:t>
            </w:r>
          </w:p>
          <w:p>
            <w:pPr>
              <w:pStyle w:val="15"/>
              <w:keepNext w:val="0"/>
              <w:keepLines w:val="0"/>
              <w:pageBreakBefore w:val="0"/>
              <w:kinsoku/>
              <w:wordWrap/>
              <w:overflowPunct/>
              <w:topLinePunct w:val="0"/>
              <w:bidi w:val="0"/>
              <w:snapToGrid w:val="0"/>
              <w:spacing w:line="400" w:lineRule="exact"/>
              <w:ind w:firstLine="48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工程勘察</w:t>
            </w:r>
            <w:r>
              <w:rPr>
                <w:rFonts w:hint="eastAsia" w:ascii="宋体" w:hAnsi="宋体"/>
                <w:color w:val="000000" w:themeColor="text1"/>
                <w:sz w:val="21"/>
                <w:szCs w:val="21"/>
                <w:highlight w:val="none"/>
                <w14:textFill>
                  <w14:solidFill>
                    <w14:schemeClr w14:val="tx1"/>
                  </w14:solidFill>
                </w14:textFill>
              </w:rPr>
              <w:t>最高投标报价限价</w:t>
            </w:r>
            <w:r>
              <w:rPr>
                <w:rFonts w:hint="eastAsia" w:ascii="宋体" w:hAnsi="宋体" w:eastAsia="宋体"/>
                <w:color w:val="000000" w:themeColor="text1"/>
                <w:sz w:val="21"/>
                <w:szCs w:val="21"/>
                <w:highlight w:val="none"/>
                <w14:textFill>
                  <w14:solidFill>
                    <w14:schemeClr w14:val="tx1"/>
                  </w14:solidFill>
                </w14:textFill>
              </w:rPr>
              <w:t>金额：</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元〔其中，工程勘察收费基准价：</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元、浮动幅度值：</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％（须标明“上浮”或“下浮”）〕；</w:t>
            </w:r>
          </w:p>
          <w:p>
            <w:pPr>
              <w:keepNext w:val="0"/>
              <w:keepLines w:val="0"/>
              <w:pageBreakBefore w:val="0"/>
              <w:widowControl/>
              <w:tabs>
                <w:tab w:val="left" w:pos="900"/>
                <w:tab w:val="left" w:pos="1100"/>
              </w:tabs>
              <w:kinsoku/>
              <w:wordWrap/>
              <w:overflowPunct/>
              <w:topLinePunct w:val="0"/>
              <w:bidi w:val="0"/>
              <w:adjustRightInd/>
              <w:spacing w:line="400" w:lineRule="exact"/>
              <w:ind w:firstLine="525" w:firstLineChars="250"/>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勘察费</w:t>
            </w:r>
            <w:r>
              <w:rPr>
                <w:rFonts w:hint="eastAsia" w:ascii="宋体" w:hAnsi="宋体"/>
                <w:color w:val="000000" w:themeColor="text1"/>
                <w:sz w:val="21"/>
                <w:szCs w:val="21"/>
                <w:highlight w:val="none"/>
                <w14:textFill>
                  <w14:solidFill>
                    <w14:schemeClr w14:val="tx1"/>
                  </w14:solidFill>
                </w14:textFill>
              </w:rPr>
              <w:t>最高投标报价限价</w:t>
            </w:r>
            <w:r>
              <w:rPr>
                <w:rFonts w:hint="eastAsia" w:ascii="宋体"/>
                <w:color w:val="000000" w:themeColor="text1"/>
                <w:sz w:val="21"/>
                <w:szCs w:val="21"/>
                <w:highlight w:val="none"/>
                <w14:textFill>
                  <w14:solidFill>
                    <w14:schemeClr w14:val="tx1"/>
                  </w14:solidFill>
                </w14:textFill>
              </w:rPr>
              <w:t>计算办法</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tabs>
                <w:tab w:val="left" w:pos="900"/>
                <w:tab w:val="left" w:pos="1100"/>
              </w:tabs>
              <w:kinsoku/>
              <w:wordWrap/>
              <w:overflowPunct/>
              <w:topLinePunct w:val="0"/>
              <w:bidi w:val="0"/>
              <w:adjustRightInd/>
              <w:spacing w:line="400" w:lineRule="exact"/>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tabs>
                <w:tab w:val="left" w:pos="900"/>
                <w:tab w:val="left" w:pos="1100"/>
              </w:tabs>
              <w:kinsoku/>
              <w:wordWrap/>
              <w:overflowPunct/>
              <w:topLinePunct w:val="0"/>
              <w:bidi w:val="0"/>
              <w:adjustRightInd/>
              <w:spacing w:beforeLines="50" w:line="400" w:lineRule="exact"/>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w:t>
            </w:r>
          </w:p>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jc w:val="left"/>
              <w:textAlignment w:val="auto"/>
              <w:rPr>
                <w:rFonts w:ascii="宋体" w:hAnsi="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（1）勘察内容包含岩土工程设计的，招标人应在勘察费计算办法中列明岩土工程设计费及计算方法。</w:t>
            </w:r>
          </w:p>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（2）市级财政投融资项目勘察费用的支付、结算、决算按《关于进一步完善市级财政投资建设项目管理的若干措施》（厦建协[2019]14号）有关规定执行（如有新的文件，则按新的文件规定执行）。</w:t>
            </w:r>
          </w:p>
          <w:p>
            <w:pPr>
              <w:keepNext w:val="0"/>
              <w:keepLines w:val="0"/>
              <w:pageBreakBefore w:val="0"/>
              <w:widowControl/>
              <w:tabs>
                <w:tab w:val="left" w:pos="900"/>
                <w:tab w:val="left" w:pos="1100"/>
              </w:tabs>
              <w:kinsoku/>
              <w:wordWrap/>
              <w:overflowPunct/>
              <w:topLinePunct w:val="0"/>
              <w:bidi w:val="0"/>
              <w:adjustRightInd/>
              <w:spacing w:beforeLines="50" w:line="400" w:lineRule="exact"/>
              <w:ind w:firstLine="420" w:firstLineChars="200"/>
              <w:jc w:val="left"/>
              <w:textAlignment w:val="auto"/>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□采用分项收费方式</w:t>
            </w:r>
          </w:p>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招标人公布的工程勘察最高投标报价限价金额：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r>
              <w:rPr>
                <w:rFonts w:hint="eastAsia" w:ascii="宋体"/>
                <w:color w:val="000000" w:themeColor="text1"/>
                <w:sz w:val="21"/>
                <w:szCs w:val="21"/>
                <w:highlight w:val="none"/>
                <w14:textFill>
                  <w14:solidFill>
                    <w14:schemeClr w14:val="tx1"/>
                  </w14:solidFill>
                </w14:textFill>
              </w:rPr>
              <w:t>具体《工程勘察分项表》如下：</w:t>
            </w:r>
            <w:r>
              <w:rPr>
                <w:rFonts w:hint="eastAsia" w:ascii="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tabs>
                <w:tab w:val="left" w:pos="900"/>
                <w:tab w:val="left" w:pos="1100"/>
              </w:tabs>
              <w:kinsoku/>
              <w:wordWrap/>
              <w:overflowPunct/>
              <w:topLinePunct w:val="0"/>
              <w:bidi w:val="0"/>
              <w:adjustRightInd/>
              <w:spacing w:line="400" w:lineRule="exact"/>
              <w:textAlignment w:val="auto"/>
              <w:rPr>
                <w:rFonts w:ascii="宋体"/>
                <w:color w:val="000000" w:themeColor="text1"/>
                <w:sz w:val="21"/>
                <w:szCs w:val="21"/>
                <w:highlight w:val="none"/>
                <w:u w:val="single"/>
                <w14:textFill>
                  <w14:solidFill>
                    <w14:schemeClr w14:val="tx1"/>
                  </w14:solidFill>
                </w14:textFill>
              </w:rPr>
            </w:pPr>
            <w:r>
              <w:rPr>
                <w:rFonts w:hint="eastAsia" w:ascii="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tabs>
                <w:tab w:val="left" w:pos="900"/>
                <w:tab w:val="left" w:pos="1100"/>
              </w:tabs>
              <w:kinsoku/>
              <w:wordWrap/>
              <w:overflowPunct/>
              <w:topLinePunct w:val="0"/>
              <w:bidi w:val="0"/>
              <w:adjustRightInd/>
              <w:spacing w:line="400" w:lineRule="exact"/>
              <w:textAlignment w:val="auto"/>
              <w:rPr>
                <w:rFonts w:ascii="宋体"/>
                <w:color w:val="000000" w:themeColor="text1"/>
                <w:sz w:val="21"/>
                <w:szCs w:val="21"/>
                <w:highlight w:val="none"/>
                <w:u w:val="single"/>
                <w14:textFill>
                  <w14:solidFill>
                    <w14:schemeClr w14:val="tx1"/>
                  </w14:solidFill>
                </w14:textFill>
              </w:rPr>
            </w:pPr>
            <w:r>
              <w:rPr>
                <w:rFonts w:hint="eastAsia" w:ascii="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注：</w:t>
            </w:r>
          </w:p>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工程勘察分项表》应列出各分项工程勘察费计算方法，包括分项工程名称、深度、类别、数量、单价、合价等内容，格式由招标人根据项目实际自拟。除填写投标报价外，投标人不得修改《工程勘察分项表》中的内容。</w:t>
            </w:r>
          </w:p>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textAlignment w:val="auto"/>
              <w:rPr>
                <w:rFonts w:ascii="宋体"/>
                <w:b w:val="0"/>
                <w:bCs/>
                <w:color w:val="000000" w:themeColor="text1"/>
                <w:sz w:val="21"/>
                <w:szCs w:val="21"/>
                <w:highlight w:val="none"/>
                <w14:textFill>
                  <w14:solidFill>
                    <w14:schemeClr w14:val="tx1"/>
                  </w14:solidFill>
                </w14:textFill>
              </w:rPr>
            </w:pPr>
            <w:r>
              <w:rPr>
                <w:rFonts w:hint="eastAsia" w:ascii="宋体"/>
                <w:b w:val="0"/>
                <w:bCs/>
                <w:color w:val="000000" w:themeColor="text1"/>
                <w:sz w:val="21"/>
                <w:szCs w:val="21"/>
                <w:highlight w:val="none"/>
                <w14:textFill>
                  <w14:solidFill>
                    <w14:schemeClr w14:val="tx1"/>
                  </w14:solidFill>
                </w14:textFill>
              </w:rPr>
              <w:t>（2）</w:t>
            </w:r>
            <w:r>
              <w:rPr>
                <w:rFonts w:hint="eastAsia" w:ascii="宋体" w:hAnsi="宋体"/>
                <w:b w:val="0"/>
                <w:bCs/>
                <w:color w:val="000000" w:themeColor="text1"/>
                <w:sz w:val="21"/>
                <w:szCs w:val="21"/>
                <w:highlight w:val="none"/>
                <w14:textFill>
                  <w14:solidFill>
                    <w14:schemeClr w14:val="tx1"/>
                  </w14:solidFill>
                </w14:textFill>
              </w:rPr>
              <w:t>勘察内容包含岩土工程设计的，招标人应在《工程勘察分项表》中列明岩土工程设计费及计算方法。</w:t>
            </w:r>
          </w:p>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（3）市级财政投融资项目勘察费用的支付、结算、决算按《关于进一步完善市级财政投资建设项目管理的若干措施》（厦建协[2019]14号）有关规定执行（如有新的文件，则按新的文件规定执行）。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17</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3.2.6</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投标报价的其他要求</w:t>
            </w:r>
          </w:p>
        </w:tc>
        <w:tc>
          <w:tcPr>
            <w:tcW w:w="5954" w:type="dxa"/>
            <w:tcBorders>
              <w:left w:val="single" w:color="auto" w:sz="4" w:space="0"/>
              <w:right w:val="single" w:color="auto" w:sz="8" w:space="0"/>
            </w:tcBorders>
            <w:vAlign w:val="center"/>
          </w:tcPr>
          <w:p>
            <w:pPr>
              <w:keepNext w:val="0"/>
              <w:keepLines w:val="0"/>
              <w:pageBreakBefore w:val="0"/>
              <w:widowControl/>
              <w:tabs>
                <w:tab w:val="left" w:pos="900"/>
                <w:tab w:val="left" w:pos="1100"/>
              </w:tabs>
              <w:kinsoku/>
              <w:wordWrap/>
              <w:overflowPunct/>
              <w:topLinePunct w:val="0"/>
              <w:bidi w:val="0"/>
              <w:adjustRightInd/>
              <w:spacing w:line="400" w:lineRule="exact"/>
              <w:ind w:firstLine="420" w:firstLineChars="200"/>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18</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3.3.1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投标有效期</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本招标项目的投标有效期为投标截止期后</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19</w:t>
            </w:r>
          </w:p>
        </w:tc>
        <w:tc>
          <w:tcPr>
            <w:tcW w:w="993"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3.4.1</w:t>
            </w:r>
          </w:p>
        </w:tc>
        <w:tc>
          <w:tcPr>
            <w:tcW w:w="1842" w:type="dxa"/>
            <w:gridSpan w:val="2"/>
            <w:tcBorders>
              <w:bottom w:val="single" w:color="auto" w:sz="4" w:space="0"/>
              <w:right w:val="single" w:color="auto" w:sz="4" w:space="0"/>
            </w:tcBorders>
            <w:vAlign w:val="center"/>
          </w:tcPr>
          <w:p>
            <w:pPr>
              <w:pStyle w:val="15"/>
              <w:keepNext w:val="0"/>
              <w:keepLines w:val="0"/>
              <w:pageBreakBefore w:val="0"/>
              <w:kinsoku/>
              <w:wordWrap/>
              <w:overflowPunct/>
              <w:topLinePunct w:val="0"/>
              <w:bidi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投标保证金</w:t>
            </w:r>
          </w:p>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p>
        </w:tc>
        <w:tc>
          <w:tcPr>
            <w:tcW w:w="5954" w:type="dxa"/>
            <w:tcBorders>
              <w:left w:val="single" w:color="auto" w:sz="4" w:space="0"/>
              <w:bottom w:val="single" w:color="auto" w:sz="4" w:space="0"/>
              <w:right w:val="single" w:color="auto" w:sz="8" w:space="0"/>
            </w:tcBorders>
            <w:vAlign w:val="center"/>
          </w:tcPr>
          <w:p>
            <w:pPr>
              <w:pStyle w:val="15"/>
              <w:keepNext w:val="0"/>
              <w:keepLines w:val="0"/>
              <w:pageBreakBefore w:val="0"/>
              <w:kinsoku/>
              <w:wordWrap/>
              <w:overflowPunct/>
              <w:topLinePunct w:val="0"/>
              <w:bidi w:val="0"/>
              <w:spacing w:line="400" w:lineRule="exact"/>
              <w:ind w:firstLine="482"/>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□不要求</w:t>
            </w:r>
          </w:p>
          <w:p>
            <w:pPr>
              <w:pStyle w:val="15"/>
              <w:keepNext w:val="0"/>
              <w:keepLines w:val="0"/>
              <w:pageBreakBefore w:val="0"/>
              <w:kinsoku/>
              <w:wordWrap/>
              <w:overflowPunct/>
              <w:topLinePunct w:val="0"/>
              <w:bidi w:val="0"/>
              <w:spacing w:line="400" w:lineRule="exact"/>
              <w:ind w:firstLine="482"/>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□要求，采用联合体形式投标的，其投标保证金由牵头人</w:t>
            </w:r>
            <w:r>
              <w:rPr>
                <w:rFonts w:hint="eastAsia" w:ascii="宋体" w:hAnsi="宋体" w:eastAsia="宋体"/>
                <w:color w:val="000000" w:themeColor="text1"/>
                <w:sz w:val="21"/>
                <w:szCs w:val="21"/>
                <w:highlight w:val="none"/>
                <w:lang w:eastAsia="zh-CN"/>
                <w14:textFill>
                  <w14:solidFill>
                    <w14:schemeClr w14:val="tx1"/>
                  </w14:solidFill>
                </w14:textFill>
              </w:rPr>
              <w:t>递交</w:t>
            </w:r>
            <w:r>
              <w:rPr>
                <w:rFonts w:hint="eastAsia" w:ascii="宋体" w:hAnsi="宋体" w:eastAsia="宋体"/>
                <w:color w:val="000000" w:themeColor="text1"/>
                <w:sz w:val="21"/>
                <w:szCs w:val="21"/>
                <w:highlight w:val="none"/>
                <w14:textFill>
                  <w14:solidFill>
                    <w14:schemeClr w14:val="tx1"/>
                  </w14:solidFill>
                </w14:textFill>
              </w:rPr>
              <w:t>。</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1.投标保证金金额：</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万元人民币；</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2.投标保证金形式：</w:t>
            </w:r>
            <w:r>
              <w:rPr>
                <w:rFonts w:hint="eastAsia" w:ascii="宋体" w:hAnsi="宋体"/>
                <w:color w:val="000000" w:themeColor="text1"/>
                <w:sz w:val="21"/>
                <w:szCs w:val="21"/>
                <w:highlight w:val="none"/>
                <w14:textFill>
                  <w14:solidFill>
                    <w14:schemeClr w14:val="tx1"/>
                  </w14:solidFill>
                </w14:textFill>
              </w:rPr>
              <w:t>投标人可以使用以下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□①</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□②</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□③</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□④ </w:t>
            </w:r>
            <w:r>
              <w:rPr>
                <w:rFonts w:hint="eastAsia" w:ascii="宋体" w:hAnsi="宋体"/>
                <w:color w:val="000000" w:themeColor="text1"/>
                <w:sz w:val="21"/>
                <w:szCs w:val="21"/>
                <w:highlight w:val="none"/>
                <w14:textFill>
                  <w14:solidFill>
                    <w14:schemeClr w14:val="tx1"/>
                  </w14:solidFill>
                </w14:textFill>
              </w:rPr>
              <w:t>之一的有效投标保证金形式：</w:t>
            </w:r>
          </w:p>
          <w:p>
            <w:pPr>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①现金形式:应在投标截止时间之前从投标人所在地银行的投标人企业基本账户以电汇或银行转账的形式，汇到招标文件指定的投标保证金账户</w:t>
            </w:r>
            <w:r>
              <w:rPr>
                <w:rFonts w:hint="eastAsia" w:ascii="宋体" w:hAnsi="宋体" w:cs="宋体"/>
                <w:color w:val="000000" w:themeColor="text1"/>
                <w:spacing w:val="4"/>
                <w:sz w:val="21"/>
                <w:szCs w:val="21"/>
                <w:highlight w:val="none"/>
                <w14:textFill>
                  <w14:solidFill>
                    <w14:schemeClr w14:val="tx1"/>
                  </w14:solidFill>
                </w14:textFill>
              </w:rPr>
              <w:t>，并应在电汇或银行转账单上注明“</w:t>
            </w:r>
            <w:r>
              <w:rPr>
                <w:rFonts w:hint="eastAsia" w:ascii="宋体" w:hAnsi="宋体" w:cs="宋体"/>
                <w:color w:val="000000" w:themeColor="text1"/>
                <w:spacing w:val="4"/>
                <w:sz w:val="21"/>
                <w:szCs w:val="21"/>
                <w:highlight w:val="none"/>
                <w:u w:val="single"/>
                <w14:textFill>
                  <w14:solidFill>
                    <w14:schemeClr w14:val="tx1"/>
                  </w14:solidFill>
                </w14:textFill>
              </w:rPr>
              <w:t>（招标项目编号）</w:t>
            </w:r>
            <w:r>
              <w:rPr>
                <w:rFonts w:hint="eastAsia" w:ascii="宋体" w:hAnsi="宋体" w:cs="宋体"/>
                <w:color w:val="000000" w:themeColor="text1"/>
                <w:spacing w:val="4"/>
                <w:sz w:val="21"/>
                <w:szCs w:val="21"/>
                <w:highlight w:val="none"/>
                <w14:textFill>
                  <w14:solidFill>
                    <w14:schemeClr w14:val="tx1"/>
                  </w14:solidFill>
                </w14:textFill>
              </w:rPr>
              <w:t>”，如因投标人汇款凭证未注明招标项目编号造成银行无法识别投标保证金到账情况或识别错误的，其责任由投标人自行承担。</w:t>
            </w:r>
            <w:r>
              <w:rPr>
                <w:rFonts w:hint="eastAsia" w:ascii="宋体" w:hAnsi="宋体" w:cs="宋体"/>
                <w:color w:val="000000" w:themeColor="text1"/>
                <w:sz w:val="21"/>
                <w:szCs w:val="21"/>
                <w:highlight w:val="none"/>
                <w14:textFill>
                  <w14:solidFill>
                    <w14:schemeClr w14:val="tx1"/>
                  </w14:solidFill>
                </w14:textFill>
              </w:rPr>
              <w:t>招标人在投标截止的同一时间到银行查询投标保证金到</w:t>
            </w: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cs="宋体"/>
                <w:color w:val="000000" w:themeColor="text1"/>
                <w:sz w:val="21"/>
                <w:szCs w:val="21"/>
                <w:highlight w:val="none"/>
                <w14:textFill>
                  <w14:solidFill>
                    <w14:schemeClr w14:val="tx1"/>
                  </w14:solidFill>
                </w14:textFill>
              </w:rPr>
              <w:t>情况，并以银行出具的加盖公章的投标保证金到</w:t>
            </w: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cs="宋体"/>
                <w:color w:val="000000" w:themeColor="text1"/>
                <w:sz w:val="21"/>
                <w:szCs w:val="21"/>
                <w:highlight w:val="none"/>
                <w14:textFill>
                  <w14:solidFill>
                    <w14:schemeClr w14:val="tx1"/>
                  </w14:solidFill>
                </w14:textFill>
              </w:rPr>
              <w:t>证明作为投标人是否按招标文件规定递交投标保证金的依据。投标人企业基本账户开户许可证或基本存款账户开户银行开具的《基本存款账户信息》上账号应与投标保证金转账回单上账号一致，否则视为未按规定</w:t>
            </w:r>
            <w:r>
              <w:rPr>
                <w:rFonts w:hint="eastAsia" w:ascii="宋体" w:hAnsi="宋体" w:cs="宋体"/>
                <w:color w:val="000000" w:themeColor="text1"/>
                <w:sz w:val="21"/>
                <w:szCs w:val="21"/>
                <w:highlight w:val="none"/>
                <w:lang w:eastAsia="zh-CN"/>
                <w14:textFill>
                  <w14:solidFill>
                    <w14:schemeClr w14:val="tx1"/>
                  </w14:solidFill>
                </w14:textFill>
              </w:rPr>
              <w:t>递交</w:t>
            </w:r>
            <w:r>
              <w:rPr>
                <w:rFonts w:hint="eastAsia" w:ascii="宋体" w:hAnsi="宋体" w:cs="宋体"/>
                <w:color w:val="000000" w:themeColor="text1"/>
                <w:sz w:val="21"/>
                <w:szCs w:val="21"/>
                <w:highlight w:val="none"/>
                <w14:textFill>
                  <w14:solidFill>
                    <w14:schemeClr w14:val="tx1"/>
                  </w14:solidFill>
                </w14:textFill>
              </w:rPr>
              <w:t>投标保证金。</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投标保证金银行</w:t>
            </w: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cs="宋体"/>
                <w:color w:val="000000" w:themeColor="text1"/>
                <w:sz w:val="21"/>
                <w:szCs w:val="21"/>
                <w:highlight w:val="none"/>
                <w14:textFill>
                  <w14:solidFill>
                    <w14:schemeClr w14:val="tx1"/>
                  </w14:solidFill>
                </w14:textFill>
              </w:rPr>
              <w:t>号：</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r>
              <w:rPr>
                <w:rFonts w:hint="eastAsia" w:ascii="宋体" w:hAnsi="宋体" w:cs="宋体"/>
                <w:color w:val="000000" w:themeColor="text1"/>
                <w:sz w:val="21"/>
                <w:szCs w:val="21"/>
                <w:highlight w:val="none"/>
                <w:u w:val="single"/>
                <w14:textFill>
                  <w14:solidFill>
                    <w14:schemeClr w14:val="tx1"/>
                  </w14:solidFill>
                </w14:textFill>
              </w:rPr>
              <w:t xml:space="preserve">中国农业银行股份有限公司厦门政务中心支行 </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cs="宋体"/>
                <w:color w:val="000000" w:themeColor="text1"/>
                <w:sz w:val="21"/>
                <w:szCs w:val="21"/>
                <w:highlight w:val="none"/>
                <w14:textFill>
                  <w14:solidFill>
                    <w14:schemeClr w14:val="tx1"/>
                  </w14:solidFill>
                </w14:textFill>
              </w:rPr>
              <w:t>户名称：</w:t>
            </w:r>
            <w:r>
              <w:rPr>
                <w:rFonts w:hint="eastAsia" w:ascii="宋体" w:hAnsi="宋体" w:cs="宋体"/>
                <w:color w:val="000000" w:themeColor="text1"/>
                <w:sz w:val="21"/>
                <w:szCs w:val="21"/>
                <w:highlight w:val="none"/>
                <w:u w:val="single"/>
                <w14:textFill>
                  <w14:solidFill>
                    <w14:schemeClr w14:val="tx1"/>
                  </w14:solidFill>
                </w14:textFill>
              </w:rPr>
              <w:t>厦门市公共资源交易中心</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cs="宋体"/>
                <w:color w:val="000000" w:themeColor="text1"/>
                <w:sz w:val="21"/>
                <w:szCs w:val="21"/>
                <w:highlight w:val="none"/>
                <w14:textFill>
                  <w14:solidFill>
                    <w14:schemeClr w14:val="tx1"/>
                  </w14:solidFill>
                </w14:textFill>
              </w:rPr>
              <w:t xml:space="preserve">    号：</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银行存款利率类型为：银行存款同期活期利率，并从投标截止当日开始计息。</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利息部分应出具发票的类型为：税务发票。</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u w:val="none"/>
                <w14:textFill>
                  <w14:solidFill>
                    <w14:schemeClr w14:val="tx1"/>
                  </w14:solidFill>
                </w14:textFill>
              </w:rPr>
            </w:pPr>
            <w:r>
              <w:rPr>
                <w:rFonts w:hint="eastAsia" w:ascii="宋体" w:hAnsi="宋体" w:cs="宋体"/>
                <w:color w:val="000000" w:themeColor="text1"/>
                <w:sz w:val="21"/>
                <w:szCs w:val="21"/>
                <w:highlight w:val="none"/>
                <w:u w:val="none"/>
                <w14:textFill>
                  <w14:solidFill>
                    <w14:schemeClr w14:val="tx1"/>
                  </w14:solidFill>
                </w14:textFill>
              </w:rPr>
              <w:t>②银行保函形式：投标人须在投标截止时间前按厦建筑〔2019〕41 号规定要求自行办妥电子投标保函手续；银行电子保函应注明项目名称，保函额度等信息，电子保函额度不少于招标文件规定的金额。</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u w:val="none"/>
                <w14:textFill>
                  <w14:solidFill>
                    <w14:schemeClr w14:val="tx1"/>
                  </w14:solidFill>
                </w14:textFill>
              </w:rPr>
            </w:pPr>
            <w:r>
              <w:rPr>
                <w:rFonts w:hint="eastAsia" w:ascii="宋体" w:hAnsi="宋体" w:cs="宋体"/>
                <w:color w:val="000000" w:themeColor="text1"/>
                <w:sz w:val="21"/>
                <w:szCs w:val="21"/>
                <w:highlight w:val="none"/>
                <w:u w:val="none"/>
                <w14:textFill>
                  <w14:solidFill>
                    <w14:schemeClr w14:val="tx1"/>
                  </w14:solidFill>
                </w14:textFill>
              </w:rPr>
              <w:t>③工程担保公司出具的担保保函形式：投标人须在投标截止时间前按厦建筑〔2019〕41 号规定要求自行办妥电子投标保函手续；电子工程担保保函应注明项目名称，保函额度等信息，电子担保保函额度不少于招标文件规定的金额。</w:t>
            </w:r>
          </w:p>
          <w:p>
            <w:pPr>
              <w:pStyle w:val="15"/>
              <w:keepNext w:val="0"/>
              <w:keepLines w:val="0"/>
              <w:pageBreakBefore w:val="0"/>
              <w:kinsoku/>
              <w:wordWrap/>
              <w:overflowPunct/>
              <w:topLinePunct w:val="0"/>
              <w:bidi w:val="0"/>
              <w:adjustRightInd/>
              <w:snapToGrid w:val="0"/>
              <w:spacing w:line="400" w:lineRule="exact"/>
              <w:ind w:firstLine="420" w:firstLineChars="200"/>
              <w:jc w:val="left"/>
              <w:textAlignment w:val="auto"/>
              <w:rPr>
                <w:rFonts w:hint="eastAsia" w:ascii="宋体" w:hAnsi="宋体" w:eastAsia="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④保险公司出具的投标保证保险形式：</w:t>
            </w:r>
            <w:r>
              <w:rPr>
                <w:rFonts w:hint="eastAsia" w:ascii="宋体" w:hAnsi="宋体" w:eastAsia="宋体" w:cs="宋体"/>
                <w:color w:val="000000" w:themeColor="text1"/>
                <w:kern w:val="2"/>
                <w:sz w:val="21"/>
                <w:szCs w:val="21"/>
                <w:highlight w:val="none"/>
                <w:u w:val="none"/>
                <w14:textFill>
                  <w14:solidFill>
                    <w14:schemeClr w14:val="tx1"/>
                  </w14:solidFill>
                </w14:textFill>
              </w:rPr>
              <w:t>投标保证保险应为先行赔付、后续追偿的见索即付保单。保险条款须经</w:t>
            </w:r>
            <w:r>
              <w:rPr>
                <w:rFonts w:hint="eastAsia" w:ascii="宋体" w:hAnsi="宋体" w:eastAsia="宋体" w:cs="宋体"/>
                <w:color w:val="000000" w:themeColor="text1"/>
                <w:kern w:val="2"/>
                <w:sz w:val="21"/>
                <w:szCs w:val="21"/>
                <w:highlight w:val="none"/>
                <w:u w:val="none"/>
                <w:lang w:val="en-US"/>
                <w14:textFill>
                  <w14:solidFill>
                    <w14:schemeClr w14:val="tx1"/>
                  </w14:solidFill>
                </w14:textFill>
              </w:rPr>
              <w:t>国家金融监督管理总局</w:t>
            </w:r>
            <w:r>
              <w:rPr>
                <w:rFonts w:hint="eastAsia" w:ascii="宋体" w:hAnsi="宋体" w:eastAsia="宋体" w:cs="宋体"/>
                <w:color w:val="000000" w:themeColor="text1"/>
                <w:kern w:val="2"/>
                <w:sz w:val="21"/>
                <w:szCs w:val="21"/>
                <w:highlight w:val="none"/>
                <w:u w:val="none"/>
                <w14:textFill>
                  <w14:solidFill>
                    <w14:schemeClr w14:val="tx1"/>
                  </w14:solidFill>
                </w14:textFill>
              </w:rPr>
              <w:t>批准或备案。保险人应在保单中的特别约定条款中注明以下责任，如无注明则视为无效保单：</w:t>
            </w:r>
          </w:p>
          <w:p>
            <w:pPr>
              <w:pStyle w:val="15"/>
              <w:keepNext w:val="0"/>
              <w:keepLines w:val="0"/>
              <w:pageBreakBefore w:val="0"/>
              <w:kinsoku/>
              <w:wordWrap/>
              <w:overflowPunct/>
              <w:topLinePunct w:val="0"/>
              <w:bidi w:val="0"/>
              <w:adjustRightInd/>
              <w:snapToGrid w:val="0"/>
              <w:spacing w:line="400" w:lineRule="exact"/>
              <w:ind w:firstLine="420" w:firstLineChars="200"/>
              <w:jc w:val="left"/>
              <w:textAlignment w:val="auto"/>
              <w:rPr>
                <w:rFonts w:hint="eastAsia" w:ascii="宋体" w:hAnsi="宋体" w:eastAsia="宋体" w:cs="宋体"/>
                <w:color w:val="000000" w:themeColor="text1"/>
                <w:kern w:val="2"/>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a</w:t>
            </w:r>
            <w:r>
              <w:rPr>
                <w:rFonts w:hint="eastAsia" w:ascii="宋体" w:hAnsi="宋体" w:eastAsia="宋体" w:cs="宋体"/>
                <w:color w:val="000000" w:themeColor="text1"/>
                <w:kern w:val="2"/>
                <w:sz w:val="21"/>
                <w:szCs w:val="21"/>
                <w:highlight w:val="none"/>
                <w:u w:val="none"/>
                <w14:textFill>
                  <w14:solidFill>
                    <w14:schemeClr w14:val="tx1"/>
                  </w14:solidFill>
                </w14:textFill>
              </w:rPr>
              <w:t>.保险人在投标人存在违反法律、法规和招标文件规定投标保证金不予退还的情形时承担保证保险责任。</w:t>
            </w:r>
          </w:p>
          <w:p>
            <w:pPr>
              <w:pStyle w:val="15"/>
              <w:keepNext w:val="0"/>
              <w:keepLines w:val="0"/>
              <w:pageBreakBefore w:val="0"/>
              <w:kinsoku/>
              <w:wordWrap/>
              <w:overflowPunct/>
              <w:topLinePunct w:val="0"/>
              <w:bidi w:val="0"/>
              <w:adjustRightInd/>
              <w:snapToGrid w:val="0"/>
              <w:spacing w:line="400" w:lineRule="exact"/>
              <w:ind w:firstLine="420" w:firstLineChars="200"/>
              <w:jc w:val="left"/>
              <w:textAlignment w:val="auto"/>
              <w:rPr>
                <w:rFonts w:ascii="宋体" w:hAnsi="宋体" w:cs="宋体"/>
                <w:color w:val="000000" w:themeColor="text1"/>
                <w:kern w:val="1"/>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b</w:t>
            </w:r>
            <w:r>
              <w:rPr>
                <w:rFonts w:hint="eastAsia" w:ascii="宋体" w:hAnsi="宋体" w:eastAsia="宋体" w:cs="宋体"/>
                <w:color w:val="000000" w:themeColor="text1"/>
                <w:kern w:val="2"/>
                <w:sz w:val="21"/>
                <w:szCs w:val="21"/>
                <w:highlight w:val="none"/>
                <w:u w:val="none"/>
                <w14:textFill>
                  <w14:solidFill>
                    <w14:schemeClr w14:val="tx1"/>
                  </w14:solidFill>
                </w14:textFill>
              </w:rPr>
              <w:t>.本保单为先行赔付、后续追偿的见索即付保单。本保单有效期自开立之日起至投标有效期届满之日后的28日（含）</w:t>
            </w:r>
            <w:r>
              <w:rPr>
                <w:rFonts w:hint="eastAsia" w:ascii="宋体" w:hAnsi="宋体" w:cs="宋体"/>
                <w:color w:val="000000" w:themeColor="text1"/>
                <w:kern w:val="2"/>
                <w:sz w:val="21"/>
                <w:szCs w:val="21"/>
                <w:highlight w:val="none"/>
                <w14:textFill>
                  <w14:solidFill>
                    <w14:schemeClr w14:val="tx1"/>
                  </w14:solidFill>
                </w14:textFill>
              </w:rPr>
              <w:t>。</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3.投标保证金证明材料要求：</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①采用现金形式：提交电汇或银行转账单的扫描件并加盖投标人单位电子印章以及企业基本账户开户许可证或基本存款账户开户银行开具的《基本存款账户信息》扫描件并加盖投标人单位电子印章，作为</w:t>
            </w:r>
            <w:r>
              <w:rPr>
                <w:rFonts w:hint="eastAsia" w:ascii="宋体" w:hAnsi="宋体"/>
                <w:color w:val="000000" w:themeColor="text1"/>
                <w:spacing w:val="4"/>
                <w:kern w:val="2"/>
                <w:sz w:val="21"/>
                <w:szCs w:val="21"/>
                <w:highlight w:val="none"/>
                <w14:textFill>
                  <w14:solidFill>
                    <w14:schemeClr w14:val="tx1"/>
                  </w14:solidFill>
                </w14:textFill>
              </w:rPr>
              <w:t>商务文件</w:t>
            </w:r>
            <w:r>
              <w:rPr>
                <w:rFonts w:hint="eastAsia" w:ascii="宋体" w:hAnsi="宋体" w:cs="宋体"/>
                <w:color w:val="000000" w:themeColor="text1"/>
                <w:sz w:val="21"/>
                <w:szCs w:val="21"/>
                <w:highlight w:val="none"/>
                <w14:textFill>
                  <w14:solidFill>
                    <w14:schemeClr w14:val="tx1"/>
                  </w14:solidFill>
                </w14:textFill>
              </w:rPr>
              <w:t>的组成部分。</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②采用投标保函（包括银行保函、担保保函、投标保证保险，下同）：</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a.投标保函应采用电子保函形式，投标人应通过“厦门市建设工程电子招投标交易平台——电子投标保函系统”使用其企业</w:t>
            </w:r>
            <w:r>
              <w:rPr>
                <w:rFonts w:hint="eastAsia" w:ascii="宋体" w:hAnsi="宋体" w:cs="宋体"/>
                <w:color w:val="000000" w:themeColor="text1"/>
                <w:sz w:val="21"/>
                <w:szCs w:val="21"/>
                <w:highlight w:val="none"/>
                <w:lang w:eastAsia="zh-CN"/>
                <w14:textFill>
                  <w14:solidFill>
                    <w14:schemeClr w14:val="tx1"/>
                  </w14:solidFill>
                </w14:textFill>
              </w:rPr>
              <w:t>CA证书</w:t>
            </w:r>
            <w:r>
              <w:rPr>
                <w:rFonts w:hint="eastAsia" w:ascii="宋体" w:hAnsi="宋体" w:cs="宋体"/>
                <w:color w:val="000000" w:themeColor="text1"/>
                <w:sz w:val="21"/>
                <w:szCs w:val="21"/>
                <w:highlight w:val="none"/>
                <w14:textFill>
                  <w14:solidFill>
                    <w14:schemeClr w14:val="tx1"/>
                  </w14:solidFill>
                </w14:textFill>
              </w:rPr>
              <w:t>申请购买电子投标保函。</w:t>
            </w:r>
          </w:p>
          <w:p>
            <w:pPr>
              <w:pStyle w:val="15"/>
              <w:keepNext w:val="0"/>
              <w:keepLines w:val="0"/>
              <w:pageBreakBefore w:val="0"/>
              <w:kinsoku/>
              <w:wordWrap/>
              <w:overflowPunct/>
              <w:topLinePunct w:val="0"/>
              <w:bidi w:val="0"/>
              <w:adjustRightInd/>
              <w:spacing w:line="400" w:lineRule="exact"/>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投标人应将电子投标保函原件并加盖电子投标保函开立人电子印章或电子投标保函开立人依法刻制并授权用于投标保函业务的专用章、支付电子投标保函费用的电汇或银行转账回单扫描件并加盖投标人单位电子印章、</w:t>
            </w:r>
            <w:r>
              <w:rPr>
                <w:rFonts w:hint="eastAsia" w:ascii="宋体" w:hAnsi="宋体" w:cs="瀹嬩綋"/>
                <w:color w:val="000000" w:themeColor="text1"/>
                <w:sz w:val="21"/>
                <w:szCs w:val="21"/>
                <w:highlight w:val="none"/>
                <w14:textFill>
                  <w14:solidFill>
                    <w14:schemeClr w14:val="tx1"/>
                  </w14:solidFill>
                </w14:textFill>
              </w:rPr>
              <w:t>电子投标保函开立人出具的</w:t>
            </w:r>
            <w:r>
              <w:rPr>
                <w:rFonts w:hint="eastAsia" w:ascii="宋体" w:hAnsi="宋体" w:cs="宋体"/>
                <w:color w:val="000000" w:themeColor="text1"/>
                <w:sz w:val="21"/>
                <w:szCs w:val="21"/>
                <w:highlight w:val="none"/>
                <w14:textFill>
                  <w14:solidFill>
                    <w14:schemeClr w14:val="tx1"/>
                  </w14:solidFill>
                </w14:textFill>
              </w:rPr>
              <w:t>加盖电子投标保函开立人电子印章或电子投标保函开立人依法刻制并授权用于投标保函业务的专用章</w:t>
            </w:r>
            <w:r>
              <w:rPr>
                <w:rFonts w:hint="eastAsia" w:ascii="宋体" w:hAnsi="宋体" w:cs="瀹嬩綋"/>
                <w:color w:val="000000" w:themeColor="text1"/>
                <w:sz w:val="21"/>
                <w:szCs w:val="21"/>
                <w:highlight w:val="none"/>
                <w14:textFill>
                  <w14:solidFill>
                    <w14:schemeClr w14:val="tx1"/>
                  </w14:solidFill>
                </w14:textFill>
              </w:rPr>
              <w:t>的到账证明扫描件</w:t>
            </w:r>
            <w:r>
              <w:rPr>
                <w:rFonts w:hint="eastAsia" w:ascii="宋体" w:hAnsi="宋体" w:cs="宋体"/>
                <w:color w:val="000000" w:themeColor="text1"/>
                <w:sz w:val="21"/>
                <w:szCs w:val="21"/>
                <w:highlight w:val="none"/>
                <w14:textFill>
                  <w14:solidFill>
                    <w14:schemeClr w14:val="tx1"/>
                  </w14:solidFill>
                </w14:textFill>
              </w:rPr>
              <w:t>并加盖投标人单位电子印章以及企业基本账户开户许可证或基本存款账户开户银行开具的《基本存款账户信息》扫描件并加盖投标人单位电子印章，作为</w:t>
            </w:r>
            <w:r>
              <w:rPr>
                <w:rFonts w:hint="eastAsia" w:ascii="宋体" w:hAnsi="宋体"/>
                <w:color w:val="000000" w:themeColor="text1"/>
                <w:spacing w:val="4"/>
                <w:kern w:val="2"/>
                <w:sz w:val="21"/>
                <w:szCs w:val="21"/>
                <w:highlight w:val="none"/>
                <w14:textFill>
                  <w14:solidFill>
                    <w14:schemeClr w14:val="tx1"/>
                  </w14:solidFill>
                </w14:textFill>
              </w:rPr>
              <w:t>商务文件</w:t>
            </w:r>
            <w:r>
              <w:rPr>
                <w:rFonts w:hint="eastAsia" w:ascii="宋体" w:hAnsi="宋体" w:cs="宋体"/>
                <w:color w:val="000000" w:themeColor="text1"/>
                <w:sz w:val="21"/>
                <w:szCs w:val="21"/>
                <w:highlight w:val="none"/>
                <w14:textFill>
                  <w14:solidFill>
                    <w14:schemeClr w14:val="tx1"/>
                  </w14:solidFill>
                </w14:textFill>
              </w:rPr>
              <w:t>的组成部分。</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c.投标人向电子投标保函开立人购买电子投标保函所支付的费用应在投标截止时间之前从投标人企业基本账户转出，并在电汇或银行转账回单上注明</w:t>
            </w:r>
            <w:r>
              <w:rPr>
                <w:rFonts w:hint="eastAsia" w:ascii="宋体" w:hAnsi="宋体" w:cs="宋体"/>
                <w:color w:val="000000" w:themeColor="text1"/>
                <w:spacing w:val="4"/>
                <w:sz w:val="21"/>
                <w:szCs w:val="21"/>
                <w:highlight w:val="none"/>
                <w14:textFill>
                  <w14:solidFill>
                    <w14:schemeClr w14:val="tx1"/>
                  </w14:solidFill>
                </w14:textFill>
              </w:rPr>
              <w:t>“</w:t>
            </w:r>
            <w:r>
              <w:rPr>
                <w:rFonts w:hint="eastAsia" w:ascii="宋体" w:hAnsi="宋体" w:cs="宋体"/>
                <w:color w:val="000000" w:themeColor="text1"/>
                <w:spacing w:val="4"/>
                <w:sz w:val="21"/>
                <w:szCs w:val="21"/>
                <w:highlight w:val="none"/>
                <w:u w:val="single"/>
                <w14:textFill>
                  <w14:solidFill>
                    <w14:schemeClr w14:val="tx1"/>
                  </w14:solidFill>
                </w14:textFill>
              </w:rPr>
              <w:t xml:space="preserve"> （招标项目编号） </w:t>
            </w:r>
            <w:r>
              <w:rPr>
                <w:rFonts w:hint="eastAsia" w:ascii="宋体" w:hAnsi="宋体" w:cs="宋体"/>
                <w:color w:val="000000" w:themeColor="text1"/>
                <w:spacing w:val="4"/>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投标人应确保其企业基本账户开户许可证或基本存款账户开户银行开具的《基本存款账户信息》上账号与投标人支付电子投标保函费用的电汇或银行转账回单上账号一致，否则视为未按规定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递交</w:t>
            </w:r>
            <w:r>
              <w:rPr>
                <w:rFonts w:hint="eastAsia" w:ascii="宋体" w:hAnsi="宋体" w:cs="宋体"/>
                <w:color w:val="000000" w:themeColor="text1"/>
                <w:sz w:val="21"/>
                <w:szCs w:val="21"/>
                <w:highlight w:val="none"/>
                <w14:textFill>
                  <w14:solidFill>
                    <w14:schemeClr w14:val="tx1"/>
                  </w14:solidFill>
                </w14:textFill>
              </w:rPr>
              <w:t>投标保证金。</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d.投标人以电子投标保函形式</w:t>
            </w:r>
            <w:r>
              <w:rPr>
                <w:rFonts w:hint="eastAsia" w:ascii="宋体" w:hAnsi="宋体" w:cs="宋体"/>
                <w:bCs/>
                <w:color w:val="000000" w:themeColor="text1"/>
                <w:sz w:val="21"/>
                <w:szCs w:val="21"/>
                <w:highlight w:val="none"/>
                <w:lang w:eastAsia="zh-CN"/>
                <w14:textFill>
                  <w14:solidFill>
                    <w14:schemeClr w14:val="tx1"/>
                  </w14:solidFill>
                </w14:textFill>
              </w:rPr>
              <w:t>递交投标保证金</w:t>
            </w:r>
            <w:r>
              <w:rPr>
                <w:rFonts w:hint="eastAsia" w:ascii="宋体" w:hAnsi="宋体" w:cs="宋体"/>
                <w:bCs/>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评标委员会</w:t>
            </w:r>
            <w:r>
              <w:rPr>
                <w:rFonts w:hint="eastAsia" w:ascii="宋体" w:hAnsi="宋体" w:cs="宋体"/>
                <w:bCs/>
                <w:color w:val="000000" w:themeColor="text1"/>
                <w:sz w:val="21"/>
                <w:szCs w:val="21"/>
                <w:highlight w:val="none"/>
                <w14:textFill>
                  <w14:solidFill>
                    <w14:schemeClr w14:val="tx1"/>
                  </w14:solidFill>
                </w14:textFill>
              </w:rPr>
              <w:t>应当核对投标人支付电子投标保函费用电汇或银行转账回单上账号是否与投标人企业基本账户开户许可证或基本存款账户开户银行开具的《基本存款账户信息》上账号一致，如不一致的，应否决其投标。</w:t>
            </w:r>
          </w:p>
          <w:p>
            <w:pPr>
              <w:pStyle w:val="15"/>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pPr>
              <w:pStyle w:val="15"/>
              <w:keepNext w:val="0"/>
              <w:keepLines w:val="0"/>
              <w:pageBreakBefore w:val="0"/>
              <w:kinsoku/>
              <w:wordWrap/>
              <w:overflowPunct/>
              <w:topLinePunct w:val="0"/>
              <w:bidi w:val="0"/>
              <w:spacing w:beforeLines="-2147483648" w:line="400" w:lineRule="exact"/>
              <w:ind w:firstLine="482"/>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kern w:val="0"/>
                <w:sz w:val="21"/>
                <w:szCs w:val="21"/>
                <w:highlight w:val="none"/>
                <w14:textFill>
                  <w14:solidFill>
                    <w14:schemeClr w14:val="tx1"/>
                  </w14:solidFill>
                </w14:textFill>
              </w:rPr>
              <w:t>4.投标保证金有效期：至少与投标有效期一致。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20</w:t>
            </w:r>
          </w:p>
        </w:tc>
        <w:tc>
          <w:tcPr>
            <w:tcW w:w="993"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3.4.4（</w:t>
            </w:r>
            <w:r>
              <w:rPr>
                <w:rFonts w:hint="eastAsia" w:ascii="宋体" w:hAnsi="宋体" w:eastAsia="宋体"/>
                <w:color w:val="000000" w:themeColor="text1"/>
                <w:sz w:val="21"/>
                <w:szCs w:val="21"/>
                <w:highlight w:val="none"/>
                <w:lang w:val="en-US" w:eastAsia="zh-CN"/>
                <w14:textFill>
                  <w14:solidFill>
                    <w14:schemeClr w14:val="tx1"/>
                  </w14:solidFill>
                </w14:textFill>
              </w:rPr>
              <w:t>4</w:t>
            </w:r>
            <w:r>
              <w:rPr>
                <w:rFonts w:hint="eastAsia" w:ascii="宋体" w:hAnsi="宋体" w:eastAsia="宋体"/>
                <w:color w:val="000000" w:themeColor="text1"/>
                <w:sz w:val="21"/>
                <w:szCs w:val="21"/>
                <w:highlight w:val="none"/>
                <w14:textFill>
                  <w14:solidFill>
                    <w14:schemeClr w14:val="tx1"/>
                  </w14:solidFill>
                </w14:textFill>
              </w:rPr>
              <w:t>）</w:t>
            </w:r>
          </w:p>
        </w:tc>
        <w:tc>
          <w:tcPr>
            <w:tcW w:w="1842" w:type="dxa"/>
            <w:gridSpan w:val="2"/>
            <w:tcBorders>
              <w:bottom w:val="single" w:color="auto" w:sz="4" w:space="0"/>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lang w:val="zh-CN"/>
                <w14:textFill>
                  <w14:solidFill>
                    <w14:schemeClr w14:val="tx1"/>
                  </w14:solidFill>
                </w14:textFill>
              </w:rPr>
            </w:pPr>
            <w:r>
              <w:rPr>
                <w:rFonts w:hint="eastAsia" w:ascii="宋体" w:hAnsi="宋体" w:eastAsia="宋体"/>
                <w:color w:val="000000" w:themeColor="text1"/>
                <w:sz w:val="21"/>
                <w:szCs w:val="21"/>
                <w:highlight w:val="none"/>
                <w:lang w:val="zh-CN"/>
                <w14:textFill>
                  <w14:solidFill>
                    <w14:schemeClr w14:val="tx1"/>
                  </w14:solidFill>
                </w14:textFill>
              </w:rPr>
              <w:t>其他可以不予退还投标保证金的情形</w:t>
            </w:r>
          </w:p>
        </w:tc>
        <w:tc>
          <w:tcPr>
            <w:tcW w:w="5954" w:type="dxa"/>
            <w:tcBorders>
              <w:left w:val="single" w:color="auto" w:sz="4" w:space="0"/>
              <w:bottom w:val="single" w:color="auto" w:sz="4" w:space="0"/>
              <w:right w:val="single" w:color="auto" w:sz="8" w:space="0"/>
            </w:tcBorders>
            <w:vAlign w:val="center"/>
          </w:tcPr>
          <w:p>
            <w:pPr>
              <w:pStyle w:val="15"/>
              <w:keepNext w:val="0"/>
              <w:keepLines w:val="0"/>
              <w:pageBreakBefore w:val="0"/>
              <w:kinsoku/>
              <w:wordWrap/>
              <w:overflowPunct/>
              <w:topLinePunct w:val="0"/>
              <w:bidi w:val="0"/>
              <w:spacing w:line="400" w:lineRule="exact"/>
              <w:ind w:firstLine="482"/>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09"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21</w:t>
            </w:r>
          </w:p>
        </w:tc>
        <w:tc>
          <w:tcPr>
            <w:tcW w:w="993"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3.5.1</w:t>
            </w:r>
          </w:p>
        </w:tc>
        <w:tc>
          <w:tcPr>
            <w:tcW w:w="1842" w:type="dxa"/>
            <w:gridSpan w:val="2"/>
            <w:tcBorders>
              <w:bottom w:val="single" w:color="auto" w:sz="4" w:space="0"/>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备选方案</w:t>
            </w:r>
          </w:p>
        </w:tc>
        <w:tc>
          <w:tcPr>
            <w:tcW w:w="5954" w:type="dxa"/>
            <w:tcBorders>
              <w:left w:val="single" w:color="auto" w:sz="4" w:space="0"/>
              <w:bottom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□不允许</w:t>
            </w:r>
            <w:r>
              <w:rPr>
                <w:rFonts w:hint="eastAsia" w:ascii="宋体" w:hAnsi="宋体" w:eastAsia="宋体"/>
                <w:color w:val="000000" w:themeColor="text1"/>
                <w:sz w:val="21"/>
                <w:szCs w:val="21"/>
                <w:highlight w:val="none"/>
                <w:lang w:eastAsia="zh-CN"/>
                <w14:textFill>
                  <w14:solidFill>
                    <w14:schemeClr w14:val="tx1"/>
                  </w14:solidFill>
                </w14:textFill>
              </w:rPr>
              <w:t>递交备选</w:t>
            </w:r>
            <w:r>
              <w:rPr>
                <w:rFonts w:hint="eastAsia" w:ascii="宋体" w:hAnsi="宋体" w:eastAsia="宋体"/>
                <w:color w:val="000000" w:themeColor="text1"/>
                <w:sz w:val="21"/>
                <w:szCs w:val="21"/>
                <w:highlight w:val="none"/>
                <w14:textFill>
                  <w14:solidFill>
                    <w14:schemeClr w14:val="tx1"/>
                  </w14:solidFill>
                </w14:textFill>
              </w:rPr>
              <w:t>方案</w:t>
            </w:r>
          </w:p>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□允许</w:t>
            </w:r>
            <w:r>
              <w:rPr>
                <w:rFonts w:hint="eastAsia" w:ascii="宋体" w:hAnsi="宋体" w:eastAsia="宋体"/>
                <w:color w:val="000000" w:themeColor="text1"/>
                <w:sz w:val="21"/>
                <w:szCs w:val="21"/>
                <w:highlight w:val="none"/>
                <w:lang w:eastAsia="zh-CN"/>
                <w14:textFill>
                  <w14:solidFill>
                    <w14:schemeClr w14:val="tx1"/>
                  </w14:solidFill>
                </w14:textFill>
              </w:rPr>
              <w:t>递交备选</w:t>
            </w:r>
            <w:r>
              <w:rPr>
                <w:rFonts w:hint="eastAsia" w:ascii="宋体" w:hAnsi="宋体" w:eastAsia="宋体"/>
                <w:color w:val="000000" w:themeColor="text1"/>
                <w:sz w:val="21"/>
                <w:szCs w:val="21"/>
                <w:highlight w:val="none"/>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5" w:hRule="atLeast"/>
        </w:trPr>
        <w:tc>
          <w:tcPr>
            <w:tcW w:w="709"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22</w:t>
            </w:r>
          </w:p>
        </w:tc>
        <w:tc>
          <w:tcPr>
            <w:tcW w:w="993"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4.1.1</w:t>
            </w:r>
          </w:p>
        </w:tc>
        <w:tc>
          <w:tcPr>
            <w:tcW w:w="1842" w:type="dxa"/>
            <w:gridSpan w:val="2"/>
            <w:tcBorders>
              <w:bottom w:val="single" w:color="auto" w:sz="4" w:space="0"/>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lang w:val="zh-CN"/>
                <w14:textFill>
                  <w14:solidFill>
                    <w14:schemeClr w14:val="tx1"/>
                  </w14:solidFill>
                </w14:textFill>
              </w:rPr>
            </w:pPr>
            <w:r>
              <w:rPr>
                <w:rFonts w:hint="eastAsia" w:ascii="宋体" w:hAnsi="宋体" w:eastAsia="宋体"/>
                <w:color w:val="000000" w:themeColor="text1"/>
                <w:sz w:val="21"/>
                <w:szCs w:val="21"/>
                <w:highlight w:val="none"/>
                <w:lang w:val="zh-CN"/>
                <w14:textFill>
                  <w14:solidFill>
                    <w14:schemeClr w14:val="tx1"/>
                  </w14:solidFill>
                </w14:textFill>
              </w:rPr>
              <w:t>投标文件的编制和加密要求</w:t>
            </w:r>
          </w:p>
        </w:tc>
        <w:tc>
          <w:tcPr>
            <w:tcW w:w="5954" w:type="dxa"/>
            <w:tcBorders>
              <w:left w:val="single" w:color="auto" w:sz="4" w:space="0"/>
              <w:bottom w:val="single" w:color="auto" w:sz="4" w:space="0"/>
              <w:right w:val="single" w:color="auto" w:sz="8" w:space="0"/>
            </w:tcBorders>
            <w:vAlign w:val="center"/>
          </w:tcPr>
          <w:p>
            <w:pPr>
              <w:pStyle w:val="15"/>
              <w:keepNext w:val="0"/>
              <w:keepLines w:val="0"/>
              <w:pageBreakBefore w:val="0"/>
              <w:kinsoku/>
              <w:wordWrap/>
              <w:overflowPunct/>
              <w:topLinePunct w:val="0"/>
              <w:bidi w:val="0"/>
              <w:spacing w:line="400" w:lineRule="exact"/>
              <w:ind w:firstLine="359" w:firstLineChars="171"/>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投标文件编制工具软件名称及版本：</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15"/>
              <w:keepNext w:val="0"/>
              <w:keepLines w:val="0"/>
              <w:pageBreakBefore w:val="0"/>
              <w:kinsoku/>
              <w:wordWrap/>
              <w:overflowPunct/>
              <w:topLinePunct w:val="0"/>
              <w:bidi w:val="0"/>
              <w:spacing w:line="400" w:lineRule="exact"/>
              <w:ind w:firstLine="359" w:firstLineChars="171"/>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投标文件编制工具软件供应商：</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pacing w:line="400" w:lineRule="exact"/>
              <w:ind w:firstLine="359" w:firstLineChars="171"/>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投标文件编制工具软件供应商联系电话：</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359" w:firstLineChars="171"/>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投标文件编制和加密要求：</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pacing w:beforeLines="50" w:line="400" w:lineRule="exact"/>
              <w:ind w:firstLine="361" w:firstLineChars="172"/>
              <w:jc w:val="left"/>
              <w:rPr>
                <w:rFonts w:ascii="宋体" w:hAnsi="宋体" w:eastAsia="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投标人应当使用招标文件中规定的电子交易平台的投标文件制作软件，按照招标文件规定的内容和格式编制、签名、加密投标文件。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9"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23</w:t>
            </w:r>
          </w:p>
        </w:tc>
        <w:tc>
          <w:tcPr>
            <w:tcW w:w="993" w:type="dxa"/>
            <w:tcBorders>
              <w:bottom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4.2.1</w:t>
            </w:r>
          </w:p>
        </w:tc>
        <w:tc>
          <w:tcPr>
            <w:tcW w:w="1842" w:type="dxa"/>
            <w:gridSpan w:val="2"/>
            <w:tcBorders>
              <w:bottom w:val="single" w:color="auto" w:sz="4" w:space="0"/>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递交投标文件截止时间</w:t>
            </w:r>
          </w:p>
        </w:tc>
        <w:tc>
          <w:tcPr>
            <w:tcW w:w="5954" w:type="dxa"/>
            <w:tcBorders>
              <w:left w:val="single" w:color="auto" w:sz="4" w:space="0"/>
              <w:bottom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beforeLines="50" w:line="400" w:lineRule="exact"/>
              <w:ind w:firstLine="411" w:firstLineChars="196"/>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年</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月</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日</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时</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24</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4.2.2/4.3.1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投标文件递交平台及网络地址</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411" w:firstLineChars="196"/>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电子交易平台名称：</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line="400" w:lineRule="exact"/>
              <w:ind w:firstLine="411" w:firstLineChars="196"/>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网络地址：</w:t>
            </w:r>
            <w:r>
              <w:rPr>
                <w:rFonts w:hint="eastAsia" w:ascii="宋体" w:hAnsi="宋体" w:eastAsia="宋体"/>
                <w:color w:val="000000" w:themeColor="text1"/>
                <w:sz w:val="21"/>
                <w:szCs w:val="21"/>
                <w:highlight w:val="none"/>
                <w:u w:val="single"/>
                <w14:textFill>
                  <w14:solidFill>
                    <w14:schemeClr w14:val="tx1"/>
                  </w14:solidFill>
                </w14:textFill>
              </w:rPr>
              <w:t xml:space="preserve">                                       </w:t>
            </w:r>
          </w:p>
          <w:p>
            <w:pPr>
              <w:pStyle w:val="15"/>
              <w:keepNext w:val="0"/>
              <w:keepLines w:val="0"/>
              <w:pageBreakBefore w:val="0"/>
              <w:kinsoku/>
              <w:wordWrap/>
              <w:overflowPunct/>
              <w:topLinePunct w:val="0"/>
              <w:bidi w:val="0"/>
              <w:snapToGrid w:val="0"/>
              <w:spacing w:beforeLines="50" w:line="400" w:lineRule="exact"/>
              <w:ind w:firstLine="411" w:firstLineChars="196"/>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w:t>
            </w:r>
            <w:r>
              <w:rPr>
                <w:rFonts w:hint="eastAsia" w:ascii="宋体" w:hAnsi="宋体" w:eastAsia="宋体" w:cs="宋体"/>
                <w:color w:val="000000" w:themeColor="text1"/>
                <w:sz w:val="21"/>
                <w:szCs w:val="21"/>
                <w:highlight w:val="none"/>
                <w14:textFill>
                  <w14:solidFill>
                    <w14:schemeClr w14:val="tx1"/>
                  </w14:solidFill>
                </w14:textFill>
              </w:rPr>
              <w:t>投标文件采用线上方式递交投标文件。联合投标的，投标文件应由联合体牵头单位的</w:t>
            </w:r>
            <w:r>
              <w:rPr>
                <w:rFonts w:hint="eastAsia" w:ascii="宋体" w:hAnsi="宋体" w:eastAsia="宋体" w:cs="宋体"/>
                <w:color w:val="000000" w:themeColor="text1"/>
                <w:sz w:val="21"/>
                <w:szCs w:val="21"/>
                <w:highlight w:val="none"/>
                <w:lang w:eastAsia="zh-CN"/>
                <w14:textFill>
                  <w14:solidFill>
                    <w14:schemeClr w14:val="tx1"/>
                  </w14:solidFill>
                </w14:textFill>
              </w:rPr>
              <w:t>CA证书</w:t>
            </w:r>
            <w:r>
              <w:rPr>
                <w:rFonts w:hint="eastAsia" w:ascii="宋体" w:hAnsi="宋体" w:eastAsia="宋体" w:cs="宋体"/>
                <w:color w:val="000000" w:themeColor="text1"/>
                <w:sz w:val="21"/>
                <w:szCs w:val="21"/>
                <w:highlight w:val="none"/>
                <w14:textFill>
                  <w14:solidFill>
                    <w14:schemeClr w14:val="tx1"/>
                  </w14:solidFill>
                </w14:textFill>
              </w:rPr>
              <w:t>加密并上传到电子交易平台，开标时由上传此投标文件的单位</w:t>
            </w:r>
            <w:r>
              <w:rPr>
                <w:rFonts w:hint="eastAsia" w:ascii="宋体" w:hAnsi="宋体" w:eastAsia="宋体" w:cs="瀹嬩綋"/>
                <w:color w:val="000000" w:themeColor="text1"/>
                <w:sz w:val="21"/>
                <w:szCs w:val="21"/>
                <w:highlight w:val="none"/>
                <w:lang w:eastAsia="zh-CN"/>
                <w14:textFill>
                  <w14:solidFill>
                    <w14:schemeClr w14:val="tx1"/>
                  </w14:solidFill>
                </w14:textFill>
              </w:rPr>
              <w:t>CA证书</w:t>
            </w:r>
            <w:r>
              <w:rPr>
                <w:rFonts w:hint="eastAsia" w:ascii="宋体" w:hAnsi="宋体" w:eastAsia="宋体" w:cs="瀹嬩綋"/>
                <w:color w:val="000000" w:themeColor="text1"/>
                <w:sz w:val="21"/>
                <w:szCs w:val="21"/>
                <w:highlight w:val="none"/>
                <w14:textFill>
                  <w14:solidFill>
                    <w14:schemeClr w14:val="tx1"/>
                  </w14:solidFill>
                </w14:textFill>
              </w:rPr>
              <w:t>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25</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5.1.1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pacing w:val="-12"/>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投标文件解密方式</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瀹嬩綋"/>
                <w:color w:val="000000" w:themeColor="text1"/>
                <w:sz w:val="21"/>
                <w:szCs w:val="21"/>
                <w:highlight w:val="none"/>
                <w14:textFill>
                  <w14:solidFill>
                    <w14:schemeClr w14:val="tx1"/>
                  </w14:solidFill>
                </w14:textFill>
              </w:rPr>
              <w:t>投标人在招标项目开标时需登录电子交易平台，待解密环节开始时及时插入</w:t>
            </w:r>
            <w:r>
              <w:rPr>
                <w:rFonts w:ascii="宋体" w:hAnsi="宋体" w:eastAsia="宋体" w:cs="瀹嬩綋"/>
                <w:color w:val="000000" w:themeColor="text1"/>
                <w:sz w:val="21"/>
                <w:szCs w:val="21"/>
                <w:highlight w:val="none"/>
                <w14:textFill>
                  <w14:solidFill>
                    <w14:schemeClr w14:val="tx1"/>
                  </w14:solidFill>
                </w14:textFill>
              </w:rPr>
              <w:t xml:space="preserve">CA </w:t>
            </w:r>
            <w:r>
              <w:rPr>
                <w:rFonts w:hint="eastAsia" w:ascii="宋体" w:hAnsi="宋体" w:eastAsia="宋体" w:cs="瀹嬩綋"/>
                <w:color w:val="000000" w:themeColor="text1"/>
                <w:sz w:val="21"/>
                <w:szCs w:val="21"/>
                <w:highlight w:val="none"/>
                <w14:textFill>
                  <w14:solidFill>
                    <w14:schemeClr w14:val="tx1"/>
                  </w14:solidFill>
                </w14:textFill>
              </w:rPr>
              <w:t>证书进行投标文件在线解密，解密时长为：</w:t>
            </w:r>
            <w:r>
              <w:rPr>
                <w:rFonts w:hint="eastAsia" w:ascii="宋体" w:hAnsi="宋体" w:eastAsia="宋体" w:cs="瀹嬩綋"/>
                <w:color w:val="000000" w:themeColor="text1"/>
                <w:sz w:val="21"/>
                <w:szCs w:val="21"/>
                <w:highlight w:val="none"/>
                <w:u w:val="single"/>
                <w14:textFill>
                  <w14:solidFill>
                    <w14:schemeClr w14:val="tx1"/>
                  </w14:solidFill>
                </w14:textFill>
              </w:rPr>
              <w:t xml:space="preserve">        </w:t>
            </w:r>
            <w:r>
              <w:rPr>
                <w:rFonts w:hint="eastAsia" w:ascii="宋体" w:hAnsi="宋体" w:eastAsia="宋体" w:cs="瀹嬩綋"/>
                <w:color w:val="000000" w:themeColor="text1"/>
                <w:sz w:val="21"/>
                <w:szCs w:val="21"/>
                <w:highlight w:val="none"/>
                <w14:textFill>
                  <w14:solidFill>
                    <w14:schemeClr w14:val="tx1"/>
                  </w14:solidFill>
                </w14:textFill>
              </w:rPr>
              <w:t>分钟。投标人只允许使用生成投标文件的</w:t>
            </w:r>
            <w:r>
              <w:rPr>
                <w:rFonts w:hint="eastAsia" w:ascii="宋体" w:hAnsi="宋体" w:eastAsia="宋体" w:cs="瀹嬩綋"/>
                <w:color w:val="000000" w:themeColor="text1"/>
                <w:sz w:val="21"/>
                <w:szCs w:val="21"/>
                <w:highlight w:val="none"/>
                <w:lang w:eastAsia="zh-CN"/>
                <w14:textFill>
                  <w14:solidFill>
                    <w14:schemeClr w14:val="tx1"/>
                  </w14:solidFill>
                </w14:textFill>
              </w:rPr>
              <w:t>CA证书</w:t>
            </w:r>
            <w:r>
              <w:rPr>
                <w:rFonts w:hint="eastAsia" w:ascii="宋体" w:hAnsi="宋体" w:eastAsia="宋体" w:cs="瀹嬩綋"/>
                <w:color w:val="000000" w:themeColor="text1"/>
                <w:sz w:val="21"/>
                <w:szCs w:val="21"/>
                <w:highlight w:val="none"/>
                <w14:textFill>
                  <w14:solidFill>
                    <w14:schemeClr w14:val="tx1"/>
                  </w14:solidFill>
                </w14:textFill>
              </w:rPr>
              <w:t>进行解密。投标人需及时操作并预留足够的时间进行投标文件解密，否则须自行承担解密失败的责任。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26</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5.1.1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pacing w:val="-12"/>
                <w:sz w:val="21"/>
                <w:szCs w:val="21"/>
                <w:highlight w:val="none"/>
                <w14:textFill>
                  <w14:solidFill>
                    <w14:schemeClr w14:val="tx1"/>
                  </w14:solidFill>
                </w14:textFill>
              </w:rPr>
              <w:t>开标</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招标人将于投标人递交投标文件的截止时间的同一时间进行开标。</w:t>
            </w:r>
          </w:p>
          <w:p>
            <w:pPr>
              <w:pStyle w:val="15"/>
              <w:keepNext w:val="0"/>
              <w:keepLines w:val="0"/>
              <w:pageBreakBefore w:val="0"/>
              <w:kinsoku/>
              <w:wordWrap/>
              <w:overflowPunct/>
              <w:topLinePunct w:val="0"/>
              <w:bidi w:val="0"/>
              <w:snapToGrid w:val="0"/>
              <w:spacing w:beforeLines="50"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开标地点：</w:t>
            </w:r>
            <w:r>
              <w:rPr>
                <w:rFonts w:hint="eastAsia" w:ascii="宋体" w:hAnsi="宋体" w:eastAsia="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27</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w:t>
            </w:r>
            <w:r>
              <w:rPr>
                <w:rFonts w:hint="eastAsia" w:ascii="宋体" w:hAnsi="宋体" w:eastAsia="宋体"/>
                <w:color w:val="000000" w:themeColor="text1"/>
                <w:sz w:val="21"/>
                <w:szCs w:val="21"/>
                <w:highlight w:val="none"/>
                <w:lang w:val="en-US" w:eastAsia="zh-CN"/>
                <w14:textFill>
                  <w14:solidFill>
                    <w14:schemeClr w14:val="tx1"/>
                  </w14:solidFill>
                </w14:textFill>
              </w:rPr>
              <w:t>2</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pacing w:val="-12"/>
                <w:sz w:val="21"/>
                <w:szCs w:val="21"/>
                <w:highlight w:val="none"/>
                <w14:textFill>
                  <w14:solidFill>
                    <w14:schemeClr w14:val="tx1"/>
                  </w14:solidFill>
                </w14:textFill>
              </w:rPr>
            </w:pPr>
            <w:r>
              <w:rPr>
                <w:rFonts w:hint="eastAsia" w:ascii="宋体" w:hAnsi="宋体" w:eastAsia="宋体"/>
                <w:color w:val="000000" w:themeColor="text1"/>
                <w:spacing w:val="-12"/>
                <w:sz w:val="21"/>
                <w:szCs w:val="21"/>
                <w:highlight w:val="none"/>
                <w14:textFill>
                  <w14:solidFill>
                    <w14:schemeClr w14:val="tx1"/>
                  </w14:solidFill>
                </w14:textFill>
              </w:rPr>
              <w:t>评标办法</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定性评审法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709" w:type="dxa"/>
            <w:vMerge w:val="restart"/>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28</w:t>
            </w:r>
          </w:p>
        </w:tc>
        <w:tc>
          <w:tcPr>
            <w:tcW w:w="993" w:type="dxa"/>
            <w:vMerge w:val="restart"/>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w:t>
            </w:r>
            <w:r>
              <w:rPr>
                <w:rFonts w:hint="eastAsia" w:ascii="宋体" w:hAnsi="宋体" w:eastAsia="宋体"/>
                <w:color w:val="000000" w:themeColor="text1"/>
                <w:sz w:val="21"/>
                <w:szCs w:val="21"/>
                <w:highlight w:val="none"/>
                <w:lang w:val="en-US" w:eastAsia="zh-CN"/>
                <w14:textFill>
                  <w14:solidFill>
                    <w14:schemeClr w14:val="tx1"/>
                  </w14:solidFill>
                </w14:textFill>
              </w:rPr>
              <w:t>3</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定标方</w:t>
            </w:r>
            <w:r>
              <w:rPr>
                <w:rFonts w:hint="eastAsia" w:ascii="宋体" w:hAnsi="宋体" w:eastAsia="宋体"/>
                <w:color w:val="000000" w:themeColor="text1"/>
                <w:sz w:val="21"/>
                <w:szCs w:val="21"/>
                <w:highlight w:val="none"/>
                <w14:textFill>
                  <w14:solidFill>
                    <w14:schemeClr w14:val="tx1"/>
                  </w14:solidFill>
                </w14:textFill>
              </w:rPr>
              <w:t>法</w:t>
            </w:r>
          </w:p>
        </w:tc>
        <w:tc>
          <w:tcPr>
            <w:tcW w:w="5954" w:type="dxa"/>
            <w:tcBorders>
              <w:left w:val="single" w:color="auto" w:sz="4" w:space="0"/>
              <w:right w:val="single" w:color="auto" w:sz="8"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ascii="宋体" w:hAnsi="宋体" w:cs="宋体"/>
                <w:color w:val="000000" w:themeColor="text1"/>
                <w:sz w:val="21"/>
                <w:szCs w:val="21"/>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ascii="宋体" w:hAnsi="宋体" w:cs="宋体"/>
                <w:color w:val="000000" w:themeColor="text1"/>
                <w:sz w:val="21"/>
                <w:szCs w:val="21"/>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p>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cs="宋体"/>
                <w:color w:val="000000" w:themeColor="text1"/>
                <w:sz w:val="21"/>
                <w:szCs w:val="21"/>
                <w:highlight w:val="none"/>
                <w:u w:val="none"/>
                <w:lang w:val="en-US" w:bidi="zh-CN"/>
                <w14:textFill>
                  <w14:solidFill>
                    <w14:schemeClr w14:val="tx1"/>
                  </w14:solidFill>
                </w14:textFill>
              </w:rPr>
              <w:t>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ascii="宋体" w:hAnsi="宋体"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ascii="宋体" w:hAnsi="宋体"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ascii="宋体" w:hAnsi="宋体" w:cs="宋体"/>
                <w:color w:val="000000" w:themeColor="text1"/>
                <w:sz w:val="21"/>
                <w:szCs w:val="21"/>
                <w:highlight w:val="none"/>
                <w:u w:val="none"/>
                <w:lang w:val="en-US" w:bidi="zh-CN"/>
                <w14:textFill>
                  <w14:solidFill>
                    <w14:schemeClr w14:val="tx1"/>
                  </w14:solidFill>
                </w14:textFill>
              </w:rPr>
              <w:t>”</w:t>
            </w:r>
            <w:r>
              <w:rPr>
                <w:rFonts w:hint="eastAsia" w:ascii="宋体" w:hAnsi="宋体" w:cs="宋体"/>
                <w:color w:val="000000" w:themeColor="text1"/>
                <w:sz w:val="21"/>
                <w:szCs w:val="21"/>
                <w:highlight w:val="none"/>
                <w:u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709" w:type="dxa"/>
            <w:vMerge w:val="continue"/>
            <w:vAlign w:val="center"/>
          </w:tcPr>
          <w:p>
            <w:pPr>
              <w:pStyle w:val="15"/>
              <w:keepNext w:val="0"/>
              <w:keepLines w:val="0"/>
              <w:pageBreakBefore w:val="0"/>
              <w:kinsoku/>
              <w:wordWrap/>
              <w:overflowPunct/>
              <w:topLinePunct w:val="0"/>
              <w:bidi w:val="0"/>
              <w:snapToGrid w:val="0"/>
              <w:spacing w:line="400" w:lineRule="exact"/>
              <w:ind w:firstLine="0"/>
              <w:jc w:val="center"/>
              <w:rPr>
                <w:rFonts w:hint="eastAsia" w:ascii="宋体" w:hAnsi="宋体" w:eastAsia="宋体"/>
                <w:color w:val="000000" w:themeColor="text1"/>
                <w:sz w:val="21"/>
                <w:szCs w:val="21"/>
                <w:highlight w:val="none"/>
                <w14:textFill>
                  <w14:solidFill>
                    <w14:schemeClr w14:val="tx1"/>
                  </w14:solidFill>
                </w14:textFill>
              </w:rPr>
            </w:pPr>
          </w:p>
        </w:tc>
        <w:tc>
          <w:tcPr>
            <w:tcW w:w="993" w:type="dxa"/>
            <w:vMerge w:val="continue"/>
            <w:vAlign w:val="center"/>
          </w:tcPr>
          <w:p>
            <w:pPr>
              <w:pStyle w:val="15"/>
              <w:keepNext w:val="0"/>
              <w:keepLines w:val="0"/>
              <w:pageBreakBefore w:val="0"/>
              <w:kinsoku/>
              <w:wordWrap/>
              <w:overflowPunct/>
              <w:topLinePunct w:val="0"/>
              <w:bidi w:val="0"/>
              <w:snapToGrid w:val="0"/>
              <w:spacing w:line="400" w:lineRule="exact"/>
              <w:ind w:firstLine="0"/>
              <w:jc w:val="center"/>
              <w:rPr>
                <w:rFonts w:hint="eastAsia" w:ascii="宋体" w:hAnsi="宋体" w:eastAsia="宋体"/>
                <w:color w:val="000000" w:themeColor="text1"/>
                <w:sz w:val="21"/>
                <w:szCs w:val="21"/>
                <w:highlight w:val="none"/>
                <w14:textFill>
                  <w14:solidFill>
                    <w14:schemeClr w14:val="tx1"/>
                  </w14:solidFill>
                </w14:textFill>
              </w:rPr>
            </w:pP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项目负责人陈述答辩考核工作方案</w:t>
            </w:r>
          </w:p>
        </w:tc>
        <w:tc>
          <w:tcPr>
            <w:tcW w:w="5954" w:type="dxa"/>
            <w:tcBorders>
              <w:left w:val="single" w:color="auto" w:sz="4" w:space="0"/>
              <w:right w:val="single" w:color="auto" w:sz="8" w:space="0"/>
            </w:tcBorders>
            <w:vAlign w:val="center"/>
          </w:tcPr>
          <w:p>
            <w:pPr>
              <w:keepNext/>
              <w:keepLines/>
              <w:pageBreakBefore w:val="0"/>
              <w:widowControl/>
              <w:kinsoku/>
              <w:wordWrap/>
              <w:overflowPunct/>
              <w:topLinePunct w:val="0"/>
              <w:autoSpaceDE/>
              <w:autoSpaceDN/>
              <w:bidi w:val="0"/>
              <w:adjustRightInd/>
              <w:snapToGrid/>
              <w:spacing w:beforeLines="0" w:afterLines="50" w:line="400" w:lineRule="exact"/>
              <w:ind w:firstLine="499" w:firstLineChars="238"/>
              <w:jc w:val="both"/>
              <w:textAlignment w:val="auto"/>
              <w:outlineLvl w:val="2"/>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t>定标方案明确要求项目负责人陈述答辩考核的，陈述答辩考核工作方案具体内容如下，应参加陈述答辩的投标人（所有入围投标人以及资格审查不合格的投标人均为参加陈述答辩的通知范围）以及项目负责人名称、时间、地点由招标人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kern w:val="0"/>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zh-CN"/>
                <w14:textFill>
                  <w14:solidFill>
                    <w14:schemeClr w14:val="tx1"/>
                  </w14:solidFill>
                </w14:textFill>
              </w:rPr>
              <w:t>一、总则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为确保</w:t>
            </w:r>
            <w:r>
              <w:rPr>
                <w:rFonts w:hint="eastAsia" w:ascii="宋体" w:hAnsi="宋体" w:cs="宋体"/>
                <w:color w:val="000000" w:themeColor="text1"/>
                <w:sz w:val="21"/>
                <w:szCs w:val="21"/>
                <w:highlight w:val="none"/>
                <w:u w:val="none"/>
                <w:lang w:val="en-US" w:bidi="zh-CN"/>
                <w14:textFill>
                  <w14:solidFill>
                    <w14:schemeClr w14:val="tx1"/>
                  </w14:solidFill>
                </w14:textFill>
              </w:rPr>
              <w:t>项目负责人陈述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答辩工作安排合理，工作人员分工明确，</w:t>
            </w:r>
            <w:r>
              <w:rPr>
                <w:rFonts w:hint="eastAsia" w:ascii="宋体" w:hAnsi="宋体" w:cs="宋体"/>
                <w:color w:val="000000" w:themeColor="text1"/>
                <w:sz w:val="21"/>
                <w:szCs w:val="21"/>
                <w:highlight w:val="none"/>
                <w:u w:val="none"/>
                <w:lang w:val="en-US" w:bidi="zh-CN"/>
                <w14:textFill>
                  <w14:solidFill>
                    <w14:schemeClr w14:val="tx1"/>
                  </w14:solidFill>
                </w14:textFill>
              </w:rPr>
              <w:t>有关</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人员互不干扰串通，</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答辩评价结果客观公正，参加</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答辩的拟派本项目的项目负责人（以下简称</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答辩人员）应</w:t>
            </w:r>
            <w:r>
              <w:rPr>
                <w:rFonts w:hint="eastAsia" w:ascii="宋体" w:hAnsi="宋体" w:cs="宋体"/>
                <w:color w:val="000000" w:themeColor="text1"/>
                <w:sz w:val="21"/>
                <w:szCs w:val="21"/>
                <w:highlight w:val="none"/>
                <w:u w:val="none"/>
                <w:lang w:val="en-US" w:bidi="zh-CN"/>
                <w14:textFill>
                  <w14:solidFill>
                    <w14:schemeClr w14:val="tx1"/>
                  </w14:solidFill>
                </w14:textFill>
              </w:rPr>
              <w:t>按</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要求做好准备工作，服从现场工作人员的安排。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二、</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必须为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投标文件中确定的项目负责人，除此之外的其他人员不得作为答辩人员。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u w:val="none"/>
                <w:lang w:val="en-US"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2.陈述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答辩人员应携带《</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答辩授权委托书》（具体格式详见附件）、身份证原件及复印件（正反两面，加盖公章），在</w:t>
            </w:r>
            <w:r>
              <w:rPr>
                <w:rFonts w:hint="eastAsia" w:ascii="宋体" w:hAnsi="宋体" w:cs="宋体"/>
                <w:color w:val="000000" w:themeColor="text1"/>
                <w:sz w:val="21"/>
                <w:szCs w:val="21"/>
                <w:highlight w:val="none"/>
                <w:u w:val="none"/>
                <w:lang w:val="en-US" w:bidi="zh-CN"/>
                <w14:textFill>
                  <w14:solidFill>
                    <w14:schemeClr w14:val="tx1"/>
                  </w14:solidFill>
                </w14:textFill>
              </w:rPr>
              <w:t>招标人通知的时间和地点，准时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w:t>
            </w:r>
            <w:r>
              <w:rPr>
                <w:rFonts w:hint="eastAsia" w:ascii="宋体" w:hAnsi="宋体" w:cs="宋体"/>
                <w:color w:val="000000" w:themeColor="text1"/>
                <w:sz w:val="21"/>
                <w:szCs w:val="21"/>
                <w:highlight w:val="none"/>
                <w:u w:val="none"/>
                <w:lang w:val="en-US" w:bidi="zh-CN"/>
                <w14:textFill>
                  <w14:solidFill>
                    <w14:schemeClr w14:val="tx1"/>
                  </w14:solidFill>
                </w14:textFill>
              </w:rPr>
              <w:t>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向</w:t>
            </w:r>
            <w:r>
              <w:rPr>
                <w:rFonts w:hint="eastAsia" w:ascii="宋体" w:hAnsi="宋体"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提交身份验证（验证时应摘除口罩），验证通过方可参加答辩，</w:t>
            </w:r>
            <w:r>
              <w:rPr>
                <w:rFonts w:hint="eastAsia" w:ascii="宋体" w:hAnsi="宋体" w:cs="宋体"/>
                <w:color w:val="000000" w:themeColor="text1"/>
                <w:sz w:val="21"/>
                <w:szCs w:val="21"/>
                <w:highlight w:val="none"/>
                <w:u w:val="none"/>
                <w:lang w:val="en-US" w:bidi="zh-CN"/>
                <w14:textFill>
                  <w14:solidFill>
                    <w14:schemeClr w14:val="tx1"/>
                  </w14:solidFill>
                </w14:textFill>
              </w:rPr>
              <w:t>未准时签到或验证不符合要求的，视为放弃答辩。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default"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3.陈述答辩人员在答辩期间应全程携带工作牌。</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4.身份</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验证后</w:t>
            </w:r>
            <w:r>
              <w:rPr>
                <w:rFonts w:hint="eastAsia" w:ascii="宋体" w:hAnsi="宋体"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留存授权书和身份证复印件。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三、</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答辩签到时间、地点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default"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签到时间：</w:t>
            </w:r>
            <w:r>
              <w:rPr>
                <w:rFonts w:hint="eastAsia" w:ascii="宋体" w:hAnsi="宋体" w:cs="宋体"/>
                <w:color w:val="000000" w:themeColor="text1"/>
                <w:sz w:val="21"/>
                <w:szCs w:val="21"/>
                <w:highlight w:val="none"/>
                <w:u w:val="none"/>
                <w:lang w:val="en-US" w:bidi="zh-CN"/>
                <w14:textFill>
                  <w14:solidFill>
                    <w14:schemeClr w14:val="tx1"/>
                  </w14:solidFill>
                </w14:textFill>
              </w:rPr>
              <w:t>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2.签到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地点：</w:t>
            </w:r>
            <w:r>
              <w:rPr>
                <w:rFonts w:hint="eastAsia" w:ascii="宋体" w:hAnsi="宋体" w:cs="宋体"/>
                <w:color w:val="000000" w:themeColor="text1"/>
                <w:sz w:val="21"/>
                <w:szCs w:val="21"/>
                <w:highlight w:val="none"/>
                <w:u w:val="none"/>
                <w:lang w:val="en-US" w:bidi="zh-CN"/>
                <w14:textFill>
                  <w14:solidFill>
                    <w14:schemeClr w14:val="tx1"/>
                  </w14:solidFill>
                </w14:textFill>
              </w:rPr>
              <w:t>另行通知，</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签到地点即为候辩室。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四、</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现场语音答辩</w:t>
            </w:r>
            <w:r>
              <w:rPr>
                <w:rFonts w:hint="eastAsia" w:ascii="宋体" w:hAnsi="宋体" w:cs="宋体"/>
                <w:color w:val="000000" w:themeColor="text1"/>
                <w:sz w:val="21"/>
                <w:szCs w:val="21"/>
                <w:highlight w:val="none"/>
                <w:u w:val="none"/>
                <w:lang w:val="zh-CN" w:bidi="zh-CN"/>
                <w14:textFill>
                  <w14:solidFill>
                    <w14:schemeClr w14:val="tx1"/>
                  </w14:solidFill>
                </w14:textFill>
              </w:rPr>
              <w:t>，</w:t>
            </w:r>
            <w:r>
              <w:rPr>
                <w:rFonts w:hint="eastAsia" w:ascii="宋体" w:hAnsi="宋体" w:cs="宋体"/>
                <w:color w:val="000000" w:themeColor="text1"/>
                <w:sz w:val="21"/>
                <w:szCs w:val="21"/>
                <w:highlight w:val="none"/>
                <w:u w:val="none"/>
                <w:lang w:val="en-US" w:bidi="zh-CN"/>
                <w14:textFill>
                  <w14:solidFill>
                    <w14:schemeClr w14:val="tx1"/>
                  </w14:solidFill>
                </w14:textFill>
              </w:rPr>
              <w:t>陈述答辩人员不得以任何形式向定标委员会透露姓名以及所属投标人名称，否则陈述答辩不得分</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五、</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w:t>
            </w:r>
            <w:r>
              <w:rPr>
                <w:rFonts w:hint="eastAsia" w:ascii="宋体" w:hAnsi="宋体" w:cs="宋体"/>
                <w:color w:val="000000" w:themeColor="text1"/>
                <w:sz w:val="21"/>
                <w:szCs w:val="21"/>
                <w:highlight w:val="none"/>
                <w:u w:val="none"/>
                <w:lang w:val="en-US" w:bidi="zh-CN"/>
                <w14:textFill>
                  <w14:solidFill>
                    <w14:schemeClr w14:val="tx1"/>
                  </w14:solidFill>
                </w14:textFill>
              </w:rPr>
              <w:t>控制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答辩的总时间严格控制为不超过</w:t>
            </w:r>
            <w:r>
              <w:rPr>
                <w:rFonts w:hint="eastAsia" w:ascii="宋体" w:hAnsi="宋体"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分钟。答辩室内提供计时器，剩余2分钟时由</w:t>
            </w:r>
            <w:r>
              <w:rPr>
                <w:rFonts w:hint="eastAsia" w:ascii="宋体" w:hAnsi="宋体"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提醒，计时开始后</w:t>
            </w:r>
            <w:r>
              <w:rPr>
                <w:rFonts w:hint="eastAsia" w:ascii="宋体" w:hAnsi="宋体" w:cs="宋体"/>
                <w:color w:val="000000" w:themeColor="text1"/>
                <w:sz w:val="21"/>
                <w:szCs w:val="21"/>
                <w:highlight w:val="none"/>
                <w:u w:val="none"/>
                <w:lang w:val="en-US" w:bidi="zh-CN"/>
                <w14:textFill>
                  <w14:solidFill>
                    <w14:schemeClr w14:val="tx1"/>
                  </w14:solidFill>
                </w14:textFill>
              </w:rPr>
              <w:t>至前述控制时间截止</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时停止</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六、</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主要流程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答辩顺序</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由现场随机抽取确定，随机抽取规则如下：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（1）投标人代表号即为</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投标</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（2）由建设单位代表（除定标委员会成员以外）或代建单位代表在市公共资源交易中心开标区抽取机中放入所有</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代表球号，</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依次抽取，</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第1次抽取出的球号对应</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的投标人的项目负责人第一个参加陈述答辩，其余依次类推</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（3）在抽取过程中，如出现由于工作失误或设备故障影响抽取结果的，抽取结果无效，应当重新抽取。所有抽球过程实行全程录音录像监控。</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1.2</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招标代理工作人员根据</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随机产生的陈述答辩</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顺序号</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依次</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引导</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答辩人员进入答辩室。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ascii="宋体" w:hAnsi="宋体"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其余流程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2.1</w:t>
            </w:r>
            <w:r>
              <w:rPr>
                <w:rFonts w:hint="eastAsia" w:ascii="宋体" w:hAnsi="宋体" w:cs="宋体"/>
                <w:color w:val="000000" w:themeColor="text1"/>
                <w:sz w:val="21"/>
                <w:szCs w:val="21"/>
                <w:highlight w:val="none"/>
                <w:u w:val="none"/>
                <w:lang w:val="en-US" w:bidi="zh-CN"/>
                <w14:textFill>
                  <w14:solidFill>
                    <w14:schemeClr w14:val="tx1"/>
                  </w14:solidFill>
                </w14:textFill>
              </w:rPr>
              <w:t>工作人员应宣读陈述答辩纪律。陈述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答辩人员签到并经身份核验后，应根据工作人员的安排，寄存个人物品中所有电子</w:t>
            </w:r>
            <w:r>
              <w:rPr>
                <w:rFonts w:hint="eastAsia" w:ascii="宋体" w:hAnsi="宋体" w:cs="宋体"/>
                <w:color w:val="000000" w:themeColor="text1"/>
                <w:sz w:val="21"/>
                <w:szCs w:val="21"/>
                <w:highlight w:val="none"/>
                <w:u w:val="none"/>
                <w:lang w:val="en-US" w:bidi="zh-CN"/>
                <w14:textFill>
                  <w14:solidFill>
                    <w14:schemeClr w14:val="tx1"/>
                  </w14:solidFill>
                </w14:textFill>
              </w:rPr>
              <w:t>设备、纸质材料及其他可能影响陈述答辩的物品，</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且不能随意到处走动。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2.2候辩期间如需用餐，由工作人员统一订餐，用餐地点为候辩室。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ascii="宋体" w:hAnsi="宋体" w:cs="宋体"/>
                <w:color w:val="000000" w:themeColor="text1"/>
                <w:sz w:val="21"/>
                <w:szCs w:val="21"/>
                <w:highlight w:val="none"/>
                <w:u w:val="none"/>
                <w:lang w:val="en-US" w:bidi="zh-CN"/>
                <w14:textFill>
                  <w14:solidFill>
                    <w14:schemeClr w14:val="tx1"/>
                  </w14:solidFill>
                </w14:textFill>
              </w:rPr>
              <w:t>3陈述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答辩人员候辩期间如需使用卫生间，</w:t>
            </w:r>
            <w:r>
              <w:rPr>
                <w:rFonts w:hint="eastAsia" w:ascii="宋体" w:hAnsi="宋体" w:cs="宋体"/>
                <w:color w:val="000000" w:themeColor="text1"/>
                <w:sz w:val="21"/>
                <w:szCs w:val="21"/>
                <w:highlight w:val="none"/>
                <w:u w:val="none"/>
                <w:lang w:val="en-US" w:bidi="zh-CN"/>
                <w14:textFill>
                  <w14:solidFill>
                    <w14:schemeClr w14:val="tx1"/>
                  </w14:solidFill>
                </w14:textFill>
              </w:rPr>
              <w:t>应</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由工作人员陪同，</w:t>
            </w:r>
            <w:r>
              <w:rPr>
                <w:rFonts w:hint="eastAsia" w:ascii="宋体" w:hAnsi="宋体" w:cs="宋体"/>
                <w:color w:val="000000" w:themeColor="text1"/>
                <w:sz w:val="21"/>
                <w:szCs w:val="21"/>
                <w:highlight w:val="none"/>
                <w:u w:val="none"/>
                <w:lang w:val="en-US" w:bidi="zh-CN"/>
                <w14:textFill>
                  <w14:solidFill>
                    <w14:schemeClr w14:val="tx1"/>
                  </w14:solidFill>
                </w14:textFill>
              </w:rPr>
              <w:t>不得</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接触其他人员。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ascii="宋体" w:hAnsi="宋体" w:cs="宋体"/>
                <w:color w:val="000000" w:themeColor="text1"/>
                <w:sz w:val="21"/>
                <w:szCs w:val="21"/>
                <w:highlight w:val="none"/>
                <w:u w:val="none"/>
                <w:lang w:val="en-US" w:bidi="zh-CN"/>
                <w14:textFill>
                  <w14:solidFill>
                    <w14:schemeClr w14:val="tx1"/>
                  </w14:solidFill>
                </w14:textFill>
              </w:rPr>
              <w:t>4陈述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答辩结束后，</w:t>
            </w: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答辩人员不再进入候辩室，应领取个人物品后在工作人员监督下迅速离开市公共资源交易中心，不得以任何形式接触</w:t>
            </w:r>
            <w:r>
              <w:rPr>
                <w:rFonts w:hint="eastAsia" w:ascii="宋体" w:hAnsi="宋体" w:cs="宋体"/>
                <w:color w:val="000000" w:themeColor="text1"/>
                <w:sz w:val="21"/>
                <w:szCs w:val="21"/>
                <w:highlight w:val="none"/>
                <w:u w:val="none"/>
                <w:lang w:val="en-US" w:bidi="zh-CN"/>
                <w14:textFill>
                  <w14:solidFill>
                    <w14:schemeClr w14:val="tx1"/>
                  </w14:solidFill>
                </w14:textFill>
              </w:rPr>
              <w:t>其余</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0" w:firstLineChars="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center"/>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0" w:firstLineChars="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bidi="zh-CN"/>
                <w14:textFill>
                  <w14:solidFill>
                    <w14:schemeClr w14:val="tx1"/>
                  </w14:solidFill>
                </w14:textFill>
              </w:rPr>
              <w:t>（招标人名称）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我公司现授权</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（姓名）参加</w:t>
            </w:r>
            <w:r>
              <w:rPr>
                <w:rFonts w:hint="eastAsia" w:ascii="宋体" w:hAnsi="宋体"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cs="宋体"/>
                <w:color w:val="000000" w:themeColor="text1"/>
                <w:sz w:val="21"/>
                <w:szCs w:val="21"/>
                <w:highlight w:val="none"/>
                <w:u w:val="none"/>
                <w:lang w:val="zh-CN" w:bidi="zh-CN"/>
                <w14:textFill>
                  <w14:solidFill>
                    <w14:schemeClr w14:val="tx1"/>
                  </w14:solidFill>
                </w14:textFill>
              </w:rPr>
              <w:t>（</w:t>
            </w:r>
            <w:r>
              <w:rPr>
                <w:rFonts w:hint="eastAsia" w:ascii="宋体" w:hAnsi="宋体" w:cs="宋体"/>
                <w:color w:val="000000" w:themeColor="text1"/>
                <w:sz w:val="21"/>
                <w:szCs w:val="21"/>
                <w:highlight w:val="none"/>
                <w:u w:val="none"/>
                <w:lang w:val="en-US" w:bidi="zh-CN"/>
                <w14:textFill>
                  <w14:solidFill>
                    <w14:schemeClr w14:val="tx1"/>
                  </w14:solidFill>
                </w14:textFill>
              </w:rPr>
              <w:t>招标项目名称</w:t>
            </w:r>
            <w:r>
              <w:rPr>
                <w:rFonts w:hint="eastAsia" w:ascii="宋体" w:hAnsi="宋体" w:cs="宋体"/>
                <w:color w:val="000000" w:themeColor="text1"/>
                <w:sz w:val="21"/>
                <w:szCs w:val="21"/>
                <w:highlight w:val="none"/>
                <w:u w:val="none"/>
                <w:lang w:val="zh-CN" w:bidi="zh-CN"/>
                <w14:textFill>
                  <w14:solidFill>
                    <w14:schemeClr w14:val="tx1"/>
                  </w14:solidFill>
                </w14:textFill>
              </w:rPr>
              <w:t>）</w:t>
            </w:r>
            <w:r>
              <w:rPr>
                <w:rFonts w:hint="eastAsia" w:ascii="宋体" w:hAnsi="宋体" w:cs="宋体"/>
                <w:color w:val="000000" w:themeColor="text1"/>
                <w:sz w:val="21"/>
                <w:szCs w:val="21"/>
                <w:highlight w:val="none"/>
                <w:u w:val="none"/>
                <w:lang w:val="en-US" w:bidi="zh-CN"/>
                <w14:textFill>
                  <w14:solidFill>
                    <w14:schemeClr w14:val="tx1"/>
                  </w14:solidFill>
                </w14:textFill>
              </w:rPr>
              <w:t>的项目负责人陈述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答辩，前述人员为投标文件中确定的项目负责人。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附：身份证复印件（正反两面）</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0" w:firstLineChars="0"/>
              <w:jc w:val="righ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sz w:val="21"/>
                <w:szCs w:val="21"/>
                <w:highlight w:val="none"/>
                <w:u w:val="none"/>
                <w:lang w:val="en-US" w:bidi="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（盖单位公章）</w:t>
            </w:r>
          </w:p>
          <w:p>
            <w:pPr>
              <w:pStyle w:val="15"/>
              <w:keepNext w:val="0"/>
              <w:keepLines w:val="0"/>
              <w:pageBreakBefore w:val="0"/>
              <w:kinsoku/>
              <w:wordWrap/>
              <w:overflowPunct/>
              <w:topLinePunct w:val="0"/>
              <w:bidi w:val="0"/>
              <w:snapToGrid w:val="0"/>
              <w:spacing w:beforeLines="0" w:afterLines="0" w:line="400" w:lineRule="exact"/>
              <w:jc w:val="right"/>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年</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月</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29</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7.4</w:t>
            </w:r>
            <w:r>
              <w:rPr>
                <w:rFonts w:hint="eastAsia" w:ascii="宋体" w:hAnsi="宋体" w:eastAsia="宋体"/>
                <w:color w:val="000000" w:themeColor="text1"/>
                <w:sz w:val="21"/>
                <w:szCs w:val="21"/>
                <w:highlight w:val="none"/>
                <w14:textFill>
                  <w14:solidFill>
                    <w14:schemeClr w14:val="tx1"/>
                  </w14:solidFill>
                </w14:textFill>
              </w:rPr>
              <w:t>/7.</w:t>
            </w:r>
            <w:r>
              <w:rPr>
                <w:rFonts w:hint="eastAsia" w:ascii="宋体" w:hAnsi="宋体" w:eastAsia="宋体"/>
                <w:color w:val="000000" w:themeColor="text1"/>
                <w:sz w:val="21"/>
                <w:szCs w:val="21"/>
                <w:highlight w:val="none"/>
                <w:lang w:val="en-US" w:eastAsia="zh-CN"/>
                <w14:textFill>
                  <w14:solidFill>
                    <w14:schemeClr w14:val="tx1"/>
                  </w14:solidFill>
                </w14:textFill>
              </w:rPr>
              <w:t>5</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中标候选人公示和中标结果公布媒介</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jc w:val="left"/>
              <w:rPr>
                <w:rFonts w:ascii="宋体" w:hAnsi="宋体" w:eastAsia="宋体"/>
                <w:color w:val="000000" w:themeColor="text1"/>
                <w:sz w:val="21"/>
                <w:szCs w:val="21"/>
                <w:highlight w:val="none"/>
                <w14:textFill>
                  <w14:solidFill>
                    <w14:schemeClr w14:val="tx1"/>
                  </w14:solidFill>
                </w14:textFill>
              </w:rPr>
            </w:pPr>
            <w:r>
              <w:rPr>
                <w:rFonts w:hint="eastAsia" w:cs="宋体" w:asciiTheme="minorHAnsi" w:hAnsiTheme="minorHAnsi" w:eastAsiaTheme="minorEastAsia"/>
                <w:color w:val="000000" w:themeColor="text1"/>
                <w:kern w:val="1"/>
                <w:sz w:val="21"/>
                <w:szCs w:val="21"/>
                <w:highlight w:val="none"/>
                <w:u w:val="none"/>
                <w14:textFill>
                  <w14:solidFill>
                    <w14:schemeClr w14:val="tx1"/>
                  </w14:solidFill>
                </w14:textFill>
              </w:rPr>
              <w:t>中国招标投标公共服务平台</w:t>
            </w:r>
            <w:r>
              <w:rPr>
                <w:rFonts w:hint="eastAsia" w:cs="宋体" w:asciiTheme="minorHAnsi" w:hAnsiTheme="minorHAnsi" w:eastAsiaTheme="minorEastAsia"/>
                <w:color w:val="000000" w:themeColor="text1"/>
                <w:kern w:val="1"/>
                <w:sz w:val="21"/>
                <w:szCs w:val="21"/>
                <w:highlight w:val="none"/>
                <w:u w:val="none"/>
                <w:lang w:eastAsia="zh-CN"/>
                <w14:textFill>
                  <w14:solidFill>
                    <w14:schemeClr w14:val="tx1"/>
                  </w14:solidFill>
                </w14:textFill>
              </w:rPr>
              <w:t>、</w:t>
            </w:r>
            <w:r>
              <w:rPr>
                <w:rFonts w:hint="eastAsia" w:cs="宋体" w:asciiTheme="minorHAnsi" w:hAnsiTheme="minorHAnsi" w:eastAsiaTheme="minorEastAsia"/>
                <w:color w:val="000000" w:themeColor="text1"/>
                <w:kern w:val="1"/>
                <w:sz w:val="21"/>
                <w:szCs w:val="21"/>
                <w:highlight w:val="none"/>
                <w:u w:val="none"/>
                <w14:textFill>
                  <w14:solidFill>
                    <w14:schemeClr w14:val="tx1"/>
                  </w14:solidFill>
                </w14:textFill>
              </w:rPr>
              <w:t>福建省公共资源交易电子公共服务平台和厦门市公共资源交易网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30</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7.6.1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履约保证金</w:t>
            </w:r>
          </w:p>
        </w:tc>
        <w:tc>
          <w:tcPr>
            <w:tcW w:w="5954" w:type="dxa"/>
            <w:tcBorders>
              <w:left w:val="single" w:color="auto" w:sz="4" w:space="0"/>
              <w:right w:val="single" w:color="auto" w:sz="8" w:space="0"/>
            </w:tcBorders>
            <w:vAlign w:val="center"/>
          </w:tcPr>
          <w:p>
            <w:pPr>
              <w:pStyle w:val="105"/>
              <w:keepNext w:val="0"/>
              <w:keepLines w:val="0"/>
              <w:pageBreakBefore w:val="0"/>
              <w:kinsoku/>
              <w:wordWrap/>
              <w:overflowPunct/>
              <w:topLinePunct w:val="0"/>
              <w:bidi w:val="0"/>
              <w:spacing w:afterLines="50" w:line="400" w:lineRule="exact"/>
              <w:ind w:firstLine="457" w:firstLineChars="218"/>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□不要求</w:t>
            </w:r>
          </w:p>
          <w:p>
            <w:pPr>
              <w:pStyle w:val="105"/>
              <w:keepNext w:val="0"/>
              <w:keepLines w:val="0"/>
              <w:pageBreakBefore w:val="0"/>
              <w:kinsoku/>
              <w:wordWrap/>
              <w:overflowPunct/>
              <w:topLinePunct w:val="0"/>
              <w:bidi w:val="0"/>
              <w:spacing w:line="400" w:lineRule="exact"/>
              <w:ind w:firstLine="457" w:firstLineChars="218"/>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□要求，</w:t>
            </w:r>
            <w:r>
              <w:rPr>
                <w:rFonts w:hint="eastAsia" w:ascii="宋体" w:hAnsi="宋体" w:eastAsia="宋体"/>
                <w:color w:val="000000" w:themeColor="text1"/>
                <w:sz w:val="21"/>
                <w:szCs w:val="21"/>
                <w:highlight w:val="none"/>
                <w14:textFill>
                  <w14:solidFill>
                    <w14:schemeClr w14:val="tx1"/>
                  </w14:solidFill>
                </w14:textFill>
              </w:rPr>
              <w:t>联合体中标的，其履约保证金以联合体各方或者联合体中牵头人的名义提交。</w:t>
            </w:r>
          </w:p>
          <w:p>
            <w:pPr>
              <w:pStyle w:val="105"/>
              <w:keepNext w:val="0"/>
              <w:keepLines w:val="0"/>
              <w:pageBreakBefore w:val="0"/>
              <w:numPr>
                <w:ilvl w:val="0"/>
                <w:numId w:val="0"/>
              </w:numPr>
              <w:kinsoku/>
              <w:wordWrap/>
              <w:overflowPunct/>
              <w:topLinePunct w:val="0"/>
              <w:bidi w:val="0"/>
              <w:spacing w:line="400" w:lineRule="exact"/>
              <w:ind w:left="0" w:leftChars="0" w:firstLine="420" w:firstLineChars="200"/>
              <w:rPr>
                <w:rFonts w:hint="eastAsia"/>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w:t>
            </w:r>
            <w:r>
              <w:rPr>
                <w:rFonts w:hint="eastAsia"/>
                <w:color w:val="000000" w:themeColor="text1"/>
                <w:sz w:val="21"/>
                <w:szCs w:val="21"/>
                <w:highlight w:val="none"/>
                <w14:textFill>
                  <w14:solidFill>
                    <w14:schemeClr w14:val="tx1"/>
                  </w14:solidFill>
                </w14:textFill>
              </w:rPr>
              <w:t>履约保证金的金额：</w:t>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p>
          <w:p>
            <w:pPr>
              <w:pStyle w:val="105"/>
              <w:keepNext w:val="0"/>
              <w:keepLines w:val="0"/>
              <w:pageBreakBefore w:val="0"/>
              <w:numPr>
                <w:ilvl w:val="0"/>
                <w:numId w:val="0"/>
              </w:numPr>
              <w:kinsoku/>
              <w:wordWrap/>
              <w:overflowPunct/>
              <w:topLinePunct w:val="0"/>
              <w:bidi w:val="0"/>
              <w:spacing w:line="400" w:lineRule="exact"/>
              <w:ind w:left="0" w:leftChars="0" w:firstLine="420" w:firstLineChars="200"/>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履约保证金的形式：</w:t>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p>
          <w:p>
            <w:pPr>
              <w:pStyle w:val="105"/>
              <w:keepNext w:val="0"/>
              <w:keepLines w:val="0"/>
              <w:pageBreakBefore w:val="0"/>
              <w:kinsoku/>
              <w:wordWrap/>
              <w:overflowPunct/>
              <w:topLinePunct w:val="0"/>
              <w:bidi w:val="0"/>
              <w:spacing w:line="400" w:lineRule="exact"/>
              <w:ind w:firstLine="210" w:firstLineChars="100"/>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 xml:space="preserve">                                                     </w:t>
            </w:r>
          </w:p>
          <w:p>
            <w:pPr>
              <w:pStyle w:val="105"/>
              <w:keepNext w:val="0"/>
              <w:keepLines w:val="0"/>
              <w:pageBreakBefore w:val="0"/>
              <w:numPr>
                <w:ilvl w:val="0"/>
                <w:numId w:val="0"/>
              </w:numPr>
              <w:kinsoku/>
              <w:wordWrap/>
              <w:overflowPunct/>
              <w:topLinePunct w:val="0"/>
              <w:bidi w:val="0"/>
              <w:spacing w:line="400" w:lineRule="exact"/>
              <w:ind w:firstLine="420" w:firstLineChars="200"/>
              <w:rPr>
                <w:rFonts w:hint="eastAsia"/>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w:t>
            </w:r>
            <w:r>
              <w:rPr>
                <w:rFonts w:hint="eastAsia"/>
                <w:color w:val="000000" w:themeColor="text1"/>
                <w:sz w:val="21"/>
                <w:szCs w:val="21"/>
                <w:highlight w:val="none"/>
                <w:lang w:eastAsia="zh-CN"/>
                <w14:textFill>
                  <w14:solidFill>
                    <w14:schemeClr w14:val="tx1"/>
                  </w14:solidFill>
                </w14:textFill>
              </w:rPr>
              <w:t>履约保证金的</w:t>
            </w:r>
            <w:r>
              <w:rPr>
                <w:rFonts w:hint="eastAsia"/>
                <w:color w:val="000000" w:themeColor="text1"/>
                <w:sz w:val="21"/>
                <w:szCs w:val="21"/>
                <w:highlight w:val="none"/>
                <w:lang w:val="en-US" w:eastAsia="zh-CN"/>
                <w14:textFill>
                  <w14:solidFill>
                    <w14:schemeClr w14:val="tx1"/>
                  </w14:solidFill>
                </w14:textFill>
              </w:rPr>
              <w:t>期限</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p>
          <w:p>
            <w:pPr>
              <w:pStyle w:val="105"/>
              <w:keepNext w:val="0"/>
              <w:keepLines w:val="0"/>
              <w:pageBreakBefore w:val="0"/>
              <w:numPr>
                <w:ilvl w:val="0"/>
                <w:numId w:val="0"/>
              </w:numPr>
              <w:kinsoku/>
              <w:wordWrap/>
              <w:overflowPunct/>
              <w:topLinePunct w:val="0"/>
              <w:bidi w:val="0"/>
              <w:spacing w:line="400" w:lineRule="exact"/>
              <w:ind w:left="0" w:leftChars="0" w:firstLine="210" w:firstLineChars="100"/>
              <w:rPr>
                <w:rFonts w:hint="eastAsia" w:ascii="宋体" w:hAnsi="宋体" w:eastAsia="宋体" w:cs="宋体"/>
                <w:color w:val="000000" w:themeColor="text1"/>
                <w:sz w:val="21"/>
                <w:szCs w:val="21"/>
                <w:highlight w:val="none"/>
                <w:u w:val="single"/>
                <w:lang w:val="en-US" w:eastAsia="zh-CN" w:bidi="ar-SA"/>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31</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w:t>
            </w:r>
            <w:r>
              <w:rPr>
                <w:rFonts w:hint="eastAsia" w:ascii="宋体" w:hAnsi="宋体" w:eastAsia="宋体"/>
                <w:color w:val="000000" w:themeColor="text1"/>
                <w:sz w:val="21"/>
                <w:szCs w:val="21"/>
                <w:highlight w:val="none"/>
                <w:lang w:val="en-US" w:eastAsia="zh-CN"/>
                <w14:textFill>
                  <w14:solidFill>
                    <w14:schemeClr w14:val="tx1"/>
                  </w14:solidFill>
                </w14:textFill>
              </w:rPr>
              <w:t>7</w:t>
            </w:r>
            <w:r>
              <w:rPr>
                <w:rFonts w:hint="eastAsia" w:ascii="宋体" w:hAnsi="宋体" w:eastAsia="宋体"/>
                <w:color w:val="000000" w:themeColor="text1"/>
                <w:sz w:val="21"/>
                <w:szCs w:val="21"/>
                <w:highlight w:val="none"/>
                <w14:textFill>
                  <w14:solidFill>
                    <w14:schemeClr w14:val="tx1"/>
                  </w14:solidFill>
                </w14:textFill>
              </w:rPr>
              <w:t>.1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合同签订</w:t>
            </w:r>
          </w:p>
        </w:tc>
        <w:tc>
          <w:tcPr>
            <w:tcW w:w="5954" w:type="dxa"/>
            <w:tcBorders>
              <w:left w:val="single" w:color="auto" w:sz="4" w:space="0"/>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Chars="2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中标人在收到中标通知书后</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天内，应派代表与招标人联系商讨签订合同事宜。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709"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32</w:t>
            </w:r>
          </w:p>
        </w:tc>
        <w:tc>
          <w:tcPr>
            <w:tcW w:w="993" w:type="dxa"/>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8.5.1</w:t>
            </w:r>
          </w:p>
        </w:tc>
        <w:tc>
          <w:tcPr>
            <w:tcW w:w="1842" w:type="dxa"/>
            <w:gridSpan w:val="2"/>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委托鉴定</w:t>
            </w:r>
          </w:p>
        </w:tc>
        <w:tc>
          <w:tcPr>
            <w:tcW w:w="5954" w:type="dxa"/>
            <w:tcBorders>
              <w:left w:val="single" w:color="auto" w:sz="4" w:space="0"/>
              <w:right w:val="single" w:color="auto" w:sz="8" w:space="0"/>
            </w:tcBorders>
            <w:vAlign w:val="center"/>
          </w:tcPr>
          <w:p>
            <w:pPr>
              <w:pStyle w:val="57"/>
              <w:keepNext w:val="0"/>
              <w:keepLines w:val="0"/>
              <w:pageBreakBefore w:val="0"/>
              <w:kinsoku/>
              <w:wordWrap/>
              <w:overflowPunct/>
              <w:topLinePunct w:val="0"/>
              <w:bidi w:val="0"/>
              <w:spacing w:line="400" w:lineRule="exact"/>
              <w:ind w:firstLine="315" w:firstLineChars="15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投标人对</w:t>
            </w:r>
            <w:r>
              <w:rPr>
                <w:rFonts w:hint="eastAsia" w:ascii="宋体" w:hAnsi="宋体" w:eastAsia="宋体"/>
                <w:color w:val="000000" w:themeColor="text1"/>
                <w:sz w:val="21"/>
                <w:szCs w:val="21"/>
                <w:highlight w:val="none"/>
                <w:lang w:eastAsia="zh-CN"/>
                <w14:textFill>
                  <w14:solidFill>
                    <w14:schemeClr w14:val="tx1"/>
                  </w14:solidFill>
                </w14:textFill>
              </w:rPr>
              <w:t>电子交易平台</w:t>
            </w:r>
            <w:r>
              <w:rPr>
                <w:rFonts w:hint="eastAsia" w:ascii="宋体" w:hAnsi="宋体" w:eastAsia="宋体"/>
                <w:color w:val="000000" w:themeColor="text1"/>
                <w:sz w:val="21"/>
                <w:szCs w:val="21"/>
                <w:highlight w:val="none"/>
                <w14:textFill>
                  <w14:solidFill>
                    <w14:schemeClr w14:val="tx1"/>
                  </w14:solidFill>
                </w14:textFill>
              </w:rPr>
              <w:t>生成的电子投标文件软硬件信息分析结果提出异议的，应在开标之日起</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个工作日内与招标人共同委托有资质的鉴定机构进行鉴定。</w:t>
            </w:r>
          </w:p>
          <w:p>
            <w:pPr>
              <w:pStyle w:val="57"/>
              <w:keepNext w:val="0"/>
              <w:keepLines w:val="0"/>
              <w:pageBreakBefore w:val="0"/>
              <w:kinsoku/>
              <w:wordWrap/>
              <w:overflowPunct/>
              <w:topLinePunct w:val="0"/>
              <w:bidi w:val="0"/>
              <w:spacing w:line="400" w:lineRule="exact"/>
              <w:ind w:firstLine="315" w:firstLineChars="15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鉴定配合事项：</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ascii="宋体" w:hAnsi="宋体"/>
                <w:color w:val="000000" w:themeColor="text1"/>
                <w:sz w:val="21"/>
                <w:szCs w:val="21"/>
                <w:highlight w:val="none"/>
                <w:u w:val="single"/>
                <w14:textFill>
                  <w14:solidFill>
                    <w14:schemeClr w14:val="tx1"/>
                  </w14:solidFill>
                </w14:textFill>
              </w:rPr>
              <w:footnoteReference w:id="30"/>
            </w:r>
            <w:r>
              <w:rPr>
                <w:rFonts w:hint="eastAsia" w:ascii="宋体" w:hAnsi="宋体" w:eastAsia="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498" w:type="dxa"/>
            <w:gridSpan w:val="5"/>
            <w:tcBorders>
              <w:right w:val="single" w:color="auto" w:sz="8" w:space="0"/>
            </w:tcBorders>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需要补充和修改的其他内容</w:t>
            </w:r>
            <w:r>
              <w:rPr>
                <w:rStyle w:val="49"/>
                <w:rFonts w:ascii="宋体" w:hAnsi="宋体" w:eastAsia="宋体"/>
                <w:color w:val="000000" w:themeColor="text1"/>
                <w:sz w:val="21"/>
                <w:szCs w:val="21"/>
                <w:highlight w:val="none"/>
                <w14:textFill>
                  <w14:solidFill>
                    <w14:schemeClr w14:val="tx1"/>
                  </w14:solidFill>
                </w14:textFill>
              </w:rPr>
              <w:footnoteReference w:id="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709" w:type="dxa"/>
            <w:vMerge w:val="restart"/>
            <w:vAlign w:val="center"/>
          </w:tcPr>
          <w:p>
            <w:pPr>
              <w:pStyle w:val="15"/>
              <w:keepNext w:val="0"/>
              <w:keepLines w:val="0"/>
              <w:pageBreakBefore w:val="0"/>
              <w:kinsoku/>
              <w:wordWrap/>
              <w:overflowPunct/>
              <w:topLinePunct w:val="0"/>
              <w:bidi w:val="0"/>
              <w:snapToGrid w:val="0"/>
              <w:spacing w:line="400" w:lineRule="exact"/>
              <w:ind w:firstLine="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33</w:t>
            </w:r>
          </w:p>
        </w:tc>
        <w:tc>
          <w:tcPr>
            <w:tcW w:w="1134" w:type="dxa"/>
            <w:gridSpan w:val="2"/>
            <w:vAlign w:val="center"/>
          </w:tcPr>
          <w:p>
            <w:pPr>
              <w:pStyle w:val="15"/>
              <w:keepNext w:val="0"/>
              <w:keepLines w:val="0"/>
              <w:pageBreakBefore w:val="0"/>
              <w:kinsoku/>
              <w:wordWrap/>
              <w:overflowPunct/>
              <w:topLinePunct w:val="0"/>
              <w:bidi w:val="0"/>
              <w:snapToGrid w:val="0"/>
              <w:spacing w:line="400" w:lineRule="exact"/>
              <w:ind w:firstLine="0"/>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9.3</w:t>
            </w:r>
            <w:r>
              <w:rPr>
                <w:rFonts w:hint="eastAsia" w:ascii="宋体" w:hAnsi="宋体" w:eastAsia="宋体"/>
                <w:color w:val="000000" w:themeColor="text1"/>
                <w:sz w:val="21"/>
                <w:szCs w:val="21"/>
                <w:highlight w:val="none"/>
                <w:lang w:val="en-US" w:eastAsia="zh-CN"/>
                <w14:textFill>
                  <w14:solidFill>
                    <w14:schemeClr w14:val="tx1"/>
                  </w14:solidFill>
                </w14:textFill>
              </w:rPr>
              <w:t>.1</w:t>
            </w:r>
          </w:p>
        </w:tc>
        <w:tc>
          <w:tcPr>
            <w:tcW w:w="1701" w:type="dxa"/>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34"/>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拟担任项目负责人承诺函和投标人诚信承诺函</w:t>
            </w:r>
          </w:p>
        </w:tc>
        <w:tc>
          <w:tcPr>
            <w:tcW w:w="5954" w:type="dxa"/>
            <w:tcBorders>
              <w:left w:val="single" w:color="auto" w:sz="4" w:space="0"/>
              <w:right w:val="single" w:color="auto" w:sz="8" w:space="0"/>
            </w:tcBorders>
          </w:tcPr>
          <w:p>
            <w:pPr>
              <w:pStyle w:val="57"/>
              <w:keepNext w:val="0"/>
              <w:keepLines w:val="0"/>
              <w:pageBreakBefore w:val="0"/>
              <w:kinsoku/>
              <w:wordWrap/>
              <w:overflowPunct/>
              <w:topLinePunct w:val="0"/>
              <w:bidi w:val="0"/>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黑体"/>
                <w:bCs w:val="0"/>
                <w:color w:val="000000" w:themeColor="text1"/>
                <w:sz w:val="21"/>
                <w:szCs w:val="21"/>
                <w:highlight w:val="none"/>
                <w:lang w:val="en-US" w:eastAsia="zh-CN"/>
                <w14:textFill>
                  <w14:solidFill>
                    <w14:schemeClr w14:val="tx1"/>
                  </w14:solidFill>
                </w14:textFill>
              </w:rPr>
              <w:t>招标人发出中标通知书前</w:t>
            </w:r>
            <w:r>
              <w:rPr>
                <w:rFonts w:hint="eastAsia" w:ascii="宋体" w:hAnsi="宋体" w:eastAsia="宋体" w:cs="黑体"/>
                <w:bCs w:val="0"/>
                <w:color w:val="000000" w:themeColor="text1"/>
                <w:sz w:val="21"/>
                <w:szCs w:val="21"/>
                <w:highlight w:val="none"/>
                <w14:textFill>
                  <w14:solidFill>
                    <w14:schemeClr w14:val="tx1"/>
                  </w14:solidFill>
                </w14:textFill>
              </w:rPr>
              <w:t>，须</w:t>
            </w:r>
            <w:r>
              <w:rPr>
                <w:rFonts w:hint="eastAsia" w:ascii="宋体" w:hAnsi="宋体" w:eastAsia="宋体" w:cs="黑体"/>
                <w:bCs w:val="0"/>
                <w:color w:val="000000" w:themeColor="text1"/>
                <w:sz w:val="21"/>
                <w:szCs w:val="21"/>
                <w:highlight w:val="none"/>
                <w:lang w:val="en-US" w:eastAsia="zh-CN"/>
                <w14:textFill>
                  <w14:solidFill>
                    <w14:schemeClr w14:val="tx1"/>
                  </w14:solidFill>
                </w14:textFill>
              </w:rPr>
              <w:t>要求中标人</w:t>
            </w:r>
            <w:r>
              <w:rPr>
                <w:rFonts w:hint="eastAsia" w:ascii="宋体" w:hAnsi="宋体" w:eastAsia="宋体"/>
                <w:color w:val="000000" w:themeColor="text1"/>
                <w:sz w:val="21"/>
                <w:szCs w:val="21"/>
                <w:highlight w:val="none"/>
                <w14:textFill>
                  <w14:solidFill>
                    <w14:schemeClr w14:val="tx1"/>
                  </w14:solidFill>
                </w14:textFill>
              </w:rPr>
              <w:t>将投标文件中的《拟担任项目负责人承诺函》原件和《投标人诚信承诺函》原件提交招标人。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709" w:type="dxa"/>
            <w:vMerge w:val="continue"/>
            <w:vAlign w:val="center"/>
          </w:tcPr>
          <w:p>
            <w:pPr>
              <w:pStyle w:val="15"/>
              <w:keepNext w:val="0"/>
              <w:keepLines w:val="0"/>
              <w:pageBreakBefore w:val="0"/>
              <w:kinsoku/>
              <w:wordWrap/>
              <w:overflowPunct/>
              <w:topLinePunct w:val="0"/>
              <w:bidi w:val="0"/>
              <w:snapToGrid w:val="0"/>
              <w:spacing w:line="400" w:lineRule="exact"/>
              <w:ind w:firstLine="0"/>
              <w:jc w:val="center"/>
              <w:rPr>
                <w:rFonts w:hint="eastAsia" w:ascii="宋体" w:hAnsi="宋体" w:eastAsia="宋体"/>
                <w:color w:val="000000" w:themeColor="text1"/>
                <w:sz w:val="21"/>
                <w:szCs w:val="21"/>
                <w:highlight w:val="none"/>
                <w14:textFill>
                  <w14:solidFill>
                    <w14:schemeClr w14:val="tx1"/>
                  </w14:solidFill>
                </w14:textFill>
              </w:rPr>
            </w:pPr>
          </w:p>
        </w:tc>
        <w:tc>
          <w:tcPr>
            <w:tcW w:w="1134" w:type="dxa"/>
            <w:gridSpan w:val="2"/>
            <w:vAlign w:val="center"/>
          </w:tcPr>
          <w:p>
            <w:pPr>
              <w:pStyle w:val="15"/>
              <w:keepNext w:val="0"/>
              <w:keepLines w:val="0"/>
              <w:pageBreakBefore w:val="0"/>
              <w:kinsoku/>
              <w:wordWrap/>
              <w:overflowPunct/>
              <w:topLinePunct w:val="0"/>
              <w:bidi w:val="0"/>
              <w:snapToGrid w:val="0"/>
              <w:spacing w:line="400" w:lineRule="exact"/>
              <w:ind w:firstLine="0"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c>
          <w:tcPr>
            <w:tcW w:w="1701" w:type="dxa"/>
            <w:tcBorders>
              <w:right w:val="single" w:color="auto" w:sz="4" w:space="0"/>
            </w:tcBorders>
            <w:vAlign w:val="center"/>
          </w:tcPr>
          <w:p>
            <w:pPr>
              <w:pStyle w:val="15"/>
              <w:keepNext w:val="0"/>
              <w:keepLines w:val="0"/>
              <w:pageBreakBefore w:val="0"/>
              <w:kinsoku/>
              <w:wordWrap/>
              <w:overflowPunct/>
              <w:topLinePunct w:val="0"/>
              <w:bidi w:val="0"/>
              <w:snapToGrid w:val="0"/>
              <w:spacing w:line="400" w:lineRule="exact"/>
              <w:ind w:firstLine="3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c>
          <w:tcPr>
            <w:tcW w:w="5954" w:type="dxa"/>
            <w:tcBorders>
              <w:left w:val="single" w:color="auto" w:sz="4" w:space="0"/>
              <w:right w:val="single" w:color="auto" w:sz="8" w:space="0"/>
            </w:tcBorders>
            <w:vAlign w:val="center"/>
          </w:tcPr>
          <w:p>
            <w:pPr>
              <w:pStyle w:val="57"/>
              <w:keepNext w:val="0"/>
              <w:keepLines w:val="0"/>
              <w:pageBreakBefore w:val="0"/>
              <w:kinsoku/>
              <w:wordWrap/>
              <w:overflowPunct/>
              <w:topLinePunct w:val="0"/>
              <w:bidi w:val="0"/>
              <w:spacing w:line="400" w:lineRule="exact"/>
              <w:ind w:firstLine="315" w:firstLineChars="15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r>
    </w:tbl>
    <w:p>
      <w:pPr>
        <w:rPr>
          <w:color w:val="000000" w:themeColor="text1"/>
          <w:highlight w:val="none"/>
          <w14:textFill>
            <w14:solidFill>
              <w14:schemeClr w14:val="tx1"/>
            </w14:solidFill>
          </w14:textFill>
        </w:rPr>
      </w:pPr>
      <w:bookmarkStart w:id="397" w:name="_Toc106719298"/>
      <w:bookmarkStart w:id="398" w:name="_Toc52137726"/>
      <w:r>
        <w:rPr>
          <w:color w:val="000000" w:themeColor="text1"/>
          <w:highlight w:val="none"/>
          <w14:textFill>
            <w14:solidFill>
              <w14:schemeClr w14:val="tx1"/>
            </w14:solidFill>
          </w14:textFill>
        </w:rPr>
        <w:br w:type="page"/>
      </w:r>
    </w:p>
    <w:p>
      <w:pPr>
        <w:pStyle w:val="6"/>
        <w:snapToGrid w:val="0"/>
        <w:jc w:val="left"/>
        <w:rPr>
          <w:rFonts w:ascii="黑体" w:hAnsi="黑体" w:eastAsia="黑体"/>
          <w:b w:val="0"/>
          <w:color w:val="000000" w:themeColor="text1"/>
          <w:sz w:val="21"/>
          <w:szCs w:val="21"/>
          <w:highlight w:val="none"/>
          <w14:textFill>
            <w14:solidFill>
              <w14:schemeClr w14:val="tx1"/>
            </w14:solidFill>
          </w14:textFill>
        </w:rPr>
      </w:pPr>
      <w:bookmarkStart w:id="399" w:name="_Toc29865"/>
      <w:bookmarkStart w:id="400" w:name="_Toc29045"/>
      <w:bookmarkStart w:id="401" w:name="_Toc27554"/>
      <w:bookmarkStart w:id="402" w:name="_Toc7022"/>
      <w:bookmarkStart w:id="403" w:name="_Toc29593"/>
      <w:bookmarkStart w:id="404" w:name="_Toc13384"/>
      <w:bookmarkStart w:id="405" w:name="_Toc15673"/>
      <w:bookmarkStart w:id="406" w:name="_Toc29963"/>
      <w:bookmarkStart w:id="407" w:name="_Toc22948"/>
      <w:bookmarkStart w:id="408" w:name="_Toc27592"/>
      <w:bookmarkStart w:id="409" w:name="_Toc4741"/>
      <w:bookmarkStart w:id="410" w:name="_Toc20515"/>
      <w:r>
        <w:rPr>
          <w:rFonts w:hint="eastAsia" w:ascii="黑体" w:hAnsi="黑体" w:eastAsia="黑体"/>
          <w:b w:val="0"/>
          <w:color w:val="000000" w:themeColor="text1"/>
          <w:sz w:val="21"/>
          <w:szCs w:val="21"/>
          <w:highlight w:val="none"/>
          <w14:textFill>
            <w14:solidFill>
              <w14:schemeClr w14:val="tx1"/>
            </w14:solidFill>
          </w14:textFill>
        </w:rPr>
        <w:t>附录1：资格审查条件(最低要求，适用于</w:t>
      </w:r>
      <w:r>
        <w:rPr>
          <w:rFonts w:hint="eastAsia" w:ascii="黑体" w:hAnsi="黑体" w:eastAsia="黑体"/>
          <w:b w:val="0"/>
          <w:color w:val="000000" w:themeColor="text1"/>
          <w:sz w:val="21"/>
          <w:szCs w:val="21"/>
          <w:highlight w:val="none"/>
          <w:u w:val="single"/>
          <w14:textFill>
            <w14:solidFill>
              <w14:schemeClr w14:val="tx1"/>
            </w14:solidFill>
          </w14:textFill>
        </w:rPr>
        <w:t xml:space="preserve">      </w:t>
      </w:r>
      <w:r>
        <w:rPr>
          <w:rFonts w:hint="eastAsia" w:ascii="黑体" w:hAnsi="黑体" w:eastAsia="黑体"/>
          <w:b w:val="0"/>
          <w:color w:val="000000" w:themeColor="text1"/>
          <w:sz w:val="21"/>
          <w:szCs w:val="21"/>
          <w:highlight w:val="none"/>
          <w14:textFill>
            <w14:solidFill>
              <w14:schemeClr w14:val="tx1"/>
            </w14:solidFill>
          </w14:textFill>
        </w:rPr>
        <w:t>标段</w:t>
      </w:r>
      <w:r>
        <w:rPr>
          <w:rStyle w:val="49"/>
          <w:rFonts w:ascii="黑体" w:hAnsi="黑体" w:eastAsia="黑体"/>
          <w:b w:val="0"/>
          <w:color w:val="000000" w:themeColor="text1"/>
          <w:sz w:val="21"/>
          <w:szCs w:val="21"/>
          <w:highlight w:val="none"/>
          <w14:textFill>
            <w14:solidFill>
              <w14:schemeClr w14:val="tx1"/>
            </w14:solidFill>
          </w14:textFill>
        </w:rPr>
        <w:footnoteReference w:id="32"/>
      </w:r>
      <w:r>
        <w:rPr>
          <w:rFonts w:hint="eastAsia" w:ascii="黑体" w:hAnsi="黑体" w:eastAsia="黑体"/>
          <w:b w:val="0"/>
          <w:color w:val="000000" w:themeColor="text1"/>
          <w:sz w:val="21"/>
          <w:szCs w:val="21"/>
          <w:highlight w:val="none"/>
          <w14:textFill>
            <w14:solidFill>
              <w14:schemeClr w14:val="tx1"/>
            </w14:solidFill>
          </w14:textFill>
        </w:rPr>
        <w: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tbl>
      <w:tblPr>
        <w:tblStyle w:val="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675" w:type="dxa"/>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项号</w:t>
            </w:r>
          </w:p>
        </w:tc>
        <w:tc>
          <w:tcPr>
            <w:tcW w:w="1985" w:type="dxa"/>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审查内容</w:t>
            </w:r>
          </w:p>
        </w:tc>
        <w:tc>
          <w:tcPr>
            <w:tcW w:w="6456" w:type="dxa"/>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67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198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资质条件</w:t>
            </w:r>
          </w:p>
        </w:tc>
        <w:tc>
          <w:tcPr>
            <w:tcW w:w="6456" w:type="dxa"/>
            <w:vAlign w:val="center"/>
          </w:tcPr>
          <w:p>
            <w:pPr>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本招标项目要求投标人具备住房城乡建设行政主管部门核发的有效的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trPr>
        <w:tc>
          <w:tcPr>
            <w:tcW w:w="67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198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项目人员配置</w:t>
            </w:r>
          </w:p>
        </w:tc>
        <w:tc>
          <w:tcPr>
            <w:tcW w:w="6456" w:type="dxa"/>
            <w:vAlign w:val="center"/>
          </w:tcPr>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勘察项目负责人</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人，投标人拟派出担任本招标项目的勘察项目负责人应具备有效的国家注册土木工程师（岩土）执业证书。</w:t>
            </w:r>
          </w:p>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拟担任本项目的其他主要勘察人员共</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w:t>
            </w:r>
            <w:r>
              <w:rPr>
                <w:rStyle w:val="49"/>
                <w:rFonts w:ascii="宋体" w:hAnsi="宋体" w:eastAsia="宋体"/>
                <w:color w:val="000000" w:themeColor="text1"/>
                <w:sz w:val="21"/>
                <w:szCs w:val="21"/>
                <w:highlight w:val="none"/>
                <w14:textFill>
                  <w14:solidFill>
                    <w14:schemeClr w14:val="tx1"/>
                  </w14:solidFill>
                </w14:textFill>
              </w:rPr>
              <w:footnoteReference w:id="33"/>
            </w:r>
          </w:p>
          <w:p>
            <w:pPr>
              <w:pStyle w:val="15"/>
              <w:tabs>
                <w:tab w:val="left" w:pos="510"/>
              </w:tabs>
              <w:snapToGrid w:val="0"/>
              <w:spacing w:line="400" w:lineRule="exact"/>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勘察现场施工负责人</w:t>
            </w:r>
            <w:r>
              <w:rPr>
                <w:rFonts w:hint="eastAsia" w:ascii="宋体" w:hAnsi="宋体" w:eastAsia="宋体"/>
                <w:color w:val="000000" w:themeColor="text1"/>
                <w:szCs w:val="21"/>
                <w:highlight w:val="none"/>
                <w14:textFill>
                  <w14:solidFill>
                    <w14:schemeClr w14:val="tx1"/>
                  </w14:solidFill>
                </w14:textFill>
              </w:rPr>
              <w:t>，职称：</w:t>
            </w:r>
            <w:r>
              <w:rPr>
                <w:rFonts w:hint="eastAsia" w:ascii="宋体" w:hAnsi="宋体" w:eastAsia="宋体"/>
                <w:color w:val="000000" w:themeColor="text1"/>
                <w:szCs w:val="21"/>
                <w:highlight w:val="none"/>
                <w:u w:val="single"/>
                <w14:textFill>
                  <w14:solidFill>
                    <w14:schemeClr w14:val="tx1"/>
                  </w14:solidFill>
                </w14:textFill>
              </w:rPr>
              <w:t xml:space="preserve">                             </w:t>
            </w:r>
          </w:p>
          <w:p>
            <w:pPr>
              <w:pStyle w:val="15"/>
              <w:tabs>
                <w:tab w:val="left" w:pos="510"/>
              </w:tabs>
              <w:snapToGrid w:val="0"/>
              <w:spacing w:line="400" w:lineRule="exact"/>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勘察设计负责人</w:t>
            </w:r>
            <w:r>
              <w:rPr>
                <w:rFonts w:hint="eastAsia" w:ascii="宋体" w:hAnsi="宋体" w:eastAsia="宋体"/>
                <w:color w:val="000000" w:themeColor="text1"/>
                <w:szCs w:val="21"/>
                <w:highlight w:val="none"/>
                <w14:textFill>
                  <w14:solidFill>
                    <w14:schemeClr w14:val="tx1"/>
                  </w14:solidFill>
                </w14:textFill>
              </w:rPr>
              <w:t>，职称：</w:t>
            </w:r>
            <w:r>
              <w:rPr>
                <w:rFonts w:hint="eastAsia" w:ascii="宋体" w:hAnsi="宋体" w:eastAsia="宋体"/>
                <w:color w:val="000000" w:themeColor="text1"/>
                <w:szCs w:val="21"/>
                <w:highlight w:val="none"/>
                <w:u w:val="single"/>
                <w14:textFill>
                  <w14:solidFill>
                    <w14:schemeClr w14:val="tx1"/>
                  </w14:solidFill>
                </w14:textFill>
              </w:rPr>
              <w:t xml:space="preserve">                                 </w:t>
            </w:r>
          </w:p>
          <w:p>
            <w:pPr>
              <w:pStyle w:val="15"/>
              <w:tabs>
                <w:tab w:val="left" w:pos="510"/>
              </w:tabs>
              <w:snapToGrid w:val="0"/>
              <w:spacing w:line="400" w:lineRule="exact"/>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勘察现场测试负责人</w:t>
            </w:r>
            <w:r>
              <w:rPr>
                <w:rFonts w:hint="eastAsia" w:ascii="宋体"/>
                <w:color w:val="000000" w:themeColor="text1"/>
                <w:szCs w:val="21"/>
                <w:highlight w:val="none"/>
                <w14:textFill>
                  <w14:solidFill>
                    <w14:schemeClr w14:val="tx1"/>
                  </w14:solidFill>
                </w14:textFill>
              </w:rPr>
              <w:t>，职称：</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 xml:space="preserve">              </w:t>
            </w:r>
            <w:r>
              <w:rPr>
                <w:rFonts w:ascii="宋体"/>
                <w:color w:val="000000" w:themeColor="text1"/>
                <w:szCs w:val="21"/>
                <w:highlight w:val="none"/>
                <w:u w:val="single"/>
                <w14:textFill>
                  <w14:solidFill>
                    <w14:schemeClr w14:val="tx1"/>
                  </w14:solidFill>
                </w14:textFill>
              </w:rPr>
              <w:t xml:space="preserve">    </w:t>
            </w:r>
          </w:p>
          <w:p>
            <w:pPr>
              <w:pStyle w:val="15"/>
              <w:tabs>
                <w:tab w:val="left" w:pos="510"/>
              </w:tabs>
              <w:snapToGrid w:val="0"/>
              <w:spacing w:line="400" w:lineRule="exact"/>
              <w:ind w:firstLine="315" w:firstLineChars="150"/>
              <w:jc w:val="left"/>
              <w:rPr>
                <w:rFonts w:ascii="宋体" w:hAnsi="宋体" w:eastAsia="宋体"/>
                <w:color w:val="000000" w:themeColor="text1"/>
                <w:szCs w:val="2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室内试验负责人</w:t>
            </w:r>
            <w:r>
              <w:rPr>
                <w:rFonts w:hint="eastAsia" w:ascii="宋体" w:hAnsi="宋体" w:eastAsia="宋体"/>
                <w:color w:val="000000" w:themeColor="text1"/>
                <w:szCs w:val="21"/>
                <w:highlight w:val="none"/>
                <w14:textFill>
                  <w14:solidFill>
                    <w14:schemeClr w14:val="tx1"/>
                  </w14:solidFill>
                </w14:textFill>
              </w:rPr>
              <w:t>，职称：</w:t>
            </w:r>
            <w:r>
              <w:rPr>
                <w:rFonts w:hint="eastAsia" w:ascii="宋体" w:hAnsi="宋体" w:eastAsia="宋体"/>
                <w:color w:val="000000" w:themeColor="text1"/>
                <w:szCs w:val="21"/>
                <w:highlight w:val="none"/>
                <w:u w:val="single"/>
                <w14:textFill>
                  <w14:solidFill>
                    <w14:schemeClr w14:val="tx1"/>
                  </w14:solidFill>
                </w14:textFill>
              </w:rPr>
              <w:t xml:space="preserve">                                 </w:t>
            </w:r>
          </w:p>
          <w:p>
            <w:pPr>
              <w:pStyle w:val="57"/>
              <w:spacing w:line="400" w:lineRule="exact"/>
              <w:ind w:firstLine="315" w:firstLineChars="150"/>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其他专业负责人（如有）：</w:t>
            </w:r>
            <w:r>
              <w:rPr>
                <w:rFonts w:hint="eastAsia" w:ascii="宋体" w:hAnsi="宋体" w:eastAsia="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67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1985" w:type="dxa"/>
            <w:vAlign w:val="center"/>
          </w:tcPr>
          <w:p>
            <w:pPr>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类似项目业绩</w:t>
            </w:r>
            <w:r>
              <w:rPr>
                <w:rStyle w:val="49"/>
                <w:rFonts w:ascii="宋体" w:hAnsi="宋体" w:cs="黑体"/>
                <w:color w:val="000000" w:themeColor="text1"/>
                <w:sz w:val="21"/>
                <w:szCs w:val="21"/>
                <w:highlight w:val="none"/>
                <w14:textFill>
                  <w14:solidFill>
                    <w14:schemeClr w14:val="tx1"/>
                  </w14:solidFill>
                </w14:textFill>
              </w:rPr>
              <w:footnoteReference w:id="34"/>
            </w:r>
          </w:p>
        </w:tc>
        <w:tc>
          <w:tcPr>
            <w:tcW w:w="6456" w:type="dxa"/>
            <w:vAlign w:val="center"/>
          </w:tcPr>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投标人及其拟派出担任本勘察项目负责人均应具备</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hint="eastAsia" w:ascii="宋体" w:hAnsi="宋体" w:eastAsia="宋体" w:cs="Times New Roman"/>
                <w:color w:val="000000" w:themeColor="text1"/>
                <w:sz w:val="21"/>
                <w:szCs w:val="21"/>
                <w:highlight w:val="none"/>
                <w:u w:val="single"/>
                <w:lang w:val="en-US" w:eastAsia="zh-CN" w:bidi="ar-SA"/>
                <w14:textFill>
                  <w14:solidFill>
                    <w14:schemeClr w14:val="tx1"/>
                  </w14:solidFill>
                </w14:textFill>
              </w:rPr>
              <w:footnoteReference w:id="35"/>
            </w:r>
            <w:r>
              <w:rPr>
                <w:rFonts w:hint="eastAsia" w:ascii="宋体" w:hAnsi="宋体" w:eastAsia="宋体"/>
                <w:color w:val="000000" w:themeColor="text1"/>
                <w:sz w:val="21"/>
                <w:szCs w:val="21"/>
                <w:highlight w:val="none"/>
                <w14:textFill>
                  <w14:solidFill>
                    <w14:schemeClr w14:val="tx1"/>
                  </w14:solidFill>
                </w14:textFill>
              </w:rPr>
              <w:t>项类似项目勘察业绩。类似项目勘察业绩是指：自本招标公告（</w:t>
            </w:r>
            <w:r>
              <w:rPr>
                <w:rFonts w:hint="eastAsia" w:ascii="宋体" w:hAnsi="宋体" w:eastAsia="宋体"/>
                <w:color w:val="000000" w:themeColor="text1"/>
                <w:sz w:val="21"/>
                <w:szCs w:val="21"/>
                <w:highlight w:val="none"/>
                <w:lang w:eastAsia="zh-CN"/>
                <w14:textFill>
                  <w14:solidFill>
                    <w14:schemeClr w14:val="tx1"/>
                  </w14:solidFill>
                </w14:textFill>
              </w:rPr>
              <w:t>或投标邀请书</w:t>
            </w:r>
            <w:r>
              <w:rPr>
                <w:rFonts w:hint="eastAsia" w:ascii="宋体" w:hAnsi="宋体" w:eastAsia="宋体"/>
                <w:color w:val="000000" w:themeColor="text1"/>
                <w:sz w:val="21"/>
                <w:szCs w:val="21"/>
                <w:highlight w:val="none"/>
                <w14:textFill>
                  <w14:solidFill>
                    <w14:schemeClr w14:val="tx1"/>
                  </w14:solidFill>
                </w14:textFill>
              </w:rPr>
              <w:t>）发布之日的前三年内【以施工图审查报告日期为准，不含发布招标公告（</w:t>
            </w:r>
            <w:r>
              <w:rPr>
                <w:rFonts w:hint="eastAsia" w:ascii="宋体" w:hAnsi="宋体" w:eastAsia="宋体"/>
                <w:color w:val="000000" w:themeColor="text1"/>
                <w:sz w:val="21"/>
                <w:szCs w:val="21"/>
                <w:highlight w:val="none"/>
                <w:lang w:eastAsia="zh-CN"/>
                <w14:textFill>
                  <w14:solidFill>
                    <w14:schemeClr w14:val="tx1"/>
                  </w14:solidFill>
                </w14:textFill>
              </w:rPr>
              <w:t>或投标邀请书</w:t>
            </w:r>
            <w:r>
              <w:rPr>
                <w:rFonts w:hint="eastAsia" w:ascii="宋体" w:hAnsi="宋体" w:eastAsia="宋体"/>
                <w:color w:val="000000" w:themeColor="text1"/>
                <w:sz w:val="21"/>
                <w:szCs w:val="21"/>
                <w:highlight w:val="none"/>
                <w14:textFill>
                  <w14:solidFill>
                    <w14:schemeClr w14:val="tx1"/>
                  </w14:solidFill>
                </w14:textFill>
              </w:rPr>
              <w:t>）当日】投标人、勘察项目负责人完成的与招标项目同级或以上的工程勘察项目。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1985" w:type="dxa"/>
            <w:vAlign w:val="center"/>
          </w:tcPr>
          <w:p>
            <w:pPr>
              <w:jc w:val="center"/>
              <w:rPr>
                <w:rFonts w:ascii="宋体" w:hAnsi="宋体" w:cs="黑体"/>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信用</w:t>
            </w:r>
          </w:p>
        </w:tc>
        <w:tc>
          <w:tcPr>
            <w:tcW w:w="6456" w:type="dxa"/>
            <w:vAlign w:val="center"/>
          </w:tcPr>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本招标项目</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ascii="宋体" w:hAnsi="宋体" w:eastAsia="宋体"/>
                <w:color w:val="000000" w:themeColor="text1"/>
                <w:sz w:val="21"/>
                <w:szCs w:val="21"/>
                <w:highlight w:val="none"/>
                <w:u w:val="single"/>
                <w14:textFill>
                  <w14:solidFill>
                    <w14:schemeClr w14:val="tx1"/>
                  </w14:solidFill>
                </w14:textFill>
              </w:rPr>
              <w:footnoteReference w:id="36"/>
            </w:r>
            <w:r>
              <w:rPr>
                <w:rFonts w:hint="eastAsia" w:ascii="宋体" w:hAnsi="宋体" w:eastAsia="宋体"/>
                <w:color w:val="000000" w:themeColor="text1"/>
                <w:sz w:val="21"/>
                <w:szCs w:val="21"/>
                <w:highlight w:val="none"/>
                <w14:textFill>
                  <w14:solidFill>
                    <w14:schemeClr w14:val="tx1"/>
                  </w14:solidFill>
                </w14:textFill>
              </w:rPr>
              <w:t>福建省工程勘察设计企业信用评价。</w:t>
            </w:r>
          </w:p>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本招标项目</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Style w:val="49"/>
                <w:rFonts w:ascii="宋体" w:hAnsi="宋体" w:eastAsia="宋体"/>
                <w:color w:val="000000" w:themeColor="text1"/>
                <w:sz w:val="21"/>
                <w:szCs w:val="21"/>
                <w:highlight w:val="none"/>
                <w:u w:val="single"/>
                <w14:textFill>
                  <w14:solidFill>
                    <w14:schemeClr w14:val="tx1"/>
                  </w14:solidFill>
                </w14:textFill>
              </w:rPr>
              <w:footnoteReference w:id="37"/>
            </w:r>
            <w:r>
              <w:rPr>
                <w:rFonts w:hint="eastAsia" w:ascii="宋体" w:hAnsi="宋体" w:eastAsia="宋体"/>
                <w:color w:val="000000" w:themeColor="text1"/>
                <w:sz w:val="21"/>
                <w:szCs w:val="21"/>
                <w:highlight w:val="none"/>
                <w14:textFill>
                  <w14:solidFill>
                    <w14:schemeClr w14:val="tx1"/>
                  </w14:solidFill>
                </w14:textFill>
              </w:rPr>
              <w:t>厦门勘察设计单位信用评价。</w:t>
            </w:r>
          </w:p>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注：</w:t>
            </w:r>
          </w:p>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依法招标的项目，应用福建省工程勘察设计企业信用评价分值，投标人的企业季度信用分不得低于55分。投标人的企业季度信用分</w:t>
            </w:r>
            <w:r>
              <w:rPr>
                <w:rFonts w:hint="eastAsia" w:ascii="宋体" w:hAnsi="宋体" w:eastAsia="宋体"/>
                <w:color w:val="000000" w:themeColor="text1"/>
                <w:sz w:val="21"/>
                <w:szCs w:val="21"/>
                <w:highlight w:val="none"/>
                <w14:textFill>
                  <w14:solidFill>
                    <w14:schemeClr w14:val="tx1"/>
                  </w14:solidFill>
                </w14:textFill>
              </w:rPr>
              <w:t>可通过</w:t>
            </w:r>
            <w:r>
              <w:rPr>
                <w:rFonts w:hint="eastAsia" w:ascii="宋体" w:hAnsi="宋体" w:eastAsia="宋体" w:cs="宋体"/>
                <w:color w:val="000000" w:themeColor="text1"/>
                <w:sz w:val="21"/>
                <w:szCs w:val="21"/>
                <w:highlight w:val="none"/>
                <w14:textFill>
                  <w14:solidFill>
                    <w14:schemeClr w14:val="tx1"/>
                  </w14:solidFill>
                </w14:textFill>
              </w:rPr>
              <w:t>福建省勘察设计单位和施工图审查机构信用评价系统</w:t>
            </w:r>
            <w:r>
              <w:rPr>
                <w:rFonts w:hint="eastAsia" w:ascii="宋体" w:hAnsi="宋体" w:eastAsia="宋体"/>
                <w:color w:val="000000" w:themeColor="text1"/>
                <w:sz w:val="21"/>
                <w:szCs w:val="21"/>
                <w:highlight w:val="none"/>
                <w14:textFill>
                  <w14:solidFill>
                    <w14:schemeClr w14:val="tx1"/>
                  </w14:solidFill>
                </w14:textFill>
              </w:rPr>
              <w:t>（下称“评价系统”）查询，网址：</w:t>
            </w:r>
            <w:r>
              <w:rPr>
                <w:rFonts w:ascii="宋体" w:hAnsi="宋体" w:eastAsia="宋体" w:cs="宋体"/>
                <w:color w:val="000000" w:themeColor="text1"/>
                <w:sz w:val="21"/>
                <w:szCs w:val="21"/>
                <w:highlight w:val="none"/>
                <w14:textFill>
                  <w14:solidFill>
                    <w14:schemeClr w14:val="tx1"/>
                  </w14:solidFill>
                </w14:textFill>
              </w:rPr>
              <w:t>zjt.fujian.gov.cn</w:t>
            </w:r>
            <w:r>
              <w:rPr>
                <w:rFonts w:hint="eastAsia" w:ascii="宋体" w:hAnsi="宋体" w:eastAsia="宋体"/>
                <w:color w:val="000000" w:themeColor="text1"/>
                <w:sz w:val="21"/>
                <w:szCs w:val="21"/>
                <w:highlight w:val="none"/>
                <w14:textFill>
                  <w14:solidFill>
                    <w14:schemeClr w14:val="tx1"/>
                  </w14:solidFill>
                </w14:textFill>
              </w:rPr>
              <w:t>。福建省工程勘察设计企业信用评价分值应用于工程勘察设计招标投标活动的时间由省住房和城乡建设厅另行通知，采用综合评估法评标，未明确应用前各投标人企业信用评分值均按满分计，明确应用后评价系统没有公布其企业季度信用得分的投标人企业季度信用分以55分计取。</w:t>
            </w:r>
          </w:p>
          <w:p>
            <w:pPr>
              <w:pStyle w:val="2"/>
              <w:spacing w:after="0" w:line="400" w:lineRule="exact"/>
              <w:ind w:left="0" w:leftChars="0"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（2）厦门勘察设计单位信用分用于工程勘察设计招标投标活动的规则由</w:t>
            </w:r>
            <w:r>
              <w:rPr>
                <w:rFonts w:hint="eastAsia" w:ascii="宋体" w:hAnsi="宋体" w:cs="宋体"/>
                <w:color w:val="000000" w:themeColor="text1"/>
                <w:sz w:val="21"/>
                <w:szCs w:val="21"/>
                <w:highlight w:val="none"/>
                <w:lang w:eastAsia="zh-CN"/>
                <w14:textFill>
                  <w14:solidFill>
                    <w14:schemeClr w14:val="tx1"/>
                  </w14:solidFill>
                </w14:textFill>
              </w:rPr>
              <w:t>厦门市住房和建设局</w:t>
            </w:r>
            <w:r>
              <w:rPr>
                <w:rFonts w:hint="eastAsia" w:ascii="宋体" w:hAnsi="宋体" w:cs="宋体"/>
                <w:color w:val="000000" w:themeColor="text1"/>
                <w:sz w:val="21"/>
                <w:szCs w:val="21"/>
                <w:highlight w:val="none"/>
                <w14:textFill>
                  <w14:solidFill>
                    <w14:schemeClr w14:val="tx1"/>
                  </w14:solidFill>
                </w14:textFill>
              </w:rPr>
              <w:t>另行通知</w:t>
            </w:r>
            <w:r>
              <w:rPr>
                <w:rFonts w:hint="eastAsia" w:ascii="宋体" w:hAnsi="宋体"/>
                <w:color w:val="000000" w:themeColor="text1"/>
                <w:sz w:val="21"/>
                <w:szCs w:val="21"/>
                <w:highlight w:val="none"/>
                <w14:textFill>
                  <w14:solidFill>
                    <w14:schemeClr w14:val="tx1"/>
                  </w14:solidFill>
                </w14:textFill>
              </w:rPr>
              <w:t>，未明确应用前各投标人企业信用评分值按满足要求（或满分）确定</w:t>
            </w:r>
            <w:r>
              <w:rPr>
                <w:rFonts w:hint="eastAsia" w:ascii="宋体" w:hAnsi="宋体" w:cs="宋体"/>
                <w:color w:val="000000" w:themeColor="text1"/>
                <w:sz w:val="21"/>
                <w:szCs w:val="21"/>
                <w:highlight w:val="none"/>
                <w14:textFill>
                  <w14:solidFill>
                    <w14:schemeClr w14:val="tx1"/>
                  </w14:solidFill>
                </w14:textFill>
              </w:rPr>
              <w:t>。</w:t>
            </w:r>
          </w:p>
          <w:p>
            <w:pPr>
              <w:pStyle w:val="2"/>
              <w:spacing w:after="0" w:line="400" w:lineRule="exact"/>
              <w:ind w:left="0" w:leftChars="0"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以联合体参与投标的，按联合体牵头人信用得分确定。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75"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1985" w:type="dxa"/>
            <w:vAlign w:val="center"/>
          </w:tcPr>
          <w:p>
            <w:pPr>
              <w:jc w:val="center"/>
              <w:rPr>
                <w:rFonts w:ascii="宋体" w:hAnsi="宋体" w:cs="黑体"/>
                <w:color w:val="000000" w:themeColor="text1"/>
                <w:sz w:val="21"/>
                <w:szCs w:val="21"/>
                <w:highlight w:val="non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其他</w:t>
            </w:r>
          </w:p>
        </w:tc>
        <w:tc>
          <w:tcPr>
            <w:tcW w:w="6456" w:type="dxa"/>
            <w:vAlign w:val="center"/>
          </w:tcPr>
          <w:p>
            <w:pPr>
              <w:pStyle w:val="57"/>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1、具备合格有效的企业法人营业执照。</w:t>
            </w:r>
          </w:p>
          <w:p>
            <w:pPr>
              <w:spacing w:line="400" w:lineRule="exact"/>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2、土工实验室设立要求：</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400" w:lineRule="exact"/>
              <w:jc w:val="left"/>
              <w:rPr>
                <w:rFonts w:ascii="宋体" w:hAnsi="宋体" w:cs="瀹嬩綋"/>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瀹嬩綋"/>
                <w:color w:val="000000" w:themeColor="text1"/>
                <w:sz w:val="21"/>
                <w:szCs w:val="21"/>
                <w:highlight w:val="none"/>
                <w14:textFill>
                  <w14:solidFill>
                    <w14:schemeClr w14:val="tx1"/>
                  </w14:solidFill>
                </w14:textFill>
              </w:rPr>
              <w:t>3、</w:t>
            </w:r>
            <w:r>
              <w:rPr>
                <w:rFonts w:hint="eastAsia" w:ascii="宋体" w:hAnsi="宋体" w:cs="瀹嬩綋"/>
                <w:color w:val="000000" w:themeColor="text1"/>
                <w:sz w:val="21"/>
                <w:szCs w:val="21"/>
                <w:highlight w:val="none"/>
                <w:u w:val="single"/>
                <w14:textFill>
                  <w14:solidFill>
                    <w14:schemeClr w14:val="tx1"/>
                  </w14:solidFill>
                </w14:textFill>
              </w:rPr>
              <w:t xml:space="preserve"> ……                                                   </w:t>
            </w:r>
          </w:p>
        </w:tc>
      </w:tr>
    </w:tbl>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jc w:val="left"/>
        <w:rPr>
          <w:rFonts w:ascii="宋体" w:hAnsi="宋体"/>
          <w:b/>
          <w:bCs/>
          <w:color w:val="000000" w:themeColor="text1"/>
          <w:sz w:val="21"/>
          <w:szCs w:val="21"/>
          <w:highlight w:val="none"/>
          <w14:textFill>
            <w14:solidFill>
              <w14:schemeClr w14:val="tx1"/>
            </w14:solidFill>
          </w14:textFill>
        </w:rPr>
      </w:pPr>
    </w:p>
    <w:p>
      <w:pPr>
        <w:pStyle w:val="6"/>
        <w:tabs>
          <w:tab w:val="left" w:pos="0"/>
        </w:tabs>
        <w:spacing w:before="0" w:after="0" w:line="360" w:lineRule="auto"/>
        <w:jc w:val="center"/>
        <w:rPr>
          <w:rFonts w:ascii="黑体" w:hAnsi="黑体" w:eastAsia="黑体"/>
          <w:b w:val="0"/>
          <w:color w:val="000000" w:themeColor="text1"/>
          <w:sz w:val="28"/>
          <w:szCs w:val="28"/>
          <w:highlight w:val="none"/>
          <w14:textFill>
            <w14:solidFill>
              <w14:schemeClr w14:val="tx1"/>
            </w14:solidFill>
          </w14:textFill>
        </w:rPr>
      </w:pPr>
      <w:bookmarkStart w:id="411" w:name="_Toc24570"/>
      <w:bookmarkStart w:id="412" w:name="_Toc11656"/>
      <w:bookmarkStart w:id="413" w:name="_Toc6530"/>
      <w:bookmarkStart w:id="414" w:name="_Toc106719299"/>
      <w:bookmarkStart w:id="415" w:name="_Toc52137727"/>
      <w:bookmarkStart w:id="416" w:name="_Toc748"/>
      <w:bookmarkStart w:id="417" w:name="_Toc13238"/>
      <w:bookmarkStart w:id="418" w:name="_Toc4525"/>
      <w:bookmarkStart w:id="419" w:name="_Toc5966"/>
      <w:bookmarkStart w:id="420" w:name="_Toc18568"/>
      <w:bookmarkStart w:id="421" w:name="_Toc3949"/>
      <w:bookmarkStart w:id="422" w:name="_Toc3550"/>
      <w:bookmarkStart w:id="423" w:name="_Toc14070"/>
      <w:bookmarkStart w:id="424" w:name="_Toc21581"/>
      <w:bookmarkStart w:id="425" w:name="_Toc516753475"/>
      <w:bookmarkStart w:id="426" w:name="_Toc26734"/>
      <w:bookmarkStart w:id="427" w:name="_Toc11582"/>
      <w:bookmarkStart w:id="428" w:name="_Toc300038923"/>
      <w:r>
        <w:rPr>
          <w:rFonts w:hint="eastAsia" w:ascii="黑体" w:hAnsi="黑体" w:eastAsia="黑体"/>
          <w:b w:val="0"/>
          <w:color w:val="000000" w:themeColor="text1"/>
          <w:sz w:val="28"/>
          <w:szCs w:val="28"/>
          <w:highlight w:val="none"/>
          <w14:textFill>
            <w14:solidFill>
              <w14:schemeClr w14:val="tx1"/>
            </w14:solidFill>
          </w14:textFill>
        </w:rPr>
        <w:t>投标人须知正文</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29" w:name="_Toc25539"/>
      <w:bookmarkStart w:id="430" w:name="_Toc26950"/>
      <w:bookmarkStart w:id="431" w:name="_Toc8"/>
      <w:bookmarkStart w:id="432" w:name="_Toc18988"/>
      <w:bookmarkStart w:id="433" w:name="_Toc28191"/>
      <w:bookmarkStart w:id="434" w:name="_Toc29937"/>
      <w:bookmarkStart w:id="435" w:name="_Toc12910"/>
      <w:bookmarkStart w:id="436" w:name="_Toc4491"/>
      <w:bookmarkStart w:id="437" w:name="_Toc8325"/>
      <w:bookmarkStart w:id="438" w:name="_Toc106719300"/>
      <w:bookmarkStart w:id="439" w:name="_Toc52137728"/>
      <w:bookmarkStart w:id="440" w:name="_Toc1053"/>
      <w:bookmarkStart w:id="441" w:name="_Toc22672"/>
      <w:bookmarkStart w:id="442" w:name="_Toc16648"/>
      <w:r>
        <w:rPr>
          <w:rFonts w:hint="eastAsia" w:ascii="黑体" w:hAnsi="黑体" w:eastAsia="黑体"/>
          <w:b w:val="0"/>
          <w:color w:val="000000" w:themeColor="text1"/>
          <w:sz w:val="28"/>
          <w:szCs w:val="28"/>
          <w:highlight w:val="none"/>
          <w14:textFill>
            <w14:solidFill>
              <w14:schemeClr w14:val="tx1"/>
            </w14:solidFill>
          </w14:textFill>
        </w:rPr>
        <w:t>1.总则</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43" w:name="_Toc26036"/>
      <w:bookmarkStart w:id="444" w:name="_Toc25462"/>
      <w:bookmarkStart w:id="445" w:name="_Toc8613"/>
      <w:bookmarkStart w:id="446" w:name="_Toc5"/>
      <w:bookmarkStart w:id="447" w:name="_Toc15322"/>
      <w:bookmarkStart w:id="448" w:name="_Toc5954"/>
      <w:bookmarkStart w:id="449" w:name="_Toc9711"/>
      <w:bookmarkStart w:id="450" w:name="_Toc24441"/>
      <w:bookmarkStart w:id="451" w:name="_Toc23114"/>
      <w:bookmarkStart w:id="452" w:name="_Toc13889"/>
      <w:bookmarkStart w:id="453" w:name="_Toc31598"/>
      <w:bookmarkStart w:id="454" w:name="_Toc15669"/>
      <w:bookmarkStart w:id="455" w:name="_Toc106719301"/>
      <w:bookmarkStart w:id="456" w:name="_Toc52137729"/>
      <w:r>
        <w:rPr>
          <w:rFonts w:hint="eastAsia" w:ascii="黑体" w:hAnsi="黑体" w:eastAsia="黑体"/>
          <w:b w:val="0"/>
          <w:color w:val="000000" w:themeColor="text1"/>
          <w:sz w:val="28"/>
          <w:szCs w:val="28"/>
          <w:highlight w:val="none"/>
          <w14:textFill>
            <w14:solidFill>
              <w14:schemeClr w14:val="tx1"/>
            </w14:solidFill>
          </w14:textFill>
        </w:rPr>
        <w:t>1.1.招标项目概况</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1.1.1.招标人和其委托的招标代理机构：见投标人须知前附表。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1.1.2.招标项目名称、报建编号和招标编号：见投标人须知前附表。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1.1.3.招标项目的建设地点：见投标人须知前附表。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1.1.4.招标项目的工程建设规模：见投标人须知前附表。</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57" w:name="_Toc23764"/>
      <w:bookmarkStart w:id="458" w:name="_Toc106719302"/>
      <w:bookmarkStart w:id="459" w:name="_Toc2478"/>
      <w:bookmarkStart w:id="460" w:name="_Toc19193"/>
      <w:bookmarkStart w:id="461" w:name="_Toc10709"/>
      <w:bookmarkStart w:id="462" w:name="_Toc6644"/>
      <w:bookmarkStart w:id="463" w:name="_Toc25855"/>
      <w:bookmarkStart w:id="464" w:name="_Toc9814"/>
      <w:bookmarkStart w:id="465" w:name="_Toc23019"/>
      <w:bookmarkStart w:id="466" w:name="_Toc1408"/>
      <w:bookmarkStart w:id="467" w:name="_Toc12301"/>
      <w:bookmarkStart w:id="468" w:name="_Toc19695"/>
      <w:bookmarkStart w:id="469" w:name="_Toc52137730"/>
      <w:bookmarkStart w:id="470" w:name="_Toc21902"/>
      <w:r>
        <w:rPr>
          <w:rFonts w:hint="eastAsia" w:ascii="黑体" w:hAnsi="黑体" w:eastAsia="黑体"/>
          <w:b w:val="0"/>
          <w:color w:val="000000" w:themeColor="text1"/>
          <w:sz w:val="28"/>
          <w:szCs w:val="28"/>
          <w:highlight w:val="none"/>
          <w14:textFill>
            <w14:solidFill>
              <w14:schemeClr w14:val="tx1"/>
            </w14:solidFill>
          </w14:textFill>
        </w:rPr>
        <w:t>1.2.</w:t>
      </w:r>
      <w:r>
        <w:rPr>
          <w:rFonts w:ascii="黑体" w:hAnsi="黑体" w:eastAsia="黑体"/>
          <w:b w:val="0"/>
          <w:color w:val="000000" w:themeColor="text1"/>
          <w:sz w:val="28"/>
          <w:szCs w:val="28"/>
          <w:highlight w:val="none"/>
          <w14:textFill>
            <w14:solidFill>
              <w14:schemeClr w14:val="tx1"/>
            </w14:solidFill>
          </w14:textFill>
        </w:rPr>
        <w:t>招标项目的资金来源和落实情况</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15"/>
        <w:tabs>
          <w:tab w:val="left" w:pos="567"/>
          <w:tab w:val="left" w:pos="1000"/>
        </w:tabs>
        <w:snapToGrid w:val="0"/>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资金来源和落实情况：见投标人须知前附表。</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71" w:name="_Toc106719303"/>
      <w:bookmarkStart w:id="472" w:name="_Toc23181"/>
      <w:bookmarkStart w:id="473" w:name="_Toc2601"/>
      <w:bookmarkStart w:id="474" w:name="_Toc30987"/>
      <w:bookmarkStart w:id="475" w:name="_Toc29284"/>
      <w:bookmarkStart w:id="476" w:name="_Toc13405"/>
      <w:bookmarkStart w:id="477" w:name="_Toc6570"/>
      <w:bookmarkStart w:id="478" w:name="_Toc8244"/>
      <w:bookmarkStart w:id="479" w:name="_Toc21350"/>
      <w:bookmarkStart w:id="480" w:name="_Toc14362"/>
      <w:bookmarkStart w:id="481" w:name="_Toc4995"/>
      <w:bookmarkStart w:id="482" w:name="_Toc52137731"/>
      <w:bookmarkStart w:id="483" w:name="_Toc10050"/>
      <w:bookmarkStart w:id="484" w:name="_Toc6125"/>
      <w:r>
        <w:rPr>
          <w:rFonts w:hint="eastAsia" w:ascii="黑体" w:hAnsi="黑体" w:eastAsia="黑体"/>
          <w:b w:val="0"/>
          <w:color w:val="000000" w:themeColor="text1"/>
          <w:sz w:val="28"/>
          <w:szCs w:val="28"/>
          <w:highlight w:val="none"/>
          <w14:textFill>
            <w14:solidFill>
              <w14:schemeClr w14:val="tx1"/>
            </w14:solidFill>
          </w14:textFill>
        </w:rPr>
        <w:t>1.3.</w:t>
      </w:r>
      <w:r>
        <w:rPr>
          <w:rFonts w:ascii="黑体" w:hAnsi="黑体" w:eastAsia="黑体"/>
          <w:b w:val="0"/>
          <w:color w:val="000000" w:themeColor="text1"/>
          <w:sz w:val="28"/>
          <w:szCs w:val="28"/>
          <w:highlight w:val="none"/>
          <w14:textFill>
            <w14:solidFill>
              <w14:schemeClr w14:val="tx1"/>
            </w14:solidFill>
          </w14:textFill>
        </w:rPr>
        <w:t>招标范围</w:t>
      </w:r>
      <w:r>
        <w:rPr>
          <w:rFonts w:hint="eastAsia" w:ascii="黑体" w:hAnsi="黑体" w:eastAsia="黑体"/>
          <w:b w:val="0"/>
          <w:color w:val="000000" w:themeColor="text1"/>
          <w:sz w:val="28"/>
          <w:szCs w:val="28"/>
          <w:highlight w:val="none"/>
          <w14:textFill>
            <w14:solidFill>
              <w14:schemeClr w14:val="tx1"/>
            </w14:solidFill>
          </w14:textFill>
        </w:rPr>
        <w:t>与内容</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勘察</w:t>
      </w:r>
      <w:r>
        <w:rPr>
          <w:rFonts w:ascii="黑体" w:hAnsi="黑体" w:eastAsia="黑体"/>
          <w:b w:val="0"/>
          <w:color w:val="000000" w:themeColor="text1"/>
          <w:sz w:val="28"/>
          <w:szCs w:val="28"/>
          <w:highlight w:val="none"/>
          <w14:textFill>
            <w14:solidFill>
              <w14:schemeClr w14:val="tx1"/>
            </w14:solidFill>
          </w14:textFill>
        </w:rPr>
        <w:t>服务期限和质量标准</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1.3.1.招标范围与内容：见投标人须知前附表。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本项目的中标人承担工程勘察的内容应包括满足设计和规范所要求的全部勘察报告和资料，以及工程施工所需要的配合服务。</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1.3.2.标段划分：见投标人须知前附表。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招标人对招标项目划分标段的，应当遵守招标投标法的有关规定，不得利用划分标段限制或者排斥潜在投标人。依法必须进行招标的项目的招标人不得利用划分标段规避招标。</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1.3.3.勘察</w:t>
      </w:r>
      <w:r>
        <w:rPr>
          <w:rFonts w:ascii="宋体" w:hAnsi="宋体" w:eastAsia="宋体"/>
          <w:color w:val="000000" w:themeColor="text1"/>
          <w:szCs w:val="21"/>
          <w:highlight w:val="none"/>
          <w14:textFill>
            <w14:solidFill>
              <w14:schemeClr w14:val="tx1"/>
            </w14:solidFill>
          </w14:textFill>
        </w:rPr>
        <w:t>服务期限</w:t>
      </w:r>
      <w:r>
        <w:rPr>
          <w:rFonts w:hint="eastAsia" w:ascii="宋体" w:hAnsi="宋体" w:eastAsia="宋体"/>
          <w:color w:val="000000" w:themeColor="text1"/>
          <w:szCs w:val="21"/>
          <w:highlight w:val="none"/>
          <w14:textFill>
            <w14:solidFill>
              <w14:schemeClr w14:val="tx1"/>
            </w14:solidFill>
          </w14:textFill>
        </w:rPr>
        <w:t>：见投标人须知前附表。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1.3.4.</w:t>
      </w:r>
      <w:r>
        <w:rPr>
          <w:rFonts w:ascii="宋体" w:hAnsi="宋体" w:eastAsia="宋体"/>
          <w:color w:val="000000" w:themeColor="text1"/>
          <w:szCs w:val="21"/>
          <w:highlight w:val="none"/>
          <w14:textFill>
            <w14:solidFill>
              <w14:schemeClr w14:val="tx1"/>
            </w14:solidFill>
          </w14:textFill>
        </w:rPr>
        <w:t>质量标准</w:t>
      </w:r>
      <w:r>
        <w:rPr>
          <w:rFonts w:hint="eastAsia" w:ascii="宋体" w:hAnsi="宋体" w:eastAsia="宋体"/>
          <w:color w:val="000000" w:themeColor="text1"/>
          <w:szCs w:val="21"/>
          <w:highlight w:val="none"/>
          <w14:textFill>
            <w14:solidFill>
              <w14:schemeClr w14:val="tx1"/>
            </w14:solidFill>
          </w14:textFill>
        </w:rPr>
        <w:t>：见投标人须知前附表。</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85" w:name="_Toc5418"/>
      <w:bookmarkStart w:id="486" w:name="_Toc17962"/>
      <w:bookmarkStart w:id="487" w:name="_Toc21749"/>
      <w:bookmarkStart w:id="488" w:name="_Toc24613"/>
      <w:bookmarkStart w:id="489" w:name="_Toc3731"/>
      <w:bookmarkStart w:id="490" w:name="_Toc4970"/>
      <w:bookmarkStart w:id="491" w:name="_Toc106719304"/>
      <w:bookmarkStart w:id="492" w:name="_Toc3147"/>
      <w:bookmarkStart w:id="493" w:name="_Toc3982"/>
      <w:bookmarkStart w:id="494" w:name="_Toc1510"/>
      <w:bookmarkStart w:id="495" w:name="_Toc3899"/>
      <w:bookmarkStart w:id="496" w:name="_Toc52137732"/>
      <w:bookmarkStart w:id="497" w:name="_Toc11616"/>
      <w:bookmarkStart w:id="498" w:name="_Toc8630"/>
      <w:r>
        <w:rPr>
          <w:rFonts w:hint="eastAsia" w:ascii="黑体" w:hAnsi="黑体" w:eastAsia="黑体"/>
          <w:b w:val="0"/>
          <w:color w:val="000000" w:themeColor="text1"/>
          <w:sz w:val="28"/>
          <w:szCs w:val="28"/>
          <w:highlight w:val="none"/>
          <w14:textFill>
            <w14:solidFill>
              <w14:schemeClr w14:val="tx1"/>
            </w14:solidFill>
          </w14:textFill>
        </w:rPr>
        <w:t>1.4.资格审查方式</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本招标项目招标人对投标人的资格审查方式：见投标人须知前附表。</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499" w:name="_Toc25752"/>
      <w:bookmarkStart w:id="500" w:name="_Toc3128"/>
      <w:bookmarkStart w:id="501" w:name="_Toc28137"/>
      <w:bookmarkStart w:id="502" w:name="_Toc9516"/>
      <w:bookmarkStart w:id="503" w:name="_Toc106719305"/>
      <w:bookmarkStart w:id="504" w:name="_Toc5671"/>
      <w:bookmarkStart w:id="505" w:name="_Toc22189"/>
      <w:bookmarkStart w:id="506" w:name="_Toc9382"/>
      <w:bookmarkStart w:id="507" w:name="_Toc52137733"/>
      <w:bookmarkStart w:id="508" w:name="_Toc31746"/>
      <w:bookmarkStart w:id="509" w:name="_Toc15744"/>
      <w:bookmarkStart w:id="510" w:name="_Toc10864"/>
      <w:bookmarkStart w:id="511" w:name="_Toc29030"/>
      <w:bookmarkStart w:id="512" w:name="_Toc26304"/>
      <w:r>
        <w:rPr>
          <w:rFonts w:hint="eastAsia" w:ascii="黑体" w:hAnsi="黑体" w:eastAsia="黑体"/>
          <w:b w:val="0"/>
          <w:color w:val="000000" w:themeColor="text1"/>
          <w:sz w:val="28"/>
          <w:szCs w:val="28"/>
          <w:highlight w:val="none"/>
          <w14:textFill>
            <w14:solidFill>
              <w14:schemeClr w14:val="tx1"/>
            </w14:solidFill>
          </w14:textFill>
        </w:rPr>
        <w:t>1.5.投标人资格条件要求</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Style w:val="62"/>
        <w:numPr>
          <w:ilvl w:val="0"/>
          <w:numId w:val="1"/>
        </w:numPr>
        <w:tabs>
          <w:tab w:val="left" w:pos="567"/>
          <w:tab w:val="left" w:pos="1000"/>
        </w:tabs>
        <w:snapToGrid w:val="0"/>
        <w:spacing w:line="360" w:lineRule="auto"/>
        <w:ind w:firstLine="424" w:firstLineChars="202"/>
        <w:jc w:val="left"/>
        <w:rPr>
          <w:rFonts w:ascii="宋体" w:hAnsi="宋体" w:cs="宋体"/>
          <w:vanish/>
          <w:color w:val="000000" w:themeColor="text1"/>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1.5.1.为履行本招标项目合同的目的，投标人必须是法人或其他组织，至少应具备下列主体资格：</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（1）投标人应当具有住房城乡建设主管部门颁发的工程勘察资质证书，并按规定的等级和范围参加工程项目勘察投标活动。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（2）各种形式的投标联合体各方应符合上述要求。招标人不得强制投标人组成联合体共同投标，不得限制投标人组成联合体参与投标。</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（3）招标人根据工程项目实际情况，在投标人须知前附表中明确对合格投标人资格条件要求，包括投标人的资质条件、人员、业绩和信用等。</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1.5.2.为具有被授予合同的资格，投标人应按照招标文件第七章投标文件格式规定的资格审查文件内容和格式要求（包括脚注要求和说明）提供令招标人满意的资格文件，以证明其符合投标合格条件和具有履行合同的能力。为此，所提交的投标文件中应包括第1.5.1款和前附表所列的资质条件、人员、业绩和信用等审查资料。</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1.5.3.投标人须知前附表规定接受联合体投标时，除按本须知第1.5.1、1.5.2款提供组成联合体每一成员的资料外，还应符合以下规定要求：</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联合体各方应按招标文件提供的格式签订联合体协议书，明确联合体牵头人和各方权利义务，并承诺就中标项目向招标人承担连带责任。联合体牵头人代表所有联合体成员承担责任和接受指令。并且由联合体牵头人负责整个合同的全面实施，包括只有牵头人可以支付费用等。</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（2）由同一专业的单位组成的联合体，按照资质等级较低的单位确定资质等级。</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（3）联合体各方不得再以自己名义单独或参加其他联合体在同一标段中投标，否则各相关投标均无效。</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联合体各方应分别按照本招标文件的要求，填写及签署投标文件中的相应表格，并由联合体牵头人负责对联合体各成员的资料进行统一汇总后一并提交给招标人；联合体牵头人所提交的投标文件应认为已代表了联合体各成员的真实情况。</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（5）尽管委任了联合体牵头人，但联合体各成员在投标、签订合同与履行合同过程中，仍负有连带的和各自的法律责任。</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1.5.4.投标人（包括联合体成员）不得存在下列情形之一：</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（1）为招标人不具有独立法人资格的附属机构（单位）；</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（2）与招标人存在利害关系且可能影响招标公正性；</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（3）与本招标项目的其他投标人为同一个单位负责人；</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（4）与本招标项目的其他投标人存在控股、管理关系；</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（5）为本招标项目的代建人；</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（6）为本招标项目的招标代理机构；</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（7）与本招标项目的代建人或招标代理机构同为一个法定代表人；</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（8）与本招标项目的代建人或招标代理机构存在控股或参股关系；</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（9）被依法暂停或取消投标资格；</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（10）被责令停产停业、暂扣或者吊销许可证、暂扣或者吊销执照；</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（11）进入清算程序，或被宣告破产，或其他丧失履约能力的情形；</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（12）在最近三年内发生重大勘察质量问题（以相关行业主管部门的行政处罚决定或司法机关出具的有关法律文书为准）；</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（13）被市场监督管理部门在国家企业信用信息公示系统中列入严重违法失信名单（不包括分支机构）；</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（14）被最高人民法院在“信用中国”网站（www.creditchina.gov.cn）或各级信用信息共享平台中列入失信被执行人名单（不包括分支机构）；</w:t>
      </w:r>
      <w:r>
        <w:rPr>
          <w:rFonts w:hint="eastAsia" w:ascii="宋体" w:hAnsi="宋体" w:eastAsia="宋体"/>
          <w:color w:val="000000" w:themeColor="text1"/>
          <w:szCs w:val="21"/>
          <w:highlight w:val="none"/>
          <w:lang w:val="en-US" w:eastAsia="zh-CN"/>
          <w14:textFill>
            <w14:solidFill>
              <w14:schemeClr w14:val="tx1"/>
            </w14:solidFill>
          </w14:textFill>
        </w:rPr>
        <w:t>人民法院裁定批准重整计划、认可和解协议的除外；</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（15）在近三年内投标人（不包括分支机构）或其法定代表人、拟委任的项目负责人有行贿犯罪行为的（以“中国裁判文书网”网址：</w:t>
      </w:r>
      <w:r>
        <w:rPr>
          <w:rFonts w:ascii="宋体" w:hAnsi="宋体" w:eastAsia="宋体"/>
          <w:color w:val="000000" w:themeColor="text1"/>
          <w:szCs w:val="21"/>
          <w:highlight w:val="none"/>
          <w14:textFill>
            <w14:solidFill>
              <w14:schemeClr w14:val="tx1"/>
            </w14:solidFill>
          </w14:textFill>
        </w:rPr>
        <w:t>http://wenshu.court. gov.cn/</w:t>
      </w:r>
      <w:r>
        <w:rPr>
          <w:rFonts w:hint="eastAsia" w:ascii="宋体" w:hAnsi="宋体" w:eastAsia="宋体"/>
          <w:color w:val="000000" w:themeColor="text1"/>
          <w:szCs w:val="21"/>
          <w:highlight w:val="none"/>
          <w14:textFill>
            <w14:solidFill>
              <w14:schemeClr w14:val="tx1"/>
            </w14:solidFill>
          </w14:textFill>
        </w:rPr>
        <w:t>的查询结果为准）；</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16</w:t>
      </w:r>
      <w:r>
        <w:rPr>
          <w:rFonts w:hint="eastAsia" w:ascii="宋体" w:hAnsi="宋体" w:eastAsia="宋体"/>
          <w:color w:val="000000" w:themeColor="text1"/>
          <w:szCs w:val="21"/>
          <w:highlight w:val="none"/>
          <w14:textFill>
            <w14:solidFill>
              <w14:schemeClr w14:val="tx1"/>
            </w14:solidFill>
          </w14:textFill>
        </w:rPr>
        <w:t>）采取挂靠等非法手段，以多个投标人名义进行围标的；</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17</w:t>
      </w:r>
      <w:r>
        <w:rPr>
          <w:rFonts w:hint="eastAsia" w:ascii="宋体" w:hAnsi="宋体" w:eastAsia="宋体"/>
          <w:color w:val="000000" w:themeColor="text1"/>
          <w:szCs w:val="21"/>
          <w:highlight w:val="none"/>
          <w14:textFill>
            <w14:solidFill>
              <w14:schemeClr w14:val="tx1"/>
            </w14:solidFill>
          </w14:textFill>
        </w:rPr>
        <w:t xml:space="preserve">）采取借用多家企业资质参与投标的手段进行围标的； </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）投标人之间约定中标人或者约定部分投标人放弃投标的；</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9</w:t>
      </w:r>
      <w:r>
        <w:rPr>
          <w:rFonts w:hint="eastAsia" w:ascii="宋体" w:hAnsi="宋体" w:eastAsia="宋体"/>
          <w:color w:val="000000" w:themeColor="text1"/>
          <w:szCs w:val="21"/>
          <w:highlight w:val="none"/>
          <w14:textFill>
            <w14:solidFill>
              <w14:schemeClr w14:val="tx1"/>
            </w14:solidFill>
          </w14:textFill>
        </w:rPr>
        <w:t>）投标人之间相互约定给予未中标的投标人费用补偿的；</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20</w:t>
      </w:r>
      <w:r>
        <w:rPr>
          <w:rFonts w:hint="eastAsia" w:ascii="宋体" w:hAnsi="宋体" w:eastAsia="宋体"/>
          <w:color w:val="000000" w:themeColor="text1"/>
          <w:szCs w:val="21"/>
          <w:highlight w:val="none"/>
          <w14:textFill>
            <w14:solidFill>
              <w14:schemeClr w14:val="tx1"/>
            </w14:solidFill>
          </w14:textFill>
        </w:rPr>
        <w:t>）不同投标人的投标文件存在异常一致；</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21</w:t>
      </w:r>
      <w:r>
        <w:rPr>
          <w:rFonts w:hint="eastAsia" w:ascii="宋体" w:hAnsi="宋体" w:eastAsia="宋体"/>
          <w:color w:val="000000" w:themeColor="text1"/>
          <w:szCs w:val="21"/>
          <w:highlight w:val="none"/>
          <w14:textFill>
            <w14:solidFill>
              <w14:schemeClr w14:val="tx1"/>
            </w14:solidFill>
          </w14:textFill>
        </w:rPr>
        <w:t>）不同投标人的投标文件由同一单位或者同一个人编制的；</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22</w:t>
      </w:r>
      <w:r>
        <w:rPr>
          <w:rFonts w:hint="eastAsia" w:ascii="宋体" w:hAnsi="宋体" w:eastAsia="宋体"/>
          <w:color w:val="000000" w:themeColor="text1"/>
          <w:szCs w:val="21"/>
          <w:highlight w:val="none"/>
          <w14:textFill>
            <w14:solidFill>
              <w14:schemeClr w14:val="tx1"/>
            </w14:solidFill>
          </w14:textFill>
        </w:rPr>
        <w:t>）在资格审查或开标时，不同投标人的投标资料（包括电子资料）相互混装的；</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23</w:t>
      </w:r>
      <w:r>
        <w:rPr>
          <w:rFonts w:hint="eastAsia" w:ascii="宋体" w:hAnsi="宋体" w:eastAsia="宋体"/>
          <w:color w:val="000000" w:themeColor="text1"/>
          <w:szCs w:val="21"/>
          <w:highlight w:val="none"/>
          <w14:textFill>
            <w14:solidFill>
              <w14:schemeClr w14:val="tx1"/>
            </w14:solidFill>
          </w14:textFill>
        </w:rPr>
        <w:t>）不同投标人的投标保证金来自于同一企业或个人账户；或不同投标人的投标保函由同一单位或个人办理的；</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24</w:t>
      </w:r>
      <w:r>
        <w:rPr>
          <w:rFonts w:hint="eastAsia" w:ascii="宋体" w:hAnsi="宋体" w:eastAsia="宋体"/>
          <w:color w:val="000000" w:themeColor="text1"/>
          <w:szCs w:val="21"/>
          <w:highlight w:val="none"/>
          <w14:textFill>
            <w14:solidFill>
              <w14:schemeClr w14:val="tx1"/>
            </w14:solidFill>
          </w14:textFill>
        </w:rPr>
        <w:t>）法律法规或投标人须知前附表规定的其他情形。</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13" w:name="_Toc29196"/>
      <w:bookmarkStart w:id="514" w:name="_Toc300038927"/>
      <w:bookmarkStart w:id="515" w:name="_Toc2700"/>
      <w:bookmarkStart w:id="516" w:name="_Toc516753479"/>
      <w:bookmarkStart w:id="517" w:name="_Toc15371"/>
      <w:bookmarkStart w:id="518" w:name="_Toc16625"/>
      <w:bookmarkStart w:id="519" w:name="_Toc27446"/>
      <w:bookmarkStart w:id="520" w:name="_Toc15760"/>
      <w:bookmarkStart w:id="521" w:name="_Toc9662"/>
      <w:bookmarkStart w:id="522" w:name="_Toc106719306"/>
      <w:bookmarkStart w:id="523" w:name="_Toc13557"/>
      <w:bookmarkStart w:id="524" w:name="_Toc15816"/>
      <w:bookmarkStart w:id="525" w:name="_Toc16281"/>
      <w:bookmarkStart w:id="526" w:name="_Toc10795"/>
      <w:bookmarkStart w:id="527" w:name="_Toc27737"/>
      <w:bookmarkStart w:id="528" w:name="_Toc19988"/>
      <w:bookmarkStart w:id="529" w:name="_Toc52137734"/>
      <w:bookmarkStart w:id="530" w:name="_Toc19878"/>
      <w:r>
        <w:rPr>
          <w:rFonts w:hint="eastAsia" w:ascii="黑体" w:hAnsi="黑体" w:eastAsia="黑体"/>
          <w:b w:val="0"/>
          <w:color w:val="000000" w:themeColor="text1"/>
          <w:sz w:val="28"/>
          <w:szCs w:val="28"/>
          <w:highlight w:val="none"/>
          <w14:textFill>
            <w14:solidFill>
              <w14:schemeClr w14:val="tx1"/>
            </w14:solidFill>
          </w14:textFill>
        </w:rPr>
        <w:t>1.6.费用</w:t>
      </w:r>
      <w:bookmarkEnd w:id="513"/>
      <w:bookmarkEnd w:id="514"/>
      <w:bookmarkEnd w:id="515"/>
      <w:bookmarkEnd w:id="516"/>
      <w:r>
        <w:rPr>
          <w:rFonts w:hint="eastAsia" w:ascii="黑体" w:hAnsi="黑体" w:eastAsia="黑体"/>
          <w:b w:val="0"/>
          <w:color w:val="000000" w:themeColor="text1"/>
          <w:sz w:val="28"/>
          <w:szCs w:val="28"/>
          <w:highlight w:val="none"/>
          <w14:textFill>
            <w14:solidFill>
              <w14:schemeClr w14:val="tx1"/>
            </w14:solidFill>
          </w14:textFill>
        </w:rPr>
        <w:t>承担</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15"/>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投标人应承担己方投标文件编制与递交等参加本招标活动所涉及的一切费用。</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31" w:name="_Toc4553"/>
      <w:bookmarkStart w:id="532" w:name="_Toc24691"/>
      <w:bookmarkStart w:id="533" w:name="_Toc14797"/>
      <w:bookmarkStart w:id="534" w:name="_Toc1586"/>
      <w:bookmarkStart w:id="535" w:name="_Toc25457"/>
      <w:bookmarkStart w:id="536" w:name="_Toc8731"/>
      <w:bookmarkStart w:id="537" w:name="_Toc52137735"/>
      <w:bookmarkStart w:id="538" w:name="_Toc3083"/>
      <w:bookmarkStart w:id="539" w:name="_Toc4193"/>
      <w:bookmarkStart w:id="540" w:name="_Toc26927"/>
      <w:bookmarkStart w:id="541" w:name="_Toc27046"/>
      <w:bookmarkStart w:id="542" w:name="_Toc106719307"/>
      <w:bookmarkStart w:id="543" w:name="_Toc27342"/>
      <w:bookmarkStart w:id="544" w:name="_Toc104"/>
      <w:bookmarkStart w:id="545" w:name="_Toc300038928"/>
      <w:bookmarkStart w:id="546" w:name="_Toc516753480"/>
      <w:bookmarkStart w:id="547" w:name="_Toc79"/>
      <w:bookmarkStart w:id="548" w:name="_Toc13376"/>
      <w:r>
        <w:rPr>
          <w:rFonts w:hint="eastAsia" w:ascii="黑体" w:hAnsi="黑体" w:eastAsia="黑体"/>
          <w:b w:val="0"/>
          <w:color w:val="000000" w:themeColor="text1"/>
          <w:sz w:val="28"/>
          <w:szCs w:val="28"/>
          <w:highlight w:val="none"/>
          <w14:textFill>
            <w14:solidFill>
              <w14:schemeClr w14:val="tx1"/>
            </w14:solidFill>
          </w14:textFill>
        </w:rPr>
        <w:t>1.7.</w:t>
      </w:r>
      <w:r>
        <w:rPr>
          <w:rFonts w:ascii="黑体" w:hAnsi="黑体" w:eastAsia="黑体"/>
          <w:b w:val="0"/>
          <w:color w:val="000000" w:themeColor="text1"/>
          <w:sz w:val="28"/>
          <w:szCs w:val="28"/>
          <w:highlight w:val="none"/>
          <w14:textFill>
            <w14:solidFill>
              <w14:schemeClr w14:val="tx1"/>
            </w14:solidFill>
          </w14:textFill>
        </w:rPr>
        <w:t>保密</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参与招标投标活动的各方应对招标文件和投标文件中的商业和技术等秘密保密，否则应承担相应的法律责任。</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49" w:name="_Toc106719308"/>
      <w:bookmarkStart w:id="550" w:name="_Toc4260"/>
      <w:bookmarkStart w:id="551" w:name="_Toc8682"/>
      <w:bookmarkStart w:id="552" w:name="_Toc11998"/>
      <w:bookmarkStart w:id="553" w:name="_Toc21038"/>
      <w:bookmarkStart w:id="554" w:name="_Toc52137736"/>
      <w:bookmarkStart w:id="555" w:name="_Toc6945"/>
      <w:bookmarkStart w:id="556" w:name="_Toc29187"/>
      <w:bookmarkStart w:id="557" w:name="_Toc29862"/>
      <w:bookmarkStart w:id="558" w:name="_Toc29807"/>
      <w:bookmarkStart w:id="559" w:name="_Toc8318"/>
      <w:bookmarkStart w:id="560" w:name="_Toc29406"/>
      <w:bookmarkStart w:id="561" w:name="_Toc5761"/>
      <w:bookmarkStart w:id="562" w:name="_Toc20208"/>
      <w:r>
        <w:rPr>
          <w:rFonts w:hint="eastAsia" w:ascii="黑体" w:hAnsi="黑体" w:eastAsia="黑体"/>
          <w:b w:val="0"/>
          <w:color w:val="000000" w:themeColor="text1"/>
          <w:sz w:val="28"/>
          <w:szCs w:val="28"/>
          <w:highlight w:val="none"/>
          <w14:textFill>
            <w14:solidFill>
              <w14:schemeClr w14:val="tx1"/>
            </w14:solidFill>
          </w14:textFill>
        </w:rPr>
        <w:t>1.8.语言及度量衡单位</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1.8.1.投标人和招标人之间对投标有关的所有往来通知、函件和投标文件均使用中文。投标人随投标文件提供的证明文件和资料为其他语言的，必须附中文译文，解释这些文件，应以中文为准。</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1.8.2.除技术规范另有规定外，投标文件使用的度量衡单位均应采用中华人民共和国法定计量单位。</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63" w:name="_Toc31101"/>
      <w:bookmarkStart w:id="564" w:name="_Toc9609"/>
      <w:bookmarkStart w:id="565" w:name="_Toc3441"/>
      <w:bookmarkStart w:id="566" w:name="_Toc15126"/>
      <w:bookmarkStart w:id="567" w:name="_Toc24366"/>
      <w:bookmarkStart w:id="568" w:name="_Toc20811"/>
      <w:bookmarkStart w:id="569" w:name="_Toc18474"/>
      <w:bookmarkStart w:id="570" w:name="_Toc31737"/>
      <w:bookmarkStart w:id="571" w:name="_Toc106719309"/>
      <w:bookmarkStart w:id="572" w:name="_Toc21062"/>
      <w:bookmarkStart w:id="573" w:name="_Toc22770"/>
      <w:bookmarkStart w:id="574" w:name="_Toc8563"/>
      <w:bookmarkStart w:id="575" w:name="_Toc24935"/>
      <w:bookmarkStart w:id="576" w:name="_Toc52137737"/>
      <w:r>
        <w:rPr>
          <w:rFonts w:hint="eastAsia" w:ascii="黑体" w:hAnsi="黑体" w:eastAsia="黑体"/>
          <w:b w:val="0"/>
          <w:color w:val="000000" w:themeColor="text1"/>
          <w:sz w:val="28"/>
          <w:szCs w:val="28"/>
          <w:highlight w:val="none"/>
          <w14:textFill>
            <w14:solidFill>
              <w14:schemeClr w14:val="tx1"/>
            </w14:solidFill>
          </w14:textFill>
        </w:rPr>
        <w:t>1.9.踏勘现场</w:t>
      </w:r>
      <w:bookmarkEnd w:id="545"/>
      <w:r>
        <w:rPr>
          <w:rFonts w:hint="eastAsia" w:ascii="黑体" w:hAnsi="黑体" w:eastAsia="黑体"/>
          <w:b w:val="0"/>
          <w:color w:val="000000" w:themeColor="text1"/>
          <w:sz w:val="28"/>
          <w:szCs w:val="28"/>
          <w:highlight w:val="none"/>
          <w14:textFill>
            <w14:solidFill>
              <w14:schemeClr w14:val="tx1"/>
            </w14:solidFill>
          </w14:textFill>
        </w:rPr>
        <w:t>和标前会议</w:t>
      </w:r>
      <w:bookmarkEnd w:id="546"/>
      <w:bookmarkEnd w:id="547"/>
      <w:bookmarkEnd w:id="548"/>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1.9.1.投标人应对工程现场和其周围环境进行踏勘，以便在投标前获取有关编制投标文件和签署实施工程的勘察合同所需的各项资料。投标人应承担现场考察的责任、风险和费用；除招标人原因外，投标人自行负责在踏勘现场中所发生的人员伤亡和财产损失。招标人在投标人须知前附表规定的时间和地点组织投标人踏勘现场或标前会议的，投标人应派人准时参加，部分投标人未按时参加踏勘现场或标前会议的，不影响踏勘现场或标前会议的正常进行。如招标人决定不组织投标人踏勘现场的，投标人可以自行到现场踏勘。现场踏勘或标前会议均不需要点名或签到。</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1.9.2.招标人向投标人提供有关现场的资料和数据，是招标人现有的能使投标人利用的资料，但招标人对投标人由此而做出的推论、理解和结论概不负责。</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1.9.3.投标人在查阅招标文件和踏勘现场后，可以在标前会议上提出要求澄清问题。但所有问题都应以投标人须知前附表规定的方式提交给招标人，招标人视情况做出澄清和解答，如澄清和解答对其他</w:t>
      </w:r>
      <w:r>
        <w:rPr>
          <w:rFonts w:hint="eastAsia" w:ascii="宋体" w:hAnsi="宋体" w:eastAsia="宋体"/>
          <w:color w:val="000000" w:themeColor="text1"/>
          <w:szCs w:val="21"/>
          <w:highlight w:val="none"/>
          <w:lang w:val="en-US" w:eastAsia="zh-CN"/>
          <w14:textFill>
            <w14:solidFill>
              <w14:schemeClr w14:val="tx1"/>
            </w14:solidFill>
          </w14:textFill>
        </w:rPr>
        <w:t>投标</w:t>
      </w:r>
      <w:r>
        <w:rPr>
          <w:rFonts w:hint="eastAsia" w:ascii="宋体" w:hAnsi="宋体" w:eastAsia="宋体"/>
          <w:color w:val="000000" w:themeColor="text1"/>
          <w:szCs w:val="21"/>
          <w:highlight w:val="none"/>
          <w14:textFill>
            <w14:solidFill>
              <w14:schemeClr w14:val="tx1"/>
            </w14:solidFill>
          </w14:textFill>
        </w:rPr>
        <w:t>人编制投标文件有影响的，招标人将并将此澄清和解答以投标人须知前附表规定的方式发给所有投标人。</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77" w:name="_Toc11153"/>
      <w:bookmarkStart w:id="578" w:name="_Toc516753481"/>
      <w:bookmarkStart w:id="579" w:name="_Toc27070"/>
      <w:bookmarkStart w:id="580" w:name="_Toc52137738"/>
      <w:bookmarkStart w:id="581" w:name="_Toc300038929"/>
      <w:bookmarkStart w:id="582" w:name="_Toc5197"/>
      <w:bookmarkStart w:id="583" w:name="_Toc7087"/>
      <w:bookmarkStart w:id="584" w:name="_Toc11100"/>
      <w:bookmarkStart w:id="585" w:name="_Toc17670"/>
      <w:bookmarkStart w:id="586" w:name="_Toc2809"/>
      <w:bookmarkStart w:id="587" w:name="_Toc28985"/>
      <w:bookmarkStart w:id="588" w:name="_Toc31634"/>
      <w:bookmarkStart w:id="589" w:name="_Toc106719310"/>
      <w:bookmarkStart w:id="590" w:name="_Toc17991"/>
      <w:bookmarkStart w:id="591" w:name="_Toc22858"/>
      <w:bookmarkStart w:id="592" w:name="_Toc3668"/>
      <w:bookmarkStart w:id="593" w:name="_Toc6168"/>
      <w:bookmarkStart w:id="594" w:name="_Toc23915"/>
      <w:r>
        <w:rPr>
          <w:rFonts w:hint="eastAsia" w:ascii="黑体" w:hAnsi="黑体" w:eastAsia="黑体"/>
          <w:b w:val="0"/>
          <w:color w:val="000000" w:themeColor="text1"/>
          <w:sz w:val="28"/>
          <w:szCs w:val="28"/>
          <w:highlight w:val="none"/>
          <w14:textFill>
            <w14:solidFill>
              <w14:schemeClr w14:val="tx1"/>
            </w14:solidFill>
          </w14:textFill>
        </w:rPr>
        <w:t>1.10.</w:t>
      </w:r>
      <w:bookmarkEnd w:id="577"/>
      <w:bookmarkEnd w:id="578"/>
      <w:bookmarkEnd w:id="579"/>
      <w:bookmarkEnd w:id="580"/>
      <w:bookmarkEnd w:id="581"/>
      <w:bookmarkStart w:id="595" w:name="_Toc30096"/>
      <w:bookmarkStart w:id="596" w:name="_Toc375032064"/>
      <w:r>
        <w:rPr>
          <w:rFonts w:hint="eastAsia" w:ascii="黑体" w:hAnsi="黑体" w:eastAsia="黑体"/>
          <w:b w:val="0"/>
          <w:color w:val="000000" w:themeColor="text1"/>
          <w:sz w:val="28"/>
          <w:szCs w:val="28"/>
          <w:highlight w:val="none"/>
          <w14:textFill>
            <w14:solidFill>
              <w14:schemeClr w14:val="tx1"/>
            </w14:solidFill>
          </w14:textFill>
        </w:rPr>
        <w:t>勘察成果质量要求</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中标人应当按照国家有关规定和勘察合同的约定进行勘察和提交勘察成果，其勘察成果必须符合勘察标准和规范要求，并由</w:t>
      </w:r>
      <w:r>
        <w:rPr>
          <w:rFonts w:ascii="宋体" w:hAnsi="宋体" w:eastAsia="宋体"/>
          <w:color w:val="000000" w:themeColor="text1"/>
          <w:szCs w:val="21"/>
          <w:highlight w:val="none"/>
          <w14:textFill>
            <w14:solidFill>
              <w14:schemeClr w14:val="tx1"/>
            </w14:solidFill>
          </w14:textFill>
        </w:rPr>
        <w:t>工程勘察企业的法定代表人、</w:t>
      </w:r>
      <w:r>
        <w:rPr>
          <w:rFonts w:hint="eastAsia" w:ascii="宋体" w:hAnsi="宋体" w:eastAsia="宋体"/>
          <w:color w:val="000000" w:themeColor="text1"/>
          <w:szCs w:val="21"/>
          <w:highlight w:val="none"/>
          <w14:textFill>
            <w14:solidFill>
              <w14:schemeClr w14:val="tx1"/>
            </w14:solidFill>
          </w14:textFill>
        </w:rPr>
        <w:t>勘察</w:t>
      </w:r>
      <w:r>
        <w:rPr>
          <w:rFonts w:ascii="宋体" w:hAnsi="宋体" w:eastAsia="宋体"/>
          <w:color w:val="000000" w:themeColor="text1"/>
          <w:szCs w:val="21"/>
          <w:highlight w:val="none"/>
          <w14:textFill>
            <w14:solidFill>
              <w14:schemeClr w14:val="tx1"/>
            </w14:solidFill>
          </w14:textFill>
        </w:rPr>
        <w:t>项目负责人、审核人、审定人等相关人员在勘察文件上签字或者盖章，并对勘察质量负责</w:t>
      </w:r>
      <w:r>
        <w:rPr>
          <w:rFonts w:hint="eastAsia" w:ascii="宋体" w:hAnsi="宋体" w:eastAsia="宋体"/>
          <w:color w:val="000000" w:themeColor="text1"/>
          <w:szCs w:val="21"/>
          <w:highlight w:val="none"/>
          <w14:textFill>
            <w14:solidFill>
              <w14:schemeClr w14:val="tx1"/>
            </w14:solidFill>
          </w14:textFill>
        </w:rPr>
        <w:t>；由于勘察成果不实或虚假导致重大设计变更、造成招标人的工程费用增加的，勘察人应赔偿招标人由此引起的损失，但其赔偿总额不超过勘察费总额（扣除税费）。</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597" w:name="_Toc30638"/>
      <w:bookmarkStart w:id="598" w:name="_Toc3733"/>
      <w:bookmarkStart w:id="599" w:name="_Toc25211"/>
      <w:bookmarkStart w:id="600" w:name="_Toc23645"/>
      <w:bookmarkStart w:id="601" w:name="_Toc25770"/>
      <w:bookmarkStart w:id="602" w:name="_Toc12489"/>
      <w:bookmarkStart w:id="603" w:name="_Toc17735"/>
      <w:bookmarkStart w:id="604" w:name="_Toc15178"/>
      <w:bookmarkStart w:id="605" w:name="_Toc106719311"/>
      <w:bookmarkStart w:id="606" w:name="_Toc29669"/>
      <w:bookmarkStart w:id="607" w:name="_Toc52137739"/>
      <w:bookmarkStart w:id="608" w:name="_Toc21127"/>
      <w:bookmarkStart w:id="609" w:name="_Toc29428"/>
      <w:bookmarkStart w:id="610" w:name="_Toc31176"/>
      <w:bookmarkStart w:id="611" w:name="_Toc3874"/>
      <w:bookmarkStart w:id="612" w:name="_Toc23148"/>
      <w:bookmarkStart w:id="613" w:name="_Toc516753482"/>
      <w:bookmarkStart w:id="614" w:name="_Toc300038930"/>
      <w:r>
        <w:rPr>
          <w:rFonts w:hint="eastAsia" w:ascii="黑体" w:hAnsi="黑体" w:eastAsia="黑体"/>
          <w:b w:val="0"/>
          <w:color w:val="000000" w:themeColor="text1"/>
          <w:sz w:val="28"/>
          <w:szCs w:val="28"/>
          <w:highlight w:val="none"/>
          <w14:textFill>
            <w14:solidFill>
              <w14:schemeClr w14:val="tx1"/>
            </w14:solidFill>
          </w14:textFill>
        </w:rPr>
        <w:t>2.招标文件</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15" w:name="_Toc30064"/>
      <w:bookmarkStart w:id="616" w:name="_Toc31820"/>
      <w:bookmarkStart w:id="617" w:name="_Toc31914"/>
      <w:bookmarkStart w:id="618" w:name="_Toc18715"/>
      <w:bookmarkStart w:id="619" w:name="_Toc6551"/>
      <w:bookmarkStart w:id="620" w:name="_Toc27669"/>
      <w:bookmarkStart w:id="621" w:name="_Toc16990"/>
      <w:bookmarkStart w:id="622" w:name="_Toc516753483"/>
      <w:bookmarkStart w:id="623" w:name="_Toc17774"/>
      <w:bookmarkStart w:id="624" w:name="_Toc291"/>
      <w:bookmarkStart w:id="625" w:name="_Toc7421"/>
      <w:bookmarkStart w:id="626" w:name="_Toc106719312"/>
      <w:bookmarkStart w:id="627" w:name="_Toc9925"/>
      <w:bookmarkStart w:id="628" w:name="_Toc52137740"/>
      <w:bookmarkStart w:id="629" w:name="_Toc29280"/>
      <w:bookmarkStart w:id="630" w:name="_Toc300038931"/>
      <w:bookmarkStart w:id="631" w:name="_Toc26587"/>
      <w:bookmarkStart w:id="632" w:name="_Toc29774"/>
      <w:r>
        <w:rPr>
          <w:rFonts w:hint="eastAsia" w:ascii="黑体" w:hAnsi="黑体" w:eastAsia="黑体"/>
          <w:b w:val="0"/>
          <w:color w:val="000000" w:themeColor="text1"/>
          <w:sz w:val="28"/>
          <w:szCs w:val="28"/>
          <w:highlight w:val="none"/>
          <w14:textFill>
            <w14:solidFill>
              <w14:schemeClr w14:val="tx1"/>
            </w14:solidFill>
          </w14:textFill>
        </w:rPr>
        <w:t>2.1.招标文件的组成</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2.1.1.招标文件包括下列内容：</w:t>
      </w:r>
    </w:p>
    <w:p>
      <w:pPr>
        <w:pStyle w:val="15"/>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第一章 招标公告/投标邀请书</w:t>
      </w:r>
    </w:p>
    <w:p>
      <w:pPr>
        <w:pStyle w:val="15"/>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第二章 投标人须知</w:t>
      </w:r>
    </w:p>
    <w:p>
      <w:pPr>
        <w:pStyle w:val="15"/>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第三章 评标办法</w:t>
      </w:r>
    </w:p>
    <w:p>
      <w:pPr>
        <w:pStyle w:val="15"/>
        <w:spacing w:line="360" w:lineRule="auto"/>
        <w:ind w:firstLine="424" w:firstLineChars="202"/>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第四章 定标</w:t>
      </w:r>
      <w:r>
        <w:rPr>
          <w:rFonts w:hint="eastAsia" w:ascii="宋体" w:hAnsi="宋体" w:eastAsia="宋体"/>
          <w:color w:val="000000" w:themeColor="text1"/>
          <w:szCs w:val="21"/>
          <w:highlight w:val="none"/>
          <w:lang w:val="en-US" w:eastAsia="zh-CN"/>
          <w14:textFill>
            <w14:solidFill>
              <w14:schemeClr w14:val="tx1"/>
            </w14:solidFill>
          </w14:textFill>
        </w:rPr>
        <w:t>方案</w:t>
      </w:r>
    </w:p>
    <w:p>
      <w:pPr>
        <w:pStyle w:val="15"/>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第五章 合同条款和格式</w:t>
      </w:r>
    </w:p>
    <w:p>
      <w:pPr>
        <w:pStyle w:val="15"/>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第六章 发包人要求</w:t>
      </w:r>
    </w:p>
    <w:p>
      <w:pPr>
        <w:pStyle w:val="15"/>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第七章 投标文件格式</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2.1.2.除本投标人须知正文第2.1.1款所述的招标文件内容外，招标人在招标期间、符合法定时间发出的答疑、澄清、修改或补充内容，均是招标文件的组成部分，对招标人和投标人起约束作用。当招标文件、招标文件的澄清、修改、补充等在同一内容的表述不一致时，以最后发出的文件为准。</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2.1.3.招标人应当按照有关行政主管部门发布的示范文本编制招标文件，不应擅自修改、补充条款，不得增设招标人有权废止评标结果或取消中标人中标资格的条款。招标公告（</w:t>
      </w:r>
      <w:r>
        <w:rPr>
          <w:rFonts w:hint="eastAsia" w:ascii="宋体" w:hAnsi="宋体" w:eastAsia="宋体"/>
          <w:color w:val="000000" w:themeColor="text1"/>
          <w:szCs w:val="21"/>
          <w:highlight w:val="none"/>
          <w:lang w:eastAsia="zh-CN"/>
          <w14:textFill>
            <w14:solidFill>
              <w14:schemeClr w14:val="tx1"/>
            </w14:solidFill>
          </w14:textFill>
        </w:rPr>
        <w:t>投标邀请书</w:t>
      </w:r>
      <w:r>
        <w:rPr>
          <w:rFonts w:hint="eastAsia" w:ascii="宋体" w:hAnsi="宋体" w:eastAsia="宋体"/>
          <w:color w:val="000000" w:themeColor="text1"/>
          <w:szCs w:val="21"/>
          <w:highlight w:val="none"/>
          <w14:textFill>
            <w14:solidFill>
              <w14:schemeClr w14:val="tx1"/>
            </w14:solidFill>
          </w14:textFill>
        </w:rPr>
        <w:t>）和招标文件发布、答疑和澄清、截标、开标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评标、清标、确定中标人、</w:t>
      </w:r>
      <w:r>
        <w:rPr>
          <w:rFonts w:hint="eastAsia" w:ascii="宋体" w:hAnsi="宋体" w:eastAsia="宋体"/>
          <w:color w:val="000000" w:themeColor="text1"/>
          <w:szCs w:val="21"/>
          <w:highlight w:val="none"/>
          <w:lang w:eastAsia="zh-CN"/>
          <w14:textFill>
            <w14:solidFill>
              <w14:schemeClr w14:val="tx1"/>
            </w14:solidFill>
          </w14:textFill>
        </w:rPr>
        <w:t>中标</w:t>
      </w:r>
      <w:r>
        <w:rPr>
          <w:rFonts w:hint="eastAsia" w:ascii="宋体" w:hAnsi="宋体" w:eastAsia="宋体"/>
          <w:color w:val="000000" w:themeColor="text1"/>
          <w:szCs w:val="21"/>
          <w:highlight w:val="none"/>
          <w14:textFill>
            <w14:solidFill>
              <w14:schemeClr w14:val="tx1"/>
            </w14:solidFill>
          </w14:textFill>
        </w:rPr>
        <w:t>候选人公示</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中标结果公布等招投标活动必须符合有关规定。</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2.1.4.招标文件发出的同时，应当向招投标监督机构报备。经监督机构审查认为其内容存在不符合法律法规的规定的，招标人应及时改正。</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33" w:name="_Toc970"/>
      <w:bookmarkStart w:id="634" w:name="_Toc22391"/>
      <w:bookmarkStart w:id="635" w:name="_Toc14414"/>
      <w:bookmarkStart w:id="636" w:name="_Toc31823"/>
      <w:bookmarkStart w:id="637" w:name="_Toc4080"/>
      <w:bookmarkStart w:id="638" w:name="_Toc52137741"/>
      <w:bookmarkStart w:id="639" w:name="_Toc24934"/>
      <w:bookmarkStart w:id="640" w:name="_Toc429"/>
      <w:bookmarkStart w:id="641" w:name="_Toc30915"/>
      <w:bookmarkStart w:id="642" w:name="_Toc16411"/>
      <w:bookmarkStart w:id="643" w:name="_Toc2035"/>
      <w:bookmarkStart w:id="644" w:name="_Toc40"/>
      <w:bookmarkStart w:id="645" w:name="_Toc32677"/>
      <w:bookmarkStart w:id="646" w:name="_Toc516753484"/>
      <w:bookmarkStart w:id="647" w:name="_Toc30747"/>
      <w:bookmarkStart w:id="648" w:name="_Toc106719313"/>
      <w:bookmarkStart w:id="649" w:name="_Toc12021"/>
      <w:bookmarkStart w:id="650" w:name="_Toc300038932"/>
      <w:r>
        <w:rPr>
          <w:rFonts w:hint="eastAsia" w:ascii="黑体" w:hAnsi="黑体" w:eastAsia="黑体"/>
          <w:b w:val="0"/>
          <w:color w:val="000000" w:themeColor="text1"/>
          <w:sz w:val="28"/>
          <w:szCs w:val="28"/>
          <w:highlight w:val="none"/>
          <w14:textFill>
            <w14:solidFill>
              <w14:schemeClr w14:val="tx1"/>
            </w14:solidFill>
          </w14:textFill>
        </w:rPr>
        <w:t>2.2.招标文件的澄清</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2.2.1.投标人若对招标文件有任何疑问，应按投标人须知前附表规定的方式和规定的时间之前发送给招标人。招标人将根据投标人的要求对招标文件做出必要的澄清。招标人应在投标文件截止日期前15日按投标人须知前附表规定的方式将澄清的文件发给投标人。招标人不指明澄清问题的来源。</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2.2.2.</w:t>
      </w:r>
      <w:r>
        <w:rPr>
          <w:rFonts w:ascii="宋体" w:hAnsi="宋体" w:eastAsia="宋体"/>
          <w:color w:val="000000" w:themeColor="text1"/>
          <w:szCs w:val="21"/>
          <w:highlight w:val="none"/>
          <w14:textFill>
            <w14:solidFill>
              <w14:schemeClr w14:val="tx1"/>
            </w14:solidFill>
          </w14:textFill>
        </w:rPr>
        <w:t>除非招标人认为确有必要答复，否则，招标人有权拒绝回复投标人在规定的</w:t>
      </w:r>
      <w:r>
        <w:rPr>
          <w:rFonts w:hint="eastAsia" w:ascii="宋体" w:hAnsi="宋体" w:eastAsia="宋体"/>
          <w:color w:val="000000" w:themeColor="text1"/>
          <w:szCs w:val="21"/>
          <w:highlight w:val="none"/>
          <w14:textFill>
            <w14:solidFill>
              <w14:schemeClr w14:val="tx1"/>
            </w14:solidFill>
          </w14:textFill>
        </w:rPr>
        <w:t>澄清截止</w:t>
      </w:r>
      <w:r>
        <w:rPr>
          <w:rFonts w:ascii="宋体" w:hAnsi="宋体" w:eastAsia="宋体"/>
          <w:color w:val="000000" w:themeColor="text1"/>
          <w:szCs w:val="21"/>
          <w:highlight w:val="none"/>
          <w14:textFill>
            <w14:solidFill>
              <w14:schemeClr w14:val="tx1"/>
            </w14:solidFill>
          </w14:textFill>
        </w:rPr>
        <w:t>时间后</w:t>
      </w:r>
      <w:r>
        <w:rPr>
          <w:rFonts w:hint="eastAsia" w:ascii="宋体" w:hAnsi="宋体" w:eastAsia="宋体"/>
          <w:color w:val="000000" w:themeColor="text1"/>
          <w:szCs w:val="21"/>
          <w:highlight w:val="none"/>
          <w14:textFill>
            <w14:solidFill>
              <w14:schemeClr w14:val="tx1"/>
            </w14:solidFill>
          </w14:textFill>
        </w:rPr>
        <w:t>提交</w:t>
      </w:r>
      <w:r>
        <w:rPr>
          <w:rFonts w:ascii="宋体" w:hAnsi="宋体" w:eastAsia="宋体"/>
          <w:color w:val="000000" w:themeColor="text1"/>
          <w:szCs w:val="21"/>
          <w:highlight w:val="none"/>
          <w14:textFill>
            <w14:solidFill>
              <w14:schemeClr w14:val="tx1"/>
            </w14:solidFill>
          </w14:textFill>
        </w:rPr>
        <w:t>的任何澄清要求。</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2.2.3.澄清</w:t>
      </w:r>
      <w:r>
        <w:rPr>
          <w:rFonts w:ascii="宋体" w:hAnsi="宋体" w:eastAsia="宋体"/>
          <w:color w:val="000000" w:themeColor="text1"/>
          <w:szCs w:val="21"/>
          <w:highlight w:val="none"/>
          <w14:textFill>
            <w14:solidFill>
              <w14:schemeClr w14:val="tx1"/>
            </w14:solidFill>
          </w14:textFill>
        </w:rPr>
        <w:t>招标文件的时间距</w:t>
      </w:r>
      <w:r>
        <w:rPr>
          <w:rFonts w:hint="eastAsia" w:ascii="宋体" w:hAnsi="宋体" w:eastAsia="宋体"/>
          <w:color w:val="000000" w:themeColor="text1"/>
          <w:szCs w:val="21"/>
          <w:highlight w:val="none"/>
          <w14:textFill>
            <w14:solidFill>
              <w14:schemeClr w14:val="tx1"/>
            </w14:solidFill>
          </w14:textFill>
        </w:rPr>
        <w:t>招标项目</w:t>
      </w:r>
      <w:r>
        <w:rPr>
          <w:rFonts w:ascii="宋体" w:hAnsi="宋体" w:eastAsia="宋体"/>
          <w:color w:val="000000" w:themeColor="text1"/>
          <w:szCs w:val="21"/>
          <w:highlight w:val="none"/>
          <w14:textFill>
            <w14:solidFill>
              <w14:schemeClr w14:val="tx1"/>
            </w14:solidFill>
          </w14:textFill>
        </w:rPr>
        <w:t>规定的投标截止时间不足15日的，并且修改内容可能影响投标文件编制的，</w:t>
      </w:r>
      <w:r>
        <w:rPr>
          <w:rFonts w:hint="eastAsia" w:ascii="宋体" w:hAnsi="宋体" w:eastAsia="宋体"/>
          <w:color w:val="000000" w:themeColor="text1"/>
          <w:szCs w:val="21"/>
          <w:highlight w:val="none"/>
          <w14:textFill>
            <w14:solidFill>
              <w14:schemeClr w14:val="tx1"/>
            </w14:solidFill>
          </w14:textFill>
        </w:rPr>
        <w:t>招标人</w:t>
      </w:r>
      <w:r>
        <w:rPr>
          <w:rFonts w:ascii="宋体" w:hAnsi="宋体" w:eastAsia="宋体"/>
          <w:color w:val="000000" w:themeColor="text1"/>
          <w:szCs w:val="21"/>
          <w:highlight w:val="none"/>
          <w14:textFill>
            <w14:solidFill>
              <w14:schemeClr w14:val="tx1"/>
            </w14:solidFill>
          </w14:textFill>
        </w:rPr>
        <w:t>将相应延长投标截止时间。</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51" w:name="_Toc23953"/>
      <w:bookmarkStart w:id="652" w:name="_Toc18356"/>
      <w:bookmarkStart w:id="653" w:name="_Toc31559"/>
      <w:bookmarkStart w:id="654" w:name="_Toc19264"/>
      <w:bookmarkStart w:id="655" w:name="_Toc516753485"/>
      <w:bookmarkStart w:id="656" w:name="_Toc13436"/>
      <w:bookmarkStart w:id="657" w:name="_Toc31345"/>
      <w:bookmarkStart w:id="658" w:name="_Toc7806"/>
      <w:bookmarkStart w:id="659" w:name="_Toc14858"/>
      <w:bookmarkStart w:id="660" w:name="_Toc2029"/>
      <w:bookmarkStart w:id="661" w:name="_Toc3510"/>
      <w:bookmarkStart w:id="662" w:name="_Toc300038933"/>
      <w:bookmarkStart w:id="663" w:name="_Toc106719314"/>
      <w:bookmarkStart w:id="664" w:name="_Toc30646"/>
      <w:bookmarkStart w:id="665" w:name="_Toc13834"/>
      <w:bookmarkStart w:id="666" w:name="_Toc2159"/>
      <w:bookmarkStart w:id="667" w:name="_Toc52137742"/>
      <w:bookmarkStart w:id="668" w:name="_Toc25435"/>
      <w:r>
        <w:rPr>
          <w:rFonts w:hint="eastAsia" w:ascii="黑体" w:hAnsi="黑体" w:eastAsia="黑体"/>
          <w:b w:val="0"/>
          <w:color w:val="000000" w:themeColor="text1"/>
          <w:sz w:val="28"/>
          <w:szCs w:val="28"/>
          <w:highlight w:val="none"/>
          <w14:textFill>
            <w14:solidFill>
              <w14:schemeClr w14:val="tx1"/>
            </w14:solidFill>
          </w14:textFill>
        </w:rPr>
        <w:t>2.3.招标文件的修改、补充</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2.3.1.在投标截止期15日前无论出于何种原因，招标人可主动地</w:t>
      </w:r>
      <w:r>
        <w:rPr>
          <w:rFonts w:hint="eastAsia" w:ascii="宋体" w:hAnsi="宋体" w:eastAsia="宋体" w:cs="Arial"/>
          <w:bCs/>
          <w:color w:val="000000" w:themeColor="text1"/>
          <w:kern w:val="0"/>
          <w:szCs w:val="21"/>
          <w:highlight w:val="none"/>
          <w14:textFill>
            <w14:solidFill>
              <w14:schemeClr w14:val="tx1"/>
            </w14:solidFill>
          </w14:textFill>
        </w:rPr>
        <w:t>或在解答投标人提出的澄清问题时</w:t>
      </w:r>
      <w:r>
        <w:rPr>
          <w:rFonts w:hint="eastAsia" w:ascii="宋体" w:hAnsi="宋体" w:eastAsia="宋体"/>
          <w:color w:val="000000" w:themeColor="text1"/>
          <w:szCs w:val="21"/>
          <w:highlight w:val="none"/>
          <w14:textFill>
            <w14:solidFill>
              <w14:schemeClr w14:val="tx1"/>
            </w14:solidFill>
          </w14:textFill>
        </w:rPr>
        <w:t>对招标文件进行必要的修改或补充，所有招标文件的修改或补充将按投标人须知前附表规定的相同方式发给投标人。</w:t>
      </w:r>
    </w:p>
    <w:p>
      <w:pPr>
        <w:pStyle w:val="15"/>
        <w:tabs>
          <w:tab w:val="left" w:pos="567"/>
          <w:tab w:val="left" w:pos="1000"/>
        </w:tabs>
        <w:spacing w:line="360" w:lineRule="auto"/>
        <w:ind w:firstLine="424" w:firstLineChars="202"/>
        <w:jc w:val="left"/>
        <w:rPr>
          <w:rFonts w:ascii="宋体" w:hAnsi="宋体" w:eastAsia="宋体"/>
          <w:dstrike/>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2.3.2.招标人通过投标人须知前附表写明的网址发布澄清、补充或修改招标文件，投标人应自行留意招标人发出的澄清、修改或补充招标文件，并及时向招标人领取相应的文本文件（如需）。投标人未按规定时间、网址下载（地点领取）文件的，视同已收到。</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2.3.3.</w:t>
      </w:r>
      <w:r>
        <w:rPr>
          <w:rFonts w:ascii="宋体" w:hAnsi="宋体" w:eastAsia="宋体"/>
          <w:color w:val="000000" w:themeColor="text1"/>
          <w:szCs w:val="21"/>
          <w:highlight w:val="none"/>
          <w14:textFill>
            <w14:solidFill>
              <w14:schemeClr w14:val="tx1"/>
            </w14:solidFill>
          </w14:textFill>
        </w:rPr>
        <w:t>修改</w:t>
      </w:r>
      <w:r>
        <w:rPr>
          <w:rFonts w:hint="eastAsia" w:ascii="宋体" w:hAnsi="宋体" w:eastAsia="宋体"/>
          <w:color w:val="000000" w:themeColor="text1"/>
          <w:szCs w:val="21"/>
          <w:highlight w:val="none"/>
          <w14:textFill>
            <w14:solidFill>
              <w14:schemeClr w14:val="tx1"/>
            </w14:solidFill>
          </w14:textFill>
        </w:rPr>
        <w:t>、补充</w:t>
      </w:r>
      <w:r>
        <w:rPr>
          <w:rFonts w:ascii="宋体" w:hAnsi="宋体" w:eastAsia="宋体"/>
          <w:color w:val="000000" w:themeColor="text1"/>
          <w:szCs w:val="21"/>
          <w:highlight w:val="none"/>
          <w14:textFill>
            <w14:solidFill>
              <w14:schemeClr w14:val="tx1"/>
            </w14:solidFill>
          </w14:textFill>
        </w:rPr>
        <w:t>招标文件的时间距</w:t>
      </w:r>
      <w:r>
        <w:rPr>
          <w:rFonts w:hint="eastAsia" w:ascii="宋体" w:hAnsi="宋体" w:eastAsia="宋体"/>
          <w:color w:val="000000" w:themeColor="text1"/>
          <w:szCs w:val="21"/>
          <w:highlight w:val="none"/>
          <w14:textFill>
            <w14:solidFill>
              <w14:schemeClr w14:val="tx1"/>
            </w14:solidFill>
          </w14:textFill>
        </w:rPr>
        <w:t>招标项目</w:t>
      </w:r>
      <w:r>
        <w:rPr>
          <w:rFonts w:ascii="宋体" w:hAnsi="宋体" w:eastAsia="宋体"/>
          <w:color w:val="000000" w:themeColor="text1"/>
          <w:szCs w:val="21"/>
          <w:highlight w:val="none"/>
          <w14:textFill>
            <w14:solidFill>
              <w14:schemeClr w14:val="tx1"/>
            </w14:solidFill>
          </w14:textFill>
        </w:rPr>
        <w:t>规定的投标截止时间不足15日的，并且修改内容可能影响投标文件编制的，</w:t>
      </w:r>
      <w:r>
        <w:rPr>
          <w:rFonts w:hint="eastAsia" w:ascii="宋体" w:hAnsi="宋体" w:eastAsia="宋体"/>
          <w:color w:val="000000" w:themeColor="text1"/>
          <w:szCs w:val="21"/>
          <w:highlight w:val="none"/>
          <w14:textFill>
            <w14:solidFill>
              <w14:schemeClr w14:val="tx1"/>
            </w14:solidFill>
          </w14:textFill>
        </w:rPr>
        <w:t>招标人</w:t>
      </w:r>
      <w:r>
        <w:rPr>
          <w:rFonts w:ascii="宋体" w:hAnsi="宋体" w:eastAsia="宋体"/>
          <w:color w:val="000000" w:themeColor="text1"/>
          <w:szCs w:val="21"/>
          <w:highlight w:val="none"/>
          <w14:textFill>
            <w14:solidFill>
              <w14:schemeClr w14:val="tx1"/>
            </w14:solidFill>
          </w14:textFill>
        </w:rPr>
        <w:t>将相应延长投标截止时间。</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69" w:name="_Toc26985"/>
      <w:bookmarkStart w:id="670" w:name="_Toc4821"/>
      <w:bookmarkStart w:id="671" w:name="_Toc29552"/>
      <w:bookmarkStart w:id="672" w:name="_Toc182"/>
      <w:bookmarkStart w:id="673" w:name="_Toc17758"/>
      <w:bookmarkStart w:id="674" w:name="_Toc19497"/>
      <w:bookmarkStart w:id="675" w:name="_Toc22546"/>
      <w:bookmarkStart w:id="676" w:name="_Toc516753486"/>
      <w:bookmarkStart w:id="677" w:name="_Toc19989"/>
      <w:bookmarkStart w:id="678" w:name="_Toc10906"/>
      <w:bookmarkStart w:id="679" w:name="_Toc52137743"/>
      <w:bookmarkStart w:id="680" w:name="_Toc30284"/>
      <w:bookmarkStart w:id="681" w:name="_Toc106719315"/>
      <w:bookmarkStart w:id="682" w:name="_Toc32616"/>
      <w:bookmarkStart w:id="683" w:name="_Toc4415"/>
      <w:bookmarkStart w:id="684" w:name="_Toc7358"/>
      <w:bookmarkStart w:id="685" w:name="_Toc7126"/>
      <w:r>
        <w:rPr>
          <w:rFonts w:hint="eastAsia" w:ascii="黑体" w:hAnsi="黑体" w:eastAsia="黑体"/>
          <w:b w:val="0"/>
          <w:color w:val="000000" w:themeColor="text1"/>
          <w:sz w:val="28"/>
          <w:szCs w:val="28"/>
          <w:highlight w:val="none"/>
          <w14:textFill>
            <w14:solidFill>
              <w14:schemeClr w14:val="tx1"/>
            </w14:solidFill>
          </w14:textFill>
        </w:rPr>
        <w:t>2.4.招标文件异议处理</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2.4.1.潜在投标人或者其他利害关系人对招标文件有异议的，应当在投标截止时间10日前提出。招标人应当自收到异议之日起3日内作出答复；作出答复前，应当暂停招标投标活动。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2.4.2.招标人编制的招标文件的内容违反法律、行政法规的强制性规定，违反公开、公平、公正和诚实信用原则，影响资格审查结果或者潜在投标人投标的，依法必须进行招标的项目的招标人应当在修改招标文件后重新招标。</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686" w:name="_Toc5980"/>
      <w:bookmarkStart w:id="687" w:name="_Toc23881"/>
      <w:bookmarkStart w:id="688" w:name="_Toc29221"/>
      <w:bookmarkStart w:id="689" w:name="_Toc29692"/>
      <w:bookmarkStart w:id="690" w:name="_Toc928"/>
      <w:bookmarkStart w:id="691" w:name="_Toc11307"/>
      <w:bookmarkStart w:id="692" w:name="_Toc23570"/>
      <w:bookmarkStart w:id="693" w:name="_Toc31041"/>
      <w:bookmarkStart w:id="694" w:name="_Toc32481"/>
      <w:bookmarkStart w:id="695" w:name="_Toc52137744"/>
      <w:bookmarkStart w:id="696" w:name="_Toc516753487"/>
      <w:bookmarkStart w:id="697" w:name="_Toc106719316"/>
      <w:bookmarkStart w:id="698" w:name="_Toc4583"/>
      <w:bookmarkStart w:id="699" w:name="_Toc9273"/>
      <w:bookmarkStart w:id="700" w:name="_Toc29363"/>
      <w:bookmarkStart w:id="701" w:name="_Toc22022"/>
      <w:bookmarkStart w:id="702" w:name="_Toc300038934"/>
      <w:bookmarkStart w:id="703" w:name="_Toc3152"/>
      <w:r>
        <w:rPr>
          <w:rFonts w:hint="eastAsia" w:ascii="黑体" w:hAnsi="黑体" w:eastAsia="黑体"/>
          <w:b w:val="0"/>
          <w:color w:val="000000" w:themeColor="text1"/>
          <w:sz w:val="28"/>
          <w:szCs w:val="28"/>
          <w:highlight w:val="none"/>
          <w14:textFill>
            <w14:solidFill>
              <w14:schemeClr w14:val="tx1"/>
            </w14:solidFill>
          </w14:textFill>
        </w:rPr>
        <w:t>3.投标文件</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04" w:name="_Toc22628"/>
      <w:bookmarkStart w:id="705" w:name="_Toc24711"/>
      <w:bookmarkStart w:id="706" w:name="_Toc20302"/>
      <w:bookmarkStart w:id="707" w:name="_Toc516753489"/>
      <w:bookmarkStart w:id="708" w:name="_Toc7230"/>
      <w:bookmarkStart w:id="709" w:name="_Toc14714"/>
      <w:bookmarkStart w:id="710" w:name="_Toc22531"/>
      <w:bookmarkStart w:id="711" w:name="_Toc9447"/>
      <w:bookmarkStart w:id="712" w:name="_Toc106719317"/>
      <w:bookmarkStart w:id="713" w:name="_Toc25177"/>
      <w:bookmarkStart w:id="714" w:name="_Toc4839"/>
      <w:bookmarkStart w:id="715" w:name="_Toc52137745"/>
      <w:bookmarkStart w:id="716" w:name="_Toc28039"/>
      <w:bookmarkStart w:id="717" w:name="_Toc27254"/>
      <w:bookmarkStart w:id="718" w:name="_Toc300038936"/>
      <w:bookmarkStart w:id="719" w:name="_Toc9134"/>
      <w:bookmarkStart w:id="720" w:name="_Toc20694"/>
      <w:bookmarkStart w:id="721" w:name="_Toc20098"/>
      <w:r>
        <w:rPr>
          <w:rFonts w:hint="eastAsia" w:ascii="黑体" w:hAnsi="黑体" w:eastAsia="黑体"/>
          <w:b w:val="0"/>
          <w:color w:val="000000" w:themeColor="text1"/>
          <w:sz w:val="28"/>
          <w:szCs w:val="28"/>
          <w:highlight w:val="none"/>
          <w14:textFill>
            <w14:solidFill>
              <w14:schemeClr w14:val="tx1"/>
            </w14:solidFill>
          </w14:textFill>
        </w:rPr>
        <w:t>3.1.投标文件的组成</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投标人应当按照招标文件的要求编制投标文件。投标文件由资格审查文件、商务文件和技术文件（勘察纲要）三部分组成。</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3.1.1.资格审查文件包括以下内容：</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（1）资格审查申请函</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（2）资格审查申请函附表：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附表1：投标人基本情况表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附表2：法定代表人资格证明书和勘察项目负责人身份证明</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附表3：投标人诚信承诺函</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附表4：授权委托书</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附表5：拟担任本项目勘察人员汇总表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附表6：拟担任主要勘察人员简历表和注册执业资格（职称）证书</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附表7：拟担任项目负责人承诺函、勘察项目负责人和其他主要勘察人员到位承诺书</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附表8：投标人和拟担任勘察项目负责人“类似项目勘察业绩”（如有时）</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附表9：</w:t>
      </w:r>
      <w:r>
        <w:rPr>
          <w:rFonts w:hint="eastAsia" w:ascii="宋体"/>
          <w:color w:val="000000" w:themeColor="text1"/>
          <w:szCs w:val="21"/>
          <w:highlight w:val="none"/>
          <w14:textFill>
            <w14:solidFill>
              <w14:schemeClr w14:val="tx1"/>
            </w14:solidFill>
          </w14:textFill>
        </w:rPr>
        <w:t>土工实验室设立要求</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附表10：联合体协议书（如有时）</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附表11：其他需要提交的资料</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3.1.2.商务文件包括以下内容：</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（1）投标函</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（2）投标函附表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（3）投标保证金</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（4）授权委托书（与资格审查文件一致的可以不再提交）</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（5）投标报价表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（6）其他（根据招标文件的要求或投标人认为需要提供的资料）</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（7）定标要素情况表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3.1.3.技术文件包括以下内容：</w:t>
      </w:r>
    </w:p>
    <w:p>
      <w:pPr>
        <w:pStyle w:val="15"/>
        <w:tabs>
          <w:tab w:val="left" w:pos="567"/>
          <w:tab w:val="left" w:pos="1000"/>
        </w:tabs>
        <w:spacing w:line="360" w:lineRule="auto"/>
        <w:ind w:firstLine="424" w:firstLineChars="202"/>
        <w:jc w:val="left"/>
        <w:rPr>
          <w:rFonts w:asci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color w:val="000000" w:themeColor="text1"/>
          <w:szCs w:val="21"/>
          <w:highlight w:val="none"/>
          <w14:textFill>
            <w14:solidFill>
              <w14:schemeClr w14:val="tx1"/>
            </w14:solidFill>
          </w14:textFill>
        </w:rPr>
        <w:t>勘察纲要</w:t>
      </w:r>
    </w:p>
    <w:p>
      <w:pPr>
        <w:pStyle w:val="15"/>
        <w:tabs>
          <w:tab w:val="left" w:pos="567"/>
          <w:tab w:val="left" w:pos="1000"/>
        </w:tabs>
        <w:spacing w:line="360" w:lineRule="auto"/>
        <w:ind w:firstLine="424" w:firstLineChars="202"/>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技术文件的要求见第六章“发包人要求”第四条规定。</w:t>
      </w:r>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22" w:name="_Toc16225"/>
      <w:bookmarkStart w:id="723" w:name="_Toc17373"/>
      <w:bookmarkStart w:id="724" w:name="_Toc32259"/>
      <w:bookmarkStart w:id="725" w:name="_Toc12435"/>
      <w:bookmarkStart w:id="726" w:name="_Toc516753491"/>
      <w:bookmarkStart w:id="727" w:name="_Toc2158"/>
      <w:bookmarkStart w:id="728" w:name="_Toc12006"/>
      <w:bookmarkStart w:id="729" w:name="_Toc300038938"/>
      <w:bookmarkStart w:id="730" w:name="_Toc106719318"/>
      <w:bookmarkStart w:id="731" w:name="_Toc4653"/>
      <w:bookmarkStart w:id="732" w:name="_Toc16811"/>
      <w:bookmarkStart w:id="733" w:name="_Toc1141"/>
      <w:bookmarkStart w:id="734" w:name="_Toc16353"/>
      <w:bookmarkStart w:id="735" w:name="_Toc10131"/>
      <w:bookmarkStart w:id="736" w:name="_Toc8808"/>
      <w:bookmarkStart w:id="737" w:name="_Toc52137746"/>
      <w:bookmarkStart w:id="738" w:name="_Toc18960"/>
      <w:bookmarkStart w:id="739" w:name="_Toc32574"/>
      <w:bookmarkStart w:id="740" w:name="_Toc516753490"/>
      <w:bookmarkStart w:id="741" w:name="_Toc300038937"/>
      <w:bookmarkStart w:id="742" w:name="_Toc1244"/>
      <w:bookmarkStart w:id="743" w:name="_Toc6328"/>
      <w:r>
        <w:rPr>
          <w:rFonts w:hint="eastAsia" w:ascii="黑体" w:hAnsi="黑体" w:eastAsia="黑体"/>
          <w:b w:val="0"/>
          <w:color w:val="000000" w:themeColor="text1"/>
          <w:sz w:val="28"/>
          <w:szCs w:val="28"/>
          <w:highlight w:val="none"/>
          <w14:textFill>
            <w14:solidFill>
              <w14:schemeClr w14:val="tx1"/>
            </w14:solidFill>
          </w14:textFill>
        </w:rPr>
        <w:t>3.2.最高投标报价限价与投标报价</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3.2.1.招标人根据招标的勘察范围和内容参照国家发展计划委员会、建设部2002年发布的《工程勘察收费标准》计算方法，结合项目实际确定浮动幅度值，计算得出工程勘察费最高投标报价限价。财政性投融资招标项目勘察设计费按照《厦门市建设局等4家单位关于优化我市政府投资项目勘察设计费管理的通知》（厦建设[2021]31号）执行（如有新的计费标准，则按新的计费标准执行）。投标人填报的勘察投标报价不得超过招标人公布的勘察最高投标报价限价。最高投标报价限价金额和计算办法见投标人须知前附表。</w:t>
      </w:r>
    </w:p>
    <w:p>
      <w:pPr>
        <w:pStyle w:val="15"/>
        <w:tabs>
          <w:tab w:val="left" w:pos="1000"/>
        </w:tabs>
        <w:spacing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招标人的工程勘察收费基准价是根据现有和参考临近工程项目的资料做出的估算；若资料欠缺，可采用工程投资额的1-3%进行估算，投资额较大或地质条件简单取小值、投资额较小或地质条件复杂取大值。</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3.2.2.</w:t>
      </w:r>
      <w:r>
        <w:rPr>
          <w:rFonts w:hint="eastAsia"/>
          <w:color w:val="000000" w:themeColor="text1"/>
          <w:szCs w:val="21"/>
          <w:highlight w:val="none"/>
          <w14:textFill>
            <w14:solidFill>
              <w14:schemeClr w14:val="tx1"/>
            </w14:solidFill>
          </w14:textFill>
        </w:rPr>
        <w:t>投标人应充分了解</w:t>
      </w:r>
      <w:r>
        <w:rPr>
          <w:rFonts w:hint="eastAsia" w:ascii="宋体" w:hAnsi="宋体" w:eastAsia="宋体"/>
          <w:color w:val="000000" w:themeColor="text1"/>
          <w:szCs w:val="21"/>
          <w:highlight w:val="none"/>
          <w14:textFill>
            <w14:solidFill>
              <w14:schemeClr w14:val="tx1"/>
            </w14:solidFill>
          </w14:textFill>
        </w:rPr>
        <w:t>本招标项目</w:t>
      </w:r>
      <w:r>
        <w:rPr>
          <w:rFonts w:hint="eastAsia"/>
          <w:color w:val="000000" w:themeColor="text1"/>
          <w:szCs w:val="21"/>
          <w:highlight w:val="none"/>
          <w14:textFill>
            <w14:solidFill>
              <w14:schemeClr w14:val="tx1"/>
            </w14:solidFill>
          </w14:textFill>
        </w:rPr>
        <w:t>的总体情况以及影响投标报价的其他要素，按照招标文件规定的勘察工作内容，结合企业综合实力，自行测算勘察费用，并</w:t>
      </w:r>
      <w:r>
        <w:rPr>
          <w:rFonts w:hint="eastAsia" w:ascii="宋体" w:hAnsi="宋体" w:eastAsia="宋体"/>
          <w:color w:val="000000" w:themeColor="text1"/>
          <w:szCs w:val="21"/>
          <w:highlight w:val="none"/>
          <w14:textFill>
            <w14:solidFill>
              <w14:schemeClr w14:val="tx1"/>
            </w14:solidFill>
          </w14:textFill>
        </w:rPr>
        <w:t>按第七章</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投标文件格式</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的要求在投标函中进行报价并填写勘察投标报价相应表格；</w:t>
      </w:r>
      <w:r>
        <w:rPr>
          <w:rFonts w:hint="eastAsia" w:ascii="宋体" w:hAnsi="宋体" w:eastAsia="宋体" w:cs="Times New Roman"/>
          <w:color w:val="000000" w:themeColor="text1"/>
          <w:szCs w:val="21"/>
          <w:highlight w:val="none"/>
          <w14:textFill>
            <w14:solidFill>
              <w14:schemeClr w14:val="tx1"/>
            </w14:solidFill>
          </w14:textFill>
        </w:rPr>
        <w:t>采用分项收费方式</w:t>
      </w:r>
      <w:r>
        <w:rPr>
          <w:rFonts w:hint="eastAsia" w:ascii="宋体" w:hAnsi="宋体" w:eastAsia="宋体"/>
          <w:color w:val="000000" w:themeColor="text1"/>
          <w:szCs w:val="21"/>
          <w:highlight w:val="none"/>
          <w14:textFill>
            <w14:solidFill>
              <w14:schemeClr w14:val="tx1"/>
            </w14:solidFill>
          </w14:textFill>
        </w:rPr>
        <w:t>的，招标人应在最高投标报价限价公布的</w:t>
      </w:r>
      <w:r>
        <w:rPr>
          <w:rFonts w:hint="eastAsia" w:ascii="宋体" w:hAnsi="宋体" w:eastAsia="宋体" w:cs="Times New Roman"/>
          <w:color w:val="000000" w:themeColor="text1"/>
          <w:szCs w:val="21"/>
          <w:highlight w:val="none"/>
          <w14:textFill>
            <w14:solidFill>
              <w14:schemeClr w14:val="tx1"/>
            </w14:solidFill>
          </w14:textFill>
        </w:rPr>
        <w:t>《工程勘察分项表》</w:t>
      </w:r>
      <w:r>
        <w:rPr>
          <w:rFonts w:hint="eastAsia" w:ascii="宋体" w:hAnsi="宋体" w:eastAsia="宋体"/>
          <w:color w:val="000000" w:themeColor="text1"/>
          <w:szCs w:val="21"/>
          <w:highlight w:val="none"/>
          <w14:textFill>
            <w14:solidFill>
              <w14:schemeClr w14:val="tx1"/>
            </w14:solidFill>
          </w14:textFill>
        </w:rPr>
        <w:t>基础上增加相应报价栏供投标人报价，</w:t>
      </w:r>
      <w:r>
        <w:rPr>
          <w:rFonts w:hint="eastAsia" w:ascii="宋体" w:hAnsi="宋体" w:eastAsia="宋体" w:cs="Times New Roman"/>
          <w:color w:val="000000" w:themeColor="text1"/>
          <w:szCs w:val="21"/>
          <w:highlight w:val="none"/>
          <w14:textFill>
            <w14:solidFill>
              <w14:schemeClr w14:val="tx1"/>
            </w14:solidFill>
          </w14:textFill>
        </w:rPr>
        <w:t>格式由招标人自拟</w:t>
      </w:r>
      <w:r>
        <w:rPr>
          <w:rFonts w:hint="eastAsia"/>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投标人的投标报价应是完成招标文件和合同条款上所列招标项目的范围、服务期限、以及服务内容等全部内容的价格体现。</w:t>
      </w:r>
    </w:p>
    <w:p>
      <w:pPr>
        <w:pStyle w:val="15"/>
        <w:tabs>
          <w:tab w:val="left" w:pos="1000"/>
        </w:tabs>
        <w:spacing w:line="360" w:lineRule="auto"/>
        <w:ind w:firstLine="411" w:firstLineChars="196"/>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3.2.3.为满足设计和规范所要求的工程详细勘察、全部勘察报告和资料，以及工程施工所需要的配合服务，包括收集资料，现场踏勘，制订勘察纲要，进行勘探、取样、试验、测试等勘察作业，编制工程勘察文件，与设计单位、施工单位的配合服务等内容的费用应包含在勘察费的投标报价中。</w:t>
      </w:r>
    </w:p>
    <w:p>
      <w:pPr>
        <w:pStyle w:val="15"/>
        <w:tabs>
          <w:tab w:val="left" w:pos="1000"/>
        </w:tabs>
        <w:spacing w:line="360" w:lineRule="auto"/>
        <w:ind w:firstLine="411" w:firstLineChars="196"/>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3.2.4.工程勘察收费基准价是根据招标时拟定的工程规模进行估算的，如实际规模与招标时拟定的规模有异的，招标人和中标人在合同中约定以最终确定的工程规模对应的实物工作量计算工程勘察收费基准价和调整工程勘察收费金额，但其他因素不得作为调价的依据，中标的勘察费浮动幅度值保持不变。中标人的勘察费投标报价有优惠的，则按实调整后的勘察费乘以优惠率，优惠率=（1-勘察费投标报价/勘察费最高投标报价限价）×100％。</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3.2.5.本招标项目的投标应以人民币报价,合同实施时亦以人民币支付。</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3.2.6.</w:t>
      </w:r>
      <w:r>
        <w:rPr>
          <w:rFonts w:hint="eastAsia"/>
          <w:color w:val="000000" w:themeColor="text1"/>
          <w:szCs w:val="21"/>
          <w:highlight w:val="none"/>
          <w14:textFill>
            <w14:solidFill>
              <w14:schemeClr w14:val="tx1"/>
            </w14:solidFill>
          </w14:textFill>
        </w:rPr>
        <w:t>投标报价的其他要求见投标人须知前附表。</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44" w:name="_Toc106719319"/>
      <w:bookmarkStart w:id="745" w:name="_Toc25864"/>
      <w:bookmarkStart w:id="746" w:name="_Toc15335"/>
      <w:bookmarkStart w:id="747" w:name="_Toc30296"/>
      <w:bookmarkStart w:id="748" w:name="_Toc15363"/>
      <w:bookmarkStart w:id="749" w:name="_Toc22362"/>
      <w:bookmarkStart w:id="750" w:name="_Toc52137747"/>
      <w:bookmarkStart w:id="751" w:name="_Toc15643"/>
      <w:bookmarkStart w:id="752" w:name="_Toc25834"/>
      <w:bookmarkStart w:id="753" w:name="_Toc3684"/>
      <w:bookmarkStart w:id="754" w:name="_Toc17586"/>
      <w:bookmarkStart w:id="755" w:name="_Toc516753493"/>
      <w:bookmarkStart w:id="756" w:name="_Toc12997"/>
      <w:bookmarkStart w:id="757" w:name="_Toc31072"/>
      <w:bookmarkStart w:id="758" w:name="_Toc20986"/>
      <w:bookmarkStart w:id="759" w:name="_Toc26392"/>
      <w:bookmarkStart w:id="760" w:name="_Toc300038940"/>
      <w:bookmarkStart w:id="761" w:name="_Toc18046"/>
      <w:r>
        <w:rPr>
          <w:rFonts w:hint="eastAsia" w:ascii="黑体" w:hAnsi="黑体" w:eastAsia="黑体"/>
          <w:b w:val="0"/>
          <w:color w:val="000000" w:themeColor="text1"/>
          <w:sz w:val="28"/>
          <w:szCs w:val="28"/>
          <w:highlight w:val="none"/>
          <w14:textFill>
            <w14:solidFill>
              <w14:schemeClr w14:val="tx1"/>
            </w14:solidFill>
          </w14:textFill>
        </w:rPr>
        <w:t>3.3.投标有效期</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3.3.1.除投标人须知前附表另有规定外，投标有效期为90日历天。在此期限内，凡符合招标文件要求的投标文件均保持有效。投标有效期从</w:t>
      </w:r>
      <w:r>
        <w:rPr>
          <w:rFonts w:hint="eastAsia" w:ascii="宋体" w:hAnsi="宋体" w:eastAsia="宋体"/>
          <w:color w:val="000000" w:themeColor="text1"/>
          <w:szCs w:val="21"/>
          <w:highlight w:val="none"/>
          <w:lang w:eastAsia="zh-CN"/>
          <w14:textFill>
            <w14:solidFill>
              <w14:schemeClr w14:val="tx1"/>
            </w14:solidFill>
          </w14:textFill>
        </w:rPr>
        <w:t>递交投标文件</w:t>
      </w:r>
      <w:r>
        <w:rPr>
          <w:rFonts w:hint="eastAsia" w:ascii="宋体" w:hAnsi="宋体" w:eastAsia="宋体"/>
          <w:color w:val="000000" w:themeColor="text1"/>
          <w:szCs w:val="21"/>
          <w:highlight w:val="none"/>
          <w14:textFill>
            <w14:solidFill>
              <w14:schemeClr w14:val="tx1"/>
            </w14:solidFill>
          </w14:textFill>
        </w:rPr>
        <w:t>的截止之日起算。</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3.3.2.如果出现特殊情况，招标人在原定投标有效期满之前，可要求投标人将投标有效期延长一段时间。招标人应当通过电子交易平台通知所有投标人延长投标有效期。投标人应当在规定的时间内通过电子交易平台进行确认，逾期未确认的，视为不同意延长投标有效期。投标人可以拒绝这种要求而</w:t>
      </w:r>
      <w:r>
        <w:rPr>
          <w:rFonts w:hint="eastAsia" w:ascii="宋体" w:hAnsi="宋体" w:eastAsia="宋体"/>
          <w:color w:val="000000" w:themeColor="text1"/>
          <w:szCs w:val="21"/>
          <w:highlight w:val="none"/>
          <w:lang w:eastAsia="zh-CN"/>
          <w14:textFill>
            <w14:solidFill>
              <w14:schemeClr w14:val="tx1"/>
            </w14:solidFill>
          </w14:textFill>
        </w:rPr>
        <w:t>予以退还</w:t>
      </w:r>
      <w:r>
        <w:rPr>
          <w:rFonts w:hint="eastAsia" w:ascii="宋体" w:hAnsi="宋体" w:eastAsia="宋体"/>
          <w:color w:val="000000" w:themeColor="text1"/>
          <w:szCs w:val="21"/>
          <w:highlight w:val="none"/>
          <w14:textFill>
            <w14:solidFill>
              <w14:schemeClr w14:val="tx1"/>
            </w14:solidFill>
          </w14:textFill>
        </w:rPr>
        <w:t>投标保证金。同意延期的投标人，不需要也不允许修改他的投标文件，但需要将其投标保证金延长相同的时间。在延长的投标有效期内，本须知第3.4款关于投标保证金的退还与</w:t>
      </w:r>
      <w:r>
        <w:rPr>
          <w:rFonts w:hint="eastAsia" w:ascii="宋体" w:hAnsi="宋体" w:eastAsia="宋体"/>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的规定仍然适用。</w:t>
      </w:r>
    </w:p>
    <w:bookmarkEnd w:id="740"/>
    <w:bookmarkEnd w:id="741"/>
    <w:bookmarkEnd w:id="742"/>
    <w:bookmarkEnd w:id="743"/>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62" w:name="_Toc31049"/>
      <w:bookmarkStart w:id="763" w:name="_Toc30023"/>
      <w:bookmarkStart w:id="764" w:name="_Toc3081"/>
      <w:bookmarkStart w:id="765" w:name="_Toc13868"/>
      <w:bookmarkStart w:id="766" w:name="_Toc106719320"/>
      <w:bookmarkStart w:id="767" w:name="_Toc516753494"/>
      <w:bookmarkStart w:id="768" w:name="_Toc18027"/>
      <w:bookmarkStart w:id="769" w:name="_Toc12181"/>
      <w:bookmarkStart w:id="770" w:name="_Toc5674"/>
      <w:bookmarkStart w:id="771" w:name="_Toc300038941"/>
      <w:bookmarkStart w:id="772" w:name="_Toc52137748"/>
      <w:bookmarkStart w:id="773" w:name="_Toc11318"/>
      <w:bookmarkStart w:id="774" w:name="_Toc13962"/>
      <w:bookmarkStart w:id="775" w:name="_Toc23123"/>
      <w:bookmarkStart w:id="776" w:name="_Toc664"/>
      <w:bookmarkStart w:id="777" w:name="_Toc216"/>
      <w:bookmarkStart w:id="778" w:name="_Toc31698"/>
      <w:bookmarkStart w:id="779" w:name="_Toc13276"/>
      <w:r>
        <w:rPr>
          <w:rFonts w:hint="eastAsia" w:ascii="黑体" w:hAnsi="黑体" w:eastAsia="黑体"/>
          <w:b w:val="0"/>
          <w:color w:val="000000" w:themeColor="text1"/>
          <w:sz w:val="28"/>
          <w:szCs w:val="28"/>
          <w:highlight w:val="none"/>
          <w14:textFill>
            <w14:solidFill>
              <w14:schemeClr w14:val="tx1"/>
            </w14:solidFill>
          </w14:textFill>
        </w:rPr>
        <w:t>3.4.投标保证金</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3.4.1.投标人应提供一份投标人须知前附表所述金额和规定的</w:t>
      </w:r>
      <w:r>
        <w:rPr>
          <w:rFonts w:hint="eastAsia" w:ascii="宋体" w:hAnsi="宋体" w:eastAsia="宋体"/>
          <w:color w:val="000000" w:themeColor="text1"/>
          <w:szCs w:val="21"/>
          <w:highlight w:val="none"/>
          <w:lang w:eastAsia="zh-CN"/>
          <w14:textFill>
            <w14:solidFill>
              <w14:schemeClr w14:val="tx1"/>
            </w14:solidFill>
          </w14:textFill>
        </w:rPr>
        <w:t>递交</w:t>
      </w:r>
      <w:r>
        <w:rPr>
          <w:rFonts w:hint="eastAsia" w:ascii="宋体" w:hAnsi="宋体" w:eastAsia="宋体"/>
          <w:color w:val="000000" w:themeColor="text1"/>
          <w:szCs w:val="21"/>
          <w:highlight w:val="none"/>
          <w14:textFill>
            <w14:solidFill>
              <w14:schemeClr w14:val="tx1"/>
            </w14:solidFill>
          </w14:textFill>
        </w:rPr>
        <w:t>方式的投标保证金，并将相关证明材料作为其投标文件的组成部分。招标人要求的投标保证金不得超过招标项目估算价的2%。投标保证金有效期应当不少于投标有效期。以联合体形式投标的，投标保证金由牵头人递交。</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3.4.2.对于未能按要求</w:t>
      </w:r>
      <w:r>
        <w:rPr>
          <w:rFonts w:hint="eastAsia" w:ascii="宋体" w:hAnsi="宋体" w:eastAsia="宋体"/>
          <w:color w:val="000000" w:themeColor="text1"/>
          <w:szCs w:val="21"/>
          <w:highlight w:val="none"/>
          <w:lang w:eastAsia="zh-CN"/>
          <w14:textFill>
            <w14:solidFill>
              <w14:schemeClr w14:val="tx1"/>
            </w14:solidFill>
          </w14:textFill>
        </w:rPr>
        <w:t>递交</w:t>
      </w:r>
      <w:r>
        <w:rPr>
          <w:rFonts w:hint="eastAsia" w:ascii="宋体" w:hAnsi="宋体" w:eastAsia="宋体"/>
          <w:color w:val="000000" w:themeColor="text1"/>
          <w:szCs w:val="21"/>
          <w:highlight w:val="none"/>
          <w14:textFill>
            <w14:solidFill>
              <w14:schemeClr w14:val="tx1"/>
            </w14:solidFill>
          </w14:textFill>
        </w:rPr>
        <w:t>投标保证金的投标，将被视为不响应招标文件而予以拒绝。</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3.4.3.招标人在</w:t>
      </w:r>
      <w:r>
        <w:rPr>
          <w:rFonts w:hint="eastAsia" w:ascii="宋体" w:hAnsi="宋体" w:eastAsia="宋体"/>
          <w:color w:val="000000" w:themeColor="text1"/>
          <w:szCs w:val="21"/>
          <w:highlight w:val="none"/>
          <w:lang w:val="en-US" w:eastAsia="zh-CN"/>
          <w14:textFill>
            <w14:solidFill>
              <w14:schemeClr w14:val="tx1"/>
            </w14:solidFill>
          </w14:textFill>
        </w:rPr>
        <w:t>中标结果公布之日起</w:t>
      </w:r>
      <w:r>
        <w:rPr>
          <w:rFonts w:hint="eastAsia" w:ascii="宋体" w:hAnsi="宋体" w:eastAsia="宋体"/>
          <w:color w:val="000000" w:themeColor="text1"/>
          <w:szCs w:val="21"/>
          <w:highlight w:val="none"/>
          <w14:textFill>
            <w14:solidFill>
              <w14:schemeClr w14:val="tx1"/>
            </w14:solidFill>
          </w14:textFill>
        </w:rPr>
        <w:t>的5日内（因投标人投诉可能造成重新评标</w:t>
      </w:r>
      <w:r>
        <w:rPr>
          <w:rFonts w:hint="eastAsia" w:ascii="宋体" w:hAnsi="宋体" w:eastAsia="宋体"/>
          <w:color w:val="000000" w:themeColor="text1"/>
          <w:szCs w:val="21"/>
          <w:highlight w:val="none"/>
          <w:lang w:val="en-US" w:eastAsia="zh-CN"/>
          <w14:textFill>
            <w14:solidFill>
              <w14:schemeClr w14:val="tx1"/>
            </w14:solidFill>
          </w14:textFill>
        </w:rPr>
        <w:t>或重新定标</w:t>
      </w:r>
      <w:r>
        <w:rPr>
          <w:rFonts w:hint="eastAsia" w:ascii="宋体" w:hAnsi="宋体" w:eastAsia="宋体"/>
          <w:color w:val="000000" w:themeColor="text1"/>
          <w:szCs w:val="21"/>
          <w:highlight w:val="none"/>
          <w14:textFill>
            <w14:solidFill>
              <w14:schemeClr w14:val="tx1"/>
            </w14:solidFill>
          </w14:textFill>
        </w:rPr>
        <w:t>的，在投诉处理完后5日内），应通知</w:t>
      </w:r>
      <w:r>
        <w:rPr>
          <w:rFonts w:hint="eastAsia" w:ascii="宋体" w:hAnsi="宋体" w:eastAsia="宋体"/>
          <w:color w:val="000000" w:themeColor="text1"/>
          <w:szCs w:val="21"/>
          <w:highlight w:val="none"/>
          <w:lang w:val="en-US" w:eastAsia="zh-CN"/>
          <w14:textFill>
            <w14:solidFill>
              <w14:schemeClr w14:val="tx1"/>
            </w14:solidFill>
          </w14:textFill>
        </w:rPr>
        <w:t>中标候选人</w:t>
      </w:r>
      <w:r>
        <w:rPr>
          <w:rFonts w:hint="eastAsia" w:ascii="宋体" w:hAnsi="宋体" w:eastAsia="宋体"/>
          <w:color w:val="000000" w:themeColor="text1"/>
          <w:szCs w:val="21"/>
          <w:highlight w:val="none"/>
          <w14:textFill>
            <w14:solidFill>
              <w14:schemeClr w14:val="tx1"/>
            </w14:solidFill>
          </w14:textFill>
        </w:rPr>
        <w:t>以外的投标人到投标保证金的收款单位办理投标保证金退还手续，同时通知投标保证金的收款单位开始退还投标保证金的日期、退还金额、退还的投标人名称，并退还现金投标保证金及银行同期存款利息（银行存款利率类型及利息部分应出具发票的类型见投标人须知前附表的规定，下同）。</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招标人在与中标人签订合同后的5日内，按本投标人须知第3.4.</w:t>
      </w:r>
      <w:r>
        <w:rPr>
          <w:rFonts w:hint="eastAsia" w:ascii="宋体" w:hAnsi="宋体" w:eastAsia="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项规定的办法将投标保证金退还中标人</w:t>
      </w:r>
      <w:r>
        <w:rPr>
          <w:rFonts w:hint="eastAsia" w:ascii="宋体" w:hAnsi="宋体" w:eastAsia="宋体"/>
          <w:color w:val="000000" w:themeColor="text1"/>
          <w:szCs w:val="21"/>
          <w:highlight w:val="none"/>
          <w:lang w:val="en-US" w:eastAsia="zh-CN"/>
          <w14:textFill>
            <w14:solidFill>
              <w14:schemeClr w14:val="tx1"/>
            </w14:solidFill>
          </w14:textFill>
        </w:rPr>
        <w:t>及中标候选人</w:t>
      </w:r>
      <w:r>
        <w:rPr>
          <w:rFonts w:hint="eastAsia" w:ascii="宋体" w:hAnsi="宋体" w:eastAsia="宋体"/>
          <w:color w:val="000000" w:themeColor="text1"/>
          <w:szCs w:val="21"/>
          <w:highlight w:val="none"/>
          <w14:textFill>
            <w14:solidFill>
              <w14:schemeClr w14:val="tx1"/>
            </w14:solidFill>
          </w14:textFill>
        </w:rPr>
        <w:t>。招标文件中规定中标人需提交履约担保的, 招标人应当在与中标人签订合同且提交履约担保后的5日内, 将投标保证金退还中标人。</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3.4.4.如投标人有下列情况之一发生时，其投标保证金将</w:t>
      </w:r>
      <w:r>
        <w:rPr>
          <w:rFonts w:hint="eastAsia" w:ascii="宋体" w:hAnsi="宋体" w:eastAsia="宋体"/>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 投标人在投标有效期内撤回其投标文件（电子投标文件无法解密或无法打开读取的除外）；</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（2）中标人非因不可抗力原因放弃中标、或无正当理由在规定期限内不与招标人订立合同、或在签订合同时向招标人提出附加条件、或不按照招标文件要求提交履约担保金；</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（3）投标文件存在投标人须知第4.1.3款规定的雷同情形之一的；</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（4）发生</w:t>
      </w:r>
      <w:r>
        <w:rPr>
          <w:rFonts w:hint="eastAsia" w:ascii="宋体" w:hAnsi="宋体" w:eastAsia="宋体"/>
          <w:color w:val="000000" w:themeColor="text1"/>
          <w:szCs w:val="21"/>
          <w:highlight w:val="none"/>
          <w:lang w:val="en-US" w:eastAsia="zh-CN"/>
          <w14:textFill>
            <w14:solidFill>
              <w14:schemeClr w14:val="tx1"/>
            </w14:solidFill>
          </w14:textFill>
        </w:rPr>
        <w:t>招标文件或</w:t>
      </w:r>
      <w:r>
        <w:rPr>
          <w:rFonts w:hint="eastAsia" w:ascii="宋体" w:hAnsi="宋体" w:eastAsia="宋体"/>
          <w:color w:val="000000" w:themeColor="text1"/>
          <w:szCs w:val="21"/>
          <w:highlight w:val="none"/>
          <w14:textFill>
            <w14:solidFill>
              <w14:schemeClr w14:val="tx1"/>
            </w14:solidFill>
          </w14:textFill>
        </w:rPr>
        <w:t>投标人须知前附表规定的其他可以不予退还投标保证金的情形。</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80" w:name="_Toc32423"/>
      <w:bookmarkStart w:id="781" w:name="_Toc17816"/>
      <w:bookmarkStart w:id="782" w:name="_Toc106719321"/>
      <w:bookmarkStart w:id="783" w:name="_Toc5586"/>
      <w:bookmarkStart w:id="784" w:name="_Toc1744"/>
      <w:bookmarkStart w:id="785" w:name="_Toc19477"/>
      <w:bookmarkStart w:id="786" w:name="_Toc17525"/>
      <w:bookmarkStart w:id="787" w:name="_Toc8677"/>
      <w:bookmarkStart w:id="788" w:name="_Toc2448"/>
      <w:bookmarkStart w:id="789" w:name="_Toc52137749"/>
      <w:bookmarkStart w:id="790" w:name="_Toc18305"/>
      <w:bookmarkStart w:id="791" w:name="_Toc23726"/>
      <w:bookmarkStart w:id="792" w:name="_Toc22931"/>
      <w:bookmarkStart w:id="793" w:name="_Toc18796"/>
      <w:r>
        <w:rPr>
          <w:rFonts w:hint="eastAsia" w:ascii="黑体" w:hAnsi="黑体" w:eastAsia="黑体"/>
          <w:b w:val="0"/>
          <w:color w:val="000000" w:themeColor="text1"/>
          <w:sz w:val="28"/>
          <w:szCs w:val="28"/>
          <w:highlight w:val="none"/>
          <w14:textFill>
            <w14:solidFill>
              <w14:schemeClr w14:val="tx1"/>
            </w14:solidFill>
          </w14:textFill>
        </w:rPr>
        <w:t>3.5.备选投标方案</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3.5.1.招标人只允许每家投标人报送一个投标文件，投标人所提交的投标文件应符合招标文件的要求，满足评标需要的全部资料。除非投标人须知前附表允许投标人</w:t>
      </w:r>
      <w:r>
        <w:rPr>
          <w:rFonts w:hint="eastAsia" w:ascii="宋体" w:hAnsi="宋体" w:eastAsia="宋体"/>
          <w:color w:val="000000" w:themeColor="text1"/>
          <w:szCs w:val="21"/>
          <w:highlight w:val="none"/>
          <w:lang w:eastAsia="zh-CN"/>
          <w14:textFill>
            <w14:solidFill>
              <w14:schemeClr w14:val="tx1"/>
            </w14:solidFill>
          </w14:textFill>
        </w:rPr>
        <w:t>递交备选</w:t>
      </w:r>
      <w:r>
        <w:rPr>
          <w:rFonts w:hint="eastAsia" w:ascii="宋体" w:hAnsi="宋体" w:eastAsia="宋体"/>
          <w:color w:val="000000" w:themeColor="text1"/>
          <w:szCs w:val="21"/>
          <w:highlight w:val="none"/>
          <w14:textFill>
            <w14:solidFill>
              <w14:schemeClr w14:val="tx1"/>
            </w14:solidFill>
          </w14:textFill>
        </w:rPr>
        <w:t>方案，否则备选方案将不予考虑。</w:t>
      </w:r>
    </w:p>
    <w:p>
      <w:pPr>
        <w:pStyle w:val="15"/>
        <w:tabs>
          <w:tab w:val="left" w:pos="567"/>
          <w:tab w:val="left" w:pos="1000"/>
        </w:tabs>
        <w:spacing w:line="360" w:lineRule="auto"/>
        <w:ind w:firstLine="424" w:firstLineChars="202"/>
        <w:jc w:val="left"/>
        <w:rPr>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3.5.2.</w:t>
      </w:r>
      <w:r>
        <w:rPr>
          <w:color w:val="000000" w:themeColor="text1"/>
          <w:highlight w:val="none"/>
          <w14:textFill>
            <w14:solidFill>
              <w14:schemeClr w14:val="tx1"/>
            </w14:solidFill>
          </w14:textFill>
        </w:rPr>
        <w:t>允许投标人递交备选投标方案的，</w:t>
      </w:r>
      <w:r>
        <w:rPr>
          <w:rFonts w:hint="eastAsia"/>
          <w:color w:val="000000" w:themeColor="text1"/>
          <w:highlight w:val="none"/>
          <w14:textFill>
            <w14:solidFill>
              <w14:schemeClr w14:val="tx1"/>
            </w14:solidFill>
          </w14:textFill>
        </w:rPr>
        <w:t>则投标人除提交正式投标文件外，还可以按照招标文件要求</w:t>
      </w:r>
      <w:r>
        <w:rPr>
          <w:rFonts w:hint="eastAsia"/>
          <w:color w:val="000000" w:themeColor="text1"/>
          <w:highlight w:val="none"/>
          <w:lang w:eastAsia="zh-CN"/>
          <w14:textFill>
            <w14:solidFill>
              <w14:schemeClr w14:val="tx1"/>
            </w14:solidFill>
          </w14:textFill>
        </w:rPr>
        <w:t>递交备选</w:t>
      </w:r>
      <w:r>
        <w:rPr>
          <w:rFonts w:hint="eastAsia"/>
          <w:color w:val="000000" w:themeColor="text1"/>
          <w:highlight w:val="none"/>
          <w14:textFill>
            <w14:solidFill>
              <w14:schemeClr w14:val="tx1"/>
            </w14:solidFill>
          </w14:textFill>
        </w:rPr>
        <w:t>方案。备选方案应包括勘察方案、图纸、备选方案报价书等满足评标需要的全部资料。</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794" w:name="_Toc15886"/>
      <w:bookmarkStart w:id="795" w:name="_Toc106719322"/>
      <w:bookmarkStart w:id="796" w:name="_Toc52137750"/>
      <w:bookmarkStart w:id="797" w:name="_Toc15636"/>
      <w:bookmarkStart w:id="798" w:name="_Toc21263"/>
      <w:bookmarkStart w:id="799" w:name="_Toc27722"/>
      <w:bookmarkStart w:id="800" w:name="_Toc13833"/>
      <w:bookmarkStart w:id="801" w:name="_Toc8704"/>
      <w:bookmarkStart w:id="802" w:name="_Toc115"/>
      <w:bookmarkStart w:id="803" w:name="_Toc19087"/>
      <w:bookmarkStart w:id="804" w:name="_Toc24563"/>
      <w:bookmarkStart w:id="805" w:name="_Toc27851"/>
      <w:bookmarkStart w:id="806" w:name="_Toc14129"/>
      <w:bookmarkStart w:id="807" w:name="_Toc2653"/>
      <w:bookmarkStart w:id="808" w:name="_Toc3929"/>
      <w:bookmarkStart w:id="809" w:name="_Toc516753495"/>
      <w:bookmarkStart w:id="810" w:name="_Toc31670"/>
      <w:bookmarkStart w:id="811" w:name="_Toc300038942"/>
      <w:r>
        <w:rPr>
          <w:rFonts w:hint="eastAsia" w:ascii="黑体" w:hAnsi="黑体" w:eastAsia="黑体"/>
          <w:b w:val="0"/>
          <w:color w:val="000000" w:themeColor="text1"/>
          <w:sz w:val="28"/>
          <w:szCs w:val="28"/>
          <w:highlight w:val="none"/>
          <w14:textFill>
            <w14:solidFill>
              <w14:schemeClr w14:val="tx1"/>
            </w14:solidFill>
          </w14:textFill>
        </w:rPr>
        <w:t>3.6.投标文件的编制</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3.6.1.投标文件应包含本须知正文第3.1款中规定的内容，投标人提交的投标文件应当使用招标文件第七章所规定的投标文件格式（包括有关脚注要求和说明）进行编制，如有必要，表格可以按同样格式扩展，招标文件不要求或无相关内容的可以不提供。在满足招标文件实质性要求的基础上，投标人可以提出比招标文件要求更有利于招标人的承诺。</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3.6.2.投标文件应当对招标文件有关报价、勘察服务期限、投标有效期、发包人要求、招标范围和内容等实质性内容作出响应，否则将被视为不响应招标文件而予以拒绝。</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3.6.3.除投标人须知前附表另有规定外，投标文件所附证明文件、单据等证明材料均为原件扫描件，扫描件每页篇幅应当完整。</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3.6.4.除招标文件另有规定外。投标人应采用单位和个人姓名</w:t>
      </w:r>
      <w:r>
        <w:rPr>
          <w:rFonts w:hint="eastAsia" w:ascii="宋体" w:hAnsi="宋体" w:eastAsia="宋体"/>
          <w:color w:val="000000" w:themeColor="text1"/>
          <w:szCs w:val="21"/>
          <w:highlight w:val="none"/>
          <w:lang w:eastAsia="zh-CN"/>
          <w14:textFill>
            <w14:solidFill>
              <w14:schemeClr w14:val="tx1"/>
            </w14:solidFill>
          </w14:textFill>
        </w:rPr>
        <w:t>CA证书</w:t>
      </w:r>
      <w:r>
        <w:rPr>
          <w:rFonts w:hint="eastAsia" w:ascii="宋体" w:hAnsi="宋体" w:eastAsia="宋体"/>
          <w:color w:val="000000" w:themeColor="text1"/>
          <w:szCs w:val="21"/>
          <w:highlight w:val="none"/>
          <w14:textFill>
            <w14:solidFill>
              <w14:schemeClr w14:val="tx1"/>
            </w14:solidFill>
          </w14:textFill>
        </w:rPr>
        <w:t>，按招标文件要求在相应位置加盖电子印章。加盖投标人单位公章是指加盖投标人单位电子公章。法定代表人或委托代理人或勘察项目负责人的签字（盖章）是指在指定位置加盖个人电子姓名章，或书面签字后再进行扫描并上传。勘察项目负责人盖国家注册土木工程师（岩土）执业章的，由投标人加盖拟担任项目勘察负责人实体国家注册土木工程师（岩土）执业章后再进行扫描并上传。需要加盖出图章（图纸专用章）的，由投标人按规定加盖本单位实体出图章（图纸专用章）后再进行扫描上传。由委托代理人签字的，投标文件中必须同时</w:t>
      </w:r>
      <w:r>
        <w:rPr>
          <w:rFonts w:hint="eastAsia" w:ascii="宋体" w:hAnsi="宋体" w:eastAsia="宋体"/>
          <w:color w:val="000000" w:themeColor="text1"/>
          <w:szCs w:val="21"/>
          <w:highlight w:val="none"/>
          <w:lang w:eastAsia="zh-CN"/>
          <w14:textFill>
            <w14:solidFill>
              <w14:schemeClr w14:val="tx1"/>
            </w14:solidFill>
          </w14:textFill>
        </w:rPr>
        <w:t>递交投标文件</w:t>
      </w:r>
      <w:r>
        <w:rPr>
          <w:rFonts w:hint="eastAsia" w:ascii="宋体" w:hAnsi="宋体" w:eastAsia="宋体"/>
          <w:color w:val="000000" w:themeColor="text1"/>
          <w:szCs w:val="21"/>
          <w:highlight w:val="none"/>
          <w14:textFill>
            <w14:solidFill>
              <w14:schemeClr w14:val="tx1"/>
            </w14:solidFill>
          </w14:textFill>
        </w:rPr>
        <w:t>的法定代表人授权委托书，投标文件签署授权委托书格式、签字、盖章及内容均应符合要求，否则投标文件签署授权委托书无效。</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3.6.5.除投标人对错误处须修改外，全套投标文件应无涂改或行间插字和增删，如有修改，修改之处均应盖投标人的印章或由投标文件签署人签字或盖章。</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12" w:name="_Toc516688930"/>
      <w:bookmarkEnd w:id="812"/>
      <w:bookmarkStart w:id="813" w:name="_Toc516688928"/>
      <w:bookmarkEnd w:id="813"/>
      <w:bookmarkStart w:id="814" w:name="_Toc516688929"/>
      <w:bookmarkEnd w:id="814"/>
      <w:bookmarkStart w:id="815" w:name="_Toc25636"/>
      <w:bookmarkStart w:id="816" w:name="_Toc24307"/>
      <w:bookmarkStart w:id="817" w:name="_Toc11557"/>
      <w:bookmarkStart w:id="818" w:name="_Toc19573"/>
      <w:bookmarkStart w:id="819" w:name="_Toc10653"/>
      <w:bookmarkStart w:id="820" w:name="_Toc106719323"/>
      <w:bookmarkStart w:id="821" w:name="_Toc300038943"/>
      <w:bookmarkStart w:id="822" w:name="_Toc52137751"/>
      <w:bookmarkStart w:id="823" w:name="_Toc1523"/>
      <w:bookmarkStart w:id="824" w:name="_Toc516753496"/>
      <w:bookmarkStart w:id="825" w:name="_Toc19304"/>
      <w:bookmarkStart w:id="826" w:name="_Toc29950"/>
      <w:bookmarkStart w:id="827" w:name="_Toc2148"/>
      <w:bookmarkStart w:id="828" w:name="_Toc32549"/>
      <w:bookmarkStart w:id="829" w:name="_Toc30483"/>
      <w:bookmarkStart w:id="830" w:name="_Toc8326"/>
      <w:bookmarkStart w:id="831" w:name="_Toc13024"/>
      <w:bookmarkStart w:id="832" w:name="_Toc5901"/>
      <w:r>
        <w:rPr>
          <w:rFonts w:hint="eastAsia" w:ascii="黑体" w:hAnsi="黑体" w:eastAsia="黑体"/>
          <w:b w:val="0"/>
          <w:color w:val="000000" w:themeColor="text1"/>
          <w:sz w:val="28"/>
          <w:szCs w:val="28"/>
          <w:highlight w:val="none"/>
          <w14:textFill>
            <w14:solidFill>
              <w14:schemeClr w14:val="tx1"/>
            </w14:solidFill>
          </w14:textFill>
        </w:rPr>
        <w:t>4.投标</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33" w:name="_Toc17036"/>
      <w:bookmarkStart w:id="834" w:name="_Toc28826"/>
      <w:bookmarkStart w:id="835" w:name="_Toc2938"/>
      <w:bookmarkStart w:id="836" w:name="_Toc25436"/>
      <w:bookmarkStart w:id="837" w:name="_Toc10297"/>
      <w:bookmarkStart w:id="838" w:name="_Toc12088"/>
      <w:bookmarkStart w:id="839" w:name="_Toc52137752"/>
      <w:bookmarkStart w:id="840" w:name="_Toc7721"/>
      <w:bookmarkStart w:id="841" w:name="_Toc22882"/>
      <w:bookmarkStart w:id="842" w:name="_Toc4729"/>
      <w:bookmarkStart w:id="843" w:name="_Toc106719324"/>
      <w:bookmarkStart w:id="844" w:name="_Toc17170"/>
      <w:bookmarkStart w:id="845" w:name="_Toc24883"/>
      <w:bookmarkStart w:id="846" w:name="_Toc2154"/>
      <w:bookmarkStart w:id="847" w:name="_Toc516753497"/>
      <w:bookmarkStart w:id="848" w:name="_Toc300038944"/>
      <w:bookmarkStart w:id="849" w:name="_Toc26371"/>
      <w:bookmarkStart w:id="850" w:name="_Toc23150"/>
      <w:r>
        <w:rPr>
          <w:rFonts w:hint="eastAsia" w:ascii="黑体" w:hAnsi="黑体" w:eastAsia="黑体"/>
          <w:b w:val="0"/>
          <w:color w:val="000000" w:themeColor="text1"/>
          <w:sz w:val="28"/>
          <w:szCs w:val="28"/>
          <w:highlight w:val="none"/>
          <w14:textFill>
            <w14:solidFill>
              <w14:schemeClr w14:val="tx1"/>
            </w14:solidFill>
          </w14:textFill>
        </w:rPr>
        <w:t>4.1.投标文件的加密和标识</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4.1.1.</w:t>
      </w:r>
      <w:r>
        <w:rPr>
          <w:rFonts w:ascii="宋体" w:hAnsi="宋体" w:eastAsia="宋体"/>
          <w:color w:val="000000" w:themeColor="text1"/>
          <w:szCs w:val="21"/>
          <w:highlight w:val="none"/>
          <w14:textFill>
            <w14:solidFill>
              <w14:schemeClr w14:val="tx1"/>
            </w14:solidFill>
          </w14:textFill>
        </w:rPr>
        <w:t>投标人应当按照投标人须知前附表</w:t>
      </w:r>
      <w:r>
        <w:rPr>
          <w:rFonts w:hint="eastAsia" w:ascii="宋体" w:hAnsi="宋体" w:eastAsia="宋体"/>
          <w:color w:val="000000" w:themeColor="text1"/>
          <w:szCs w:val="21"/>
          <w:highlight w:val="none"/>
          <w14:textFill>
            <w14:solidFill>
              <w14:schemeClr w14:val="tx1"/>
            </w14:solidFill>
          </w14:textFill>
        </w:rPr>
        <w:t>的规定编制与</w:t>
      </w:r>
      <w:r>
        <w:rPr>
          <w:rFonts w:ascii="宋体" w:hAnsi="宋体" w:eastAsia="宋体"/>
          <w:color w:val="000000" w:themeColor="text1"/>
          <w:szCs w:val="21"/>
          <w:highlight w:val="none"/>
          <w14:textFill>
            <w14:solidFill>
              <w14:schemeClr w14:val="tx1"/>
            </w14:solidFill>
          </w14:textFill>
        </w:rPr>
        <w:t>加密投标文件。</w:t>
      </w:r>
    </w:p>
    <w:p>
      <w:pPr>
        <w:pStyle w:val="15"/>
        <w:tabs>
          <w:tab w:val="left" w:pos="567"/>
          <w:tab w:val="left" w:pos="1000"/>
        </w:tabs>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4.1.2.投标文件中的技术文件应采用暗标形式递交，</w:t>
      </w:r>
      <w:r>
        <w:rPr>
          <w:rFonts w:hint="eastAsia" w:ascii="宋体" w:hAnsi="宋体"/>
          <w:color w:val="000000" w:themeColor="text1"/>
          <w:szCs w:val="21"/>
          <w:highlight w:val="none"/>
          <w14:textFill>
            <w14:solidFill>
              <w14:schemeClr w14:val="tx1"/>
            </w14:solidFill>
          </w14:textFill>
        </w:rPr>
        <w:t>不得体现投标人名称、具体人名，不得体现投标人承担过的工程项目名称，不得体现其他可以判定投标人的标识或文字。</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4.1.3.投标人的投标文件存在下列情形，视为投标文件雷同：</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（2）不同投标人的电子投标文件使用同一台计算机编制。不同投标人的电子投标文件编制时的计算机硬件信息中存在一条及以上的计算机网卡MAC地址（如有）、CPU序列号和数据储存设备序列号均相同的。</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（3）不同投标人的技术文件（勘察纲要）经电子交易平台查重分析，内容异常一致或者实质性相同的。</w:t>
      </w:r>
    </w:p>
    <w:bookmarkEnd w:id="847"/>
    <w:bookmarkEnd w:id="848"/>
    <w:bookmarkEnd w:id="849"/>
    <w:bookmarkEnd w:id="850"/>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51" w:name="_Toc300038945"/>
      <w:bookmarkStart w:id="852" w:name="_Toc22080"/>
      <w:bookmarkStart w:id="853" w:name="_Toc29709"/>
      <w:bookmarkStart w:id="854" w:name="_Toc5834"/>
      <w:bookmarkStart w:id="855" w:name="_Toc52137753"/>
      <w:bookmarkStart w:id="856" w:name="_Toc106719325"/>
      <w:bookmarkStart w:id="857" w:name="_Toc29993"/>
      <w:bookmarkStart w:id="858" w:name="_Toc516753498"/>
      <w:bookmarkStart w:id="859" w:name="_Toc24772"/>
      <w:bookmarkStart w:id="860" w:name="_Toc29852"/>
      <w:bookmarkStart w:id="861" w:name="_Toc18407"/>
      <w:bookmarkStart w:id="862" w:name="_Toc20007"/>
      <w:bookmarkStart w:id="863" w:name="_Toc18501"/>
      <w:bookmarkStart w:id="864" w:name="_Toc8033"/>
      <w:bookmarkStart w:id="865" w:name="_Toc10738"/>
      <w:bookmarkStart w:id="866" w:name="_Toc30652"/>
      <w:bookmarkStart w:id="867" w:name="_Toc25830"/>
      <w:bookmarkStart w:id="868" w:name="_Toc22000"/>
      <w:r>
        <w:rPr>
          <w:rFonts w:hint="eastAsia" w:ascii="黑体" w:hAnsi="黑体" w:eastAsia="黑体"/>
          <w:b w:val="0"/>
          <w:color w:val="000000" w:themeColor="text1"/>
          <w:sz w:val="28"/>
          <w:szCs w:val="28"/>
          <w:highlight w:val="none"/>
          <w14:textFill>
            <w14:solidFill>
              <w14:schemeClr w14:val="tx1"/>
            </w14:solidFill>
          </w14:textFill>
        </w:rPr>
        <w:t>4.2.投标文件的递交</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4.2.1.</w:t>
      </w:r>
      <w:r>
        <w:rPr>
          <w:rFonts w:ascii="宋体" w:hAnsi="宋体" w:eastAsia="宋体"/>
          <w:color w:val="000000" w:themeColor="text1"/>
          <w:szCs w:val="21"/>
          <w:highlight w:val="none"/>
          <w14:textFill>
            <w14:solidFill>
              <w14:schemeClr w14:val="tx1"/>
            </w14:solidFill>
          </w14:textFill>
        </w:rPr>
        <w:t>投标人应在投标人须知前附表规定的投标截止时间前递交投标文件。</w:t>
      </w:r>
      <w:r>
        <w:rPr>
          <w:rFonts w:hint="eastAsia" w:ascii="宋体" w:hAnsi="宋体" w:eastAsia="宋体"/>
          <w:color w:val="000000" w:themeColor="text1"/>
          <w:szCs w:val="21"/>
          <w:highlight w:val="none"/>
          <w14:textFill>
            <w14:solidFill>
              <w14:schemeClr w14:val="tx1"/>
            </w14:solidFill>
          </w14:textFill>
        </w:rPr>
        <w:t>招标人可以按本投标人须知第2.3、2.4款规定以修改补充通知的方式，酌情延长递交投标文件的截止时间。在此情况下，投标人的所有权利和义务以及投标人所制约的截止时间，均应</w:t>
      </w:r>
      <w:r>
        <w:rPr>
          <w:rFonts w:hint="eastAsia" w:ascii="宋体" w:hAnsi="宋体" w:eastAsia="宋体"/>
          <w:color w:val="000000" w:themeColor="text1"/>
          <w:szCs w:val="21"/>
          <w:highlight w:val="none"/>
          <w:lang w:val="en-US" w:eastAsia="zh-CN"/>
          <w14:textFill>
            <w14:solidFill>
              <w14:schemeClr w14:val="tx1"/>
            </w14:solidFill>
          </w14:textFill>
        </w:rPr>
        <w:t>以</w:t>
      </w:r>
      <w:r>
        <w:rPr>
          <w:rFonts w:hint="eastAsia" w:ascii="宋体" w:hAnsi="宋体" w:eastAsia="宋体"/>
          <w:color w:val="000000" w:themeColor="text1"/>
          <w:szCs w:val="21"/>
          <w:highlight w:val="none"/>
          <w14:textFill>
            <w14:solidFill>
              <w14:schemeClr w14:val="tx1"/>
            </w14:solidFill>
          </w14:textFill>
        </w:rPr>
        <w:t>延长后新的截止时间为准。</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4.2.2.投标人应按投标人须知前附表规定的电子交易平台，于投标截止时间前递交投标文件至电子交易平台。投标截止时间前未完成投标文件传输的，视为撤回投标文件。电子交易平台在投标截止时间前收到投标人送达的投标文件，应当即时向投标人发出递交回执通知，投标人应妥善保管。逾期送达的，电子交易平台不予受理。</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4.2.3.除另有规定外，投标人所递交的投标文件不予退还。</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4.2.4.到投标截止时间止，招标人收到的投标文件少于3家的，招标人将依法重新组织招标。</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69" w:name="_Toc20218"/>
      <w:bookmarkStart w:id="870" w:name="_Toc300038947"/>
      <w:bookmarkStart w:id="871" w:name="_Toc15888"/>
      <w:bookmarkStart w:id="872" w:name="_Toc31765"/>
      <w:bookmarkStart w:id="873" w:name="_Toc18187"/>
      <w:bookmarkStart w:id="874" w:name="_Toc20028"/>
      <w:bookmarkStart w:id="875" w:name="_Toc2832"/>
      <w:bookmarkStart w:id="876" w:name="_Toc1217"/>
      <w:bookmarkStart w:id="877" w:name="_Toc7249"/>
      <w:bookmarkStart w:id="878" w:name="_Toc29147"/>
      <w:bookmarkStart w:id="879" w:name="_Toc52137754"/>
      <w:bookmarkStart w:id="880" w:name="_Toc19028"/>
      <w:bookmarkStart w:id="881" w:name="_Toc14415"/>
      <w:bookmarkStart w:id="882" w:name="_Toc24009"/>
      <w:bookmarkStart w:id="883" w:name="_Toc7922"/>
      <w:bookmarkStart w:id="884" w:name="_Toc106719326"/>
      <w:bookmarkStart w:id="885" w:name="_Toc22644"/>
      <w:bookmarkStart w:id="886" w:name="_Toc516753500"/>
      <w:r>
        <w:rPr>
          <w:rFonts w:hint="eastAsia" w:ascii="黑体" w:hAnsi="黑体" w:eastAsia="黑体"/>
          <w:b w:val="0"/>
          <w:color w:val="000000" w:themeColor="text1"/>
          <w:sz w:val="28"/>
          <w:szCs w:val="28"/>
          <w:highlight w:val="none"/>
          <w14:textFill>
            <w14:solidFill>
              <w14:schemeClr w14:val="tx1"/>
            </w14:solidFill>
          </w14:textFill>
        </w:rPr>
        <w:t>4.3.投标文件的补充、修改与撤回</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4.3.1.投标人可以在递交投标文件以后，在</w:t>
      </w:r>
      <w:r>
        <w:rPr>
          <w:rFonts w:ascii="宋体" w:hAnsi="宋体" w:eastAsia="宋体"/>
          <w:color w:val="000000" w:themeColor="text1"/>
          <w:szCs w:val="21"/>
          <w:highlight w:val="none"/>
          <w14:textFill>
            <w14:solidFill>
              <w14:schemeClr w14:val="tx1"/>
            </w14:solidFill>
          </w14:textFill>
        </w:rPr>
        <w:t>投标人须知前附表</w:t>
      </w:r>
      <w:r>
        <w:rPr>
          <w:rFonts w:hint="eastAsia" w:ascii="宋体" w:hAnsi="宋体" w:eastAsia="宋体"/>
          <w:color w:val="000000" w:themeColor="text1"/>
          <w:szCs w:val="21"/>
          <w:highlight w:val="none"/>
          <w14:textFill>
            <w14:solidFill>
              <w14:schemeClr w14:val="tx1"/>
            </w14:solidFill>
          </w14:textFill>
        </w:rPr>
        <w:t>规定的投标截止时间之前，通过电子交易平台撤回，修改后再提交。以其最后递交的投标文件为准。在投标截止时间以后，投标人不能更改投标文件。</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4.3.2.从投标截止期至投标有效期之间的这段时间内，投标人不得撤回其投标文件，否则根据本须知正文第3.4款的规定，该投标人的投标保证金</w:t>
      </w:r>
      <w:r>
        <w:rPr>
          <w:rFonts w:hint="eastAsia" w:ascii="宋体" w:hAnsi="宋体" w:eastAsia="宋体"/>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887" w:name="_Toc31386"/>
      <w:bookmarkStart w:id="888" w:name="_Toc24702"/>
      <w:bookmarkStart w:id="889" w:name="_Toc516753501"/>
      <w:bookmarkStart w:id="890" w:name="_Toc29499"/>
      <w:bookmarkStart w:id="891" w:name="_Toc52137755"/>
      <w:bookmarkStart w:id="892" w:name="_Toc106719327"/>
      <w:bookmarkStart w:id="893" w:name="_Toc22578"/>
      <w:bookmarkStart w:id="894" w:name="_Toc29411"/>
      <w:bookmarkStart w:id="895" w:name="_Toc10227"/>
      <w:bookmarkStart w:id="896" w:name="_Toc31099"/>
      <w:bookmarkStart w:id="897" w:name="_Toc30995"/>
      <w:bookmarkStart w:id="898" w:name="_Toc28300"/>
      <w:bookmarkStart w:id="899" w:name="_Toc32607"/>
      <w:bookmarkStart w:id="900" w:name="_Toc21638"/>
      <w:bookmarkStart w:id="901" w:name="_Toc26138"/>
      <w:bookmarkStart w:id="902" w:name="_Toc32392"/>
      <w:bookmarkStart w:id="903" w:name="_Toc16105"/>
      <w:bookmarkStart w:id="904" w:name="_Toc300038948"/>
      <w:r>
        <w:rPr>
          <w:rFonts w:hint="eastAsia" w:ascii="黑体" w:hAnsi="黑体" w:eastAsia="黑体"/>
          <w:b w:val="0"/>
          <w:color w:val="000000" w:themeColor="text1"/>
          <w:sz w:val="28"/>
          <w:szCs w:val="28"/>
          <w:highlight w:val="none"/>
          <w14:textFill>
            <w14:solidFill>
              <w14:schemeClr w14:val="tx1"/>
            </w14:solidFill>
          </w14:textFill>
        </w:rPr>
        <w:t>5.开标</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05" w:name="_Toc18146"/>
      <w:bookmarkStart w:id="906" w:name="_Toc13306"/>
      <w:bookmarkStart w:id="907" w:name="_Toc516753502"/>
      <w:bookmarkStart w:id="908" w:name="_Toc106719328"/>
      <w:bookmarkStart w:id="909" w:name="_Toc15583"/>
      <w:bookmarkStart w:id="910" w:name="_Toc26658"/>
      <w:bookmarkStart w:id="911" w:name="_Toc30616"/>
      <w:bookmarkStart w:id="912" w:name="_Toc23350"/>
      <w:bookmarkStart w:id="913" w:name="_Toc26197"/>
      <w:bookmarkStart w:id="914" w:name="_Toc24768"/>
      <w:bookmarkStart w:id="915" w:name="_Toc300038949"/>
      <w:bookmarkStart w:id="916" w:name="_Toc21671"/>
      <w:bookmarkStart w:id="917" w:name="_Toc52137756"/>
      <w:bookmarkStart w:id="918" w:name="_Toc31625"/>
      <w:bookmarkStart w:id="919" w:name="_Toc7888"/>
      <w:bookmarkStart w:id="920" w:name="_Toc8882"/>
      <w:bookmarkStart w:id="921" w:name="_Toc9100"/>
      <w:bookmarkStart w:id="922" w:name="_Toc18378"/>
      <w:r>
        <w:rPr>
          <w:rFonts w:hint="eastAsia" w:ascii="黑体" w:hAnsi="黑体" w:eastAsia="黑体"/>
          <w:b w:val="0"/>
          <w:color w:val="000000" w:themeColor="text1"/>
          <w:sz w:val="28"/>
          <w:szCs w:val="28"/>
          <w:highlight w:val="none"/>
          <w14:textFill>
            <w14:solidFill>
              <w14:schemeClr w14:val="tx1"/>
            </w14:solidFill>
          </w14:textFill>
        </w:rPr>
        <w:t>5.1.开标</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5.1.1.招标人应按照投标人须知前附表规定的时间（开标时间）和地点，在电子交易平台公开在线组织开标，所有投标人均应准时在线参加开标。投标人应按照招标文件规定的时间及方式对电子投标文件进行解密。电子交易平台应为投标人远程解密电子投标文件提供便利和软件技术支持。投标人在招标项目开标时需登录电子交易平台，待解密环节开始时及时插入</w:t>
      </w:r>
      <w:r>
        <w:rPr>
          <w:rFonts w:ascii="宋体" w:hAnsi="宋体" w:eastAsia="宋体"/>
          <w:color w:val="000000" w:themeColor="text1"/>
          <w:szCs w:val="21"/>
          <w:highlight w:val="none"/>
          <w14:textFill>
            <w14:solidFill>
              <w14:schemeClr w14:val="tx1"/>
            </w14:solidFill>
          </w14:textFill>
        </w:rPr>
        <w:t xml:space="preserve">CA </w:t>
      </w:r>
      <w:r>
        <w:rPr>
          <w:rFonts w:hint="eastAsia" w:ascii="宋体" w:hAnsi="宋体" w:eastAsia="宋体"/>
          <w:color w:val="000000" w:themeColor="text1"/>
          <w:szCs w:val="21"/>
          <w:highlight w:val="none"/>
          <w14:textFill>
            <w14:solidFill>
              <w14:schemeClr w14:val="tx1"/>
            </w14:solidFill>
          </w14:textFill>
        </w:rPr>
        <w:t>证书进行投标文件在线解密，投标文件在线解密方式见投标人须知前附表规定。</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投标截止时间前，经建设单位研究确定的定标方案应当</w:t>
      </w:r>
      <w:r>
        <w:rPr>
          <w:rFonts w:hint="eastAsia" w:ascii="宋体" w:hAnsi="宋体" w:eastAsia="宋体"/>
          <w:color w:val="000000" w:themeColor="text1"/>
          <w:szCs w:val="21"/>
          <w:highlight w:val="none"/>
          <w:lang w:val="en-US" w:eastAsia="zh-CN"/>
          <w14:textFill>
            <w14:solidFill>
              <w14:schemeClr w14:val="tx1"/>
            </w14:solidFill>
          </w14:textFill>
        </w:rPr>
        <w:t>使用建设单位CA证书</w:t>
      </w:r>
      <w:r>
        <w:rPr>
          <w:rFonts w:hint="eastAsia" w:ascii="宋体" w:hAnsi="宋体" w:eastAsia="宋体"/>
          <w:color w:val="000000" w:themeColor="text1"/>
          <w:szCs w:val="21"/>
          <w:highlight w:val="none"/>
          <w14:textFill>
            <w14:solidFill>
              <w14:schemeClr w14:val="tx1"/>
            </w14:solidFill>
          </w14:textFill>
        </w:rPr>
        <w:t>加密后上传</w:t>
      </w:r>
      <w:r>
        <w:rPr>
          <w:rFonts w:hint="eastAsia" w:ascii="宋体" w:hAnsi="宋体" w:eastAsia="宋体"/>
          <w:color w:val="000000" w:themeColor="text1"/>
          <w:szCs w:val="21"/>
          <w:highlight w:val="none"/>
          <w:lang w:val="en-US" w:eastAsia="zh-CN"/>
          <w14:textFill>
            <w14:solidFill>
              <w14:schemeClr w14:val="tx1"/>
            </w14:solidFill>
          </w14:textFill>
        </w:rPr>
        <w:t>公共资源</w:t>
      </w:r>
      <w:r>
        <w:rPr>
          <w:rFonts w:hint="eastAsia" w:ascii="宋体" w:hAnsi="宋体" w:eastAsia="宋体"/>
          <w:color w:val="000000" w:themeColor="text1"/>
          <w:szCs w:val="21"/>
          <w:highlight w:val="none"/>
          <w14:textFill>
            <w14:solidFill>
              <w14:schemeClr w14:val="tx1"/>
            </w14:solidFill>
          </w14:textFill>
        </w:rPr>
        <w:t>电子交易平台，未按前述规定上传定标方案的，不得开标，招标人应当向招投标监督机构备案后重新确定开标时间。</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5.1.2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或延期开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开标结果不受影响。</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5.1.3.解密程序完成后，由电子交易平台自动生成《开标记录表（1）》、《开标记录表（2）》格式见投标人须知附件2-</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bookmarkStart w:id="923" w:name="_Toc300038951"/>
      <w:bookmarkStart w:id="924" w:name="_Toc8979"/>
      <w:bookmarkStart w:id="925" w:name="_Toc22099"/>
      <w:bookmarkStart w:id="926" w:name="_Toc516753504"/>
    </w:p>
    <w:p>
      <w:pPr>
        <w:pStyle w:val="6"/>
        <w:spacing w:beforeLines="50" w:afterLines="50" w:line="360" w:lineRule="auto"/>
        <w:rPr>
          <w:rFonts w:hint="eastAsia" w:ascii="黑体" w:hAnsi="黑体" w:eastAsia="黑体"/>
          <w:b w:val="0"/>
          <w:color w:val="000000" w:themeColor="text1"/>
          <w:sz w:val="28"/>
          <w:szCs w:val="28"/>
          <w:highlight w:val="none"/>
          <w14:textFill>
            <w14:solidFill>
              <w14:schemeClr w14:val="tx1"/>
            </w14:solidFill>
          </w14:textFill>
        </w:rPr>
      </w:pPr>
      <w:bookmarkStart w:id="927" w:name="_Toc18039"/>
      <w:bookmarkStart w:id="928" w:name="_Toc24944"/>
      <w:bookmarkStart w:id="929" w:name="_Toc31039"/>
      <w:bookmarkStart w:id="930" w:name="_Toc28069"/>
      <w:bookmarkStart w:id="931" w:name="_Toc24089"/>
      <w:bookmarkStart w:id="932" w:name="_Toc16616"/>
      <w:bookmarkStart w:id="933" w:name="_Toc7201"/>
      <w:bookmarkStart w:id="934" w:name="_Toc24348"/>
      <w:bookmarkStart w:id="935" w:name="_Toc17425"/>
      <w:bookmarkStart w:id="936" w:name="_Toc22932"/>
      <w:bookmarkStart w:id="937" w:name="_Toc27317"/>
      <w:bookmarkStart w:id="938" w:name="_Toc4243"/>
      <w:bookmarkStart w:id="939" w:name="_Toc106719331"/>
      <w:bookmarkStart w:id="940" w:name="_Toc52137759"/>
      <w:r>
        <w:rPr>
          <w:rFonts w:hint="eastAsia" w:ascii="黑体" w:hAnsi="黑体" w:eastAsia="黑体"/>
          <w:b w:val="0"/>
          <w:color w:val="000000" w:themeColor="text1"/>
          <w:sz w:val="28"/>
          <w:szCs w:val="28"/>
          <w:highlight w:val="none"/>
          <w14:textFill>
            <w14:solidFill>
              <w14:schemeClr w14:val="tx1"/>
            </w14:solidFill>
          </w14:textFill>
        </w:rPr>
        <w:t>6.评标</w:t>
      </w:r>
      <w:bookmarkEnd w:id="927"/>
      <w:bookmarkEnd w:id="928"/>
      <w:bookmarkEnd w:id="929"/>
      <w:bookmarkEnd w:id="930"/>
      <w:bookmarkEnd w:id="931"/>
      <w:bookmarkEnd w:id="932"/>
      <w:bookmarkEnd w:id="933"/>
      <w:bookmarkEnd w:id="934"/>
      <w:bookmarkEnd w:id="935"/>
      <w:bookmarkEnd w:id="936"/>
      <w:bookmarkEnd w:id="937"/>
      <w:bookmarkEnd w:id="938"/>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41" w:name="_Toc25262"/>
      <w:bookmarkStart w:id="942" w:name="_Toc26626"/>
      <w:bookmarkStart w:id="943" w:name="_Toc10675"/>
      <w:bookmarkStart w:id="944" w:name="_Toc9775"/>
      <w:bookmarkStart w:id="945" w:name="_Toc945"/>
      <w:bookmarkStart w:id="946" w:name="_Toc2854"/>
      <w:bookmarkStart w:id="947" w:name="_Toc30876"/>
      <w:bookmarkStart w:id="948" w:name="_Toc28904"/>
      <w:bookmarkStart w:id="949" w:name="_Toc24261"/>
      <w:bookmarkStart w:id="950" w:name="_Toc8401"/>
      <w:bookmarkStart w:id="951" w:name="_Toc18860"/>
      <w:bookmarkStart w:id="952" w:name="_Toc940"/>
      <w:r>
        <w:rPr>
          <w:rFonts w:hint="eastAsia" w:ascii="黑体" w:hAnsi="黑体" w:eastAsia="黑体"/>
          <w:b w:val="0"/>
          <w:color w:val="000000" w:themeColor="text1"/>
          <w:sz w:val="28"/>
          <w:szCs w:val="28"/>
          <w:highlight w:val="none"/>
          <w14:textFill>
            <w14:solidFill>
              <w14:schemeClr w14:val="tx1"/>
            </w14:solidFill>
          </w14:textFill>
        </w:rPr>
        <w:t>6.</w:t>
      </w:r>
      <w:r>
        <w:rPr>
          <w:rFonts w:hint="eastAsia" w:ascii="黑体" w:hAnsi="黑体" w:eastAsia="黑体"/>
          <w:b w:val="0"/>
          <w:color w:val="000000" w:themeColor="text1"/>
          <w:sz w:val="28"/>
          <w:szCs w:val="28"/>
          <w:highlight w:val="none"/>
          <w:lang w:val="en-US" w:eastAsia="zh-CN"/>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.评标委员会</w:t>
      </w:r>
      <w:bookmarkEnd w:id="923"/>
      <w:bookmarkEnd w:id="924"/>
      <w:bookmarkEnd w:id="925"/>
      <w:bookmarkEnd w:id="926"/>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.1.评标委员会由招标人依法组建，负责评标活动，评标委员会由招标人从福建省综合性评标专家库中随机抽取勘察专业评标专家组成。技术特别复杂、专业性要求特别高或者国家有特殊要求，采取随机抽取</w:t>
      </w:r>
      <w:r>
        <w:rPr>
          <w:rFonts w:hint="eastAsia" w:ascii="宋体" w:hAnsi="宋体" w:eastAsia="宋体"/>
          <w:color w:val="000000" w:themeColor="text1"/>
          <w:szCs w:val="21"/>
          <w:highlight w:val="none"/>
          <w:lang w:eastAsia="zh-CN"/>
          <w14:textFill>
            <w14:solidFill>
              <w14:schemeClr w14:val="tx1"/>
            </w14:solidFill>
          </w14:textFill>
        </w:rPr>
        <w:t>方式</w:t>
      </w:r>
      <w:r>
        <w:rPr>
          <w:rFonts w:hint="eastAsia" w:ascii="宋体" w:hAnsi="宋体" w:eastAsia="宋体"/>
          <w:color w:val="000000" w:themeColor="text1"/>
          <w:szCs w:val="21"/>
          <w:highlight w:val="none"/>
          <w14:textFill>
            <w14:solidFill>
              <w14:schemeClr w14:val="tx1"/>
            </w14:solidFill>
          </w14:textFill>
        </w:rPr>
        <w:t>难以保证胜任评标工作或者省综合评标专家库中相应专业的评标专家数量无法满足评标需要的</w:t>
      </w:r>
      <w:r>
        <w:rPr>
          <w:rFonts w:hint="eastAsia" w:ascii="宋体" w:hAnsi="宋体" w:eastAsia="宋体"/>
          <w:color w:val="000000" w:themeColor="text1"/>
          <w:szCs w:val="21"/>
          <w:highlight w:val="none"/>
          <w:lang w:eastAsia="zh-CN"/>
          <w14:textFill>
            <w14:solidFill>
              <w14:schemeClr w14:val="tx1"/>
            </w14:solidFill>
          </w14:textFill>
        </w:rPr>
        <w:t>项目</w:t>
      </w: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lang w:eastAsia="zh-CN"/>
          <w14:textFill>
            <w14:solidFill>
              <w14:schemeClr w14:val="tx1"/>
            </w14:solidFill>
          </w14:textFill>
        </w:rPr>
        <w:t>可以</w:t>
      </w:r>
      <w:r>
        <w:rPr>
          <w:rFonts w:hint="eastAsia" w:ascii="宋体" w:hAnsi="宋体" w:eastAsia="宋体"/>
          <w:color w:val="000000" w:themeColor="text1"/>
          <w:szCs w:val="21"/>
          <w:highlight w:val="none"/>
          <w14:textFill>
            <w14:solidFill>
              <w14:schemeClr w14:val="tx1"/>
            </w14:solidFill>
          </w14:textFill>
        </w:rPr>
        <w:t>按照</w:t>
      </w:r>
      <w:r>
        <w:rPr>
          <w:rFonts w:hint="eastAsia" w:ascii="宋体" w:hAnsi="宋体" w:eastAsia="宋体"/>
          <w:color w:val="000000" w:themeColor="text1"/>
          <w:szCs w:val="21"/>
          <w:highlight w:val="none"/>
          <w:lang w:val="en-US" w:eastAsia="zh-CN"/>
          <w14:textFill>
            <w14:solidFill>
              <w14:schemeClr w14:val="tx1"/>
            </w14:solidFill>
          </w14:textFill>
        </w:rPr>
        <w:t>福建</w:t>
      </w:r>
      <w:r>
        <w:rPr>
          <w:rFonts w:hint="eastAsia" w:ascii="宋体" w:hAnsi="宋体" w:eastAsia="宋体"/>
          <w:color w:val="000000" w:themeColor="text1"/>
          <w:szCs w:val="21"/>
          <w:highlight w:val="none"/>
          <w14:textFill>
            <w14:solidFill>
              <w14:schemeClr w14:val="tx1"/>
            </w14:solidFill>
          </w14:textFill>
        </w:rPr>
        <w:t>省综合评标专家库管理</w:t>
      </w:r>
      <w:r>
        <w:rPr>
          <w:rFonts w:hint="eastAsia" w:ascii="宋体" w:hAnsi="宋体" w:eastAsia="宋体"/>
          <w:color w:val="000000" w:themeColor="text1"/>
          <w:szCs w:val="21"/>
          <w:highlight w:val="none"/>
          <w:lang w:eastAsia="zh-CN"/>
          <w14:textFill>
            <w14:solidFill>
              <w14:schemeClr w14:val="tx1"/>
            </w14:solidFill>
          </w14:textFill>
        </w:rPr>
        <w:t>有关</w:t>
      </w:r>
      <w:r>
        <w:rPr>
          <w:rFonts w:hint="eastAsia" w:ascii="宋体" w:hAnsi="宋体" w:eastAsia="宋体"/>
          <w:color w:val="000000" w:themeColor="text1"/>
          <w:szCs w:val="21"/>
          <w:highlight w:val="none"/>
          <w14:textFill>
            <w14:solidFill>
              <w14:schemeClr w14:val="tx1"/>
            </w14:solidFill>
          </w14:textFill>
        </w:rPr>
        <w:t>规定直接确定评标委员会的专家成员</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也可以直接邀请相应专业的中国科学院院士、中国工程院院士、全国工程勘察设计大师参加评标。</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.2.评标委员会应在投标文件解密完成后从规定的评标专家库中抽取；直接确定评标委员会的专家成员的，招标人应当采取有效措施做好保密工作。</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953" w:name="_Toc300038954"/>
      <w:bookmarkStart w:id="954" w:name="_Toc29452"/>
      <w:bookmarkStart w:id="955" w:name="_Toc21947"/>
      <w:bookmarkStart w:id="956" w:name="_Toc17985"/>
      <w:bookmarkStart w:id="957" w:name="_Toc1300"/>
      <w:bookmarkStart w:id="958" w:name="_Toc3621"/>
      <w:bookmarkStart w:id="959" w:name="_Toc17395"/>
      <w:bookmarkStart w:id="960" w:name="_Toc27798"/>
      <w:bookmarkStart w:id="961" w:name="_Toc5336"/>
      <w:bookmarkStart w:id="962" w:name="_Toc52137760"/>
      <w:bookmarkStart w:id="963" w:name="_Toc11269"/>
      <w:bookmarkStart w:id="964" w:name="_Toc516753507"/>
      <w:bookmarkStart w:id="965" w:name="_Toc8769"/>
      <w:bookmarkStart w:id="966" w:name="_Toc11536"/>
      <w:bookmarkStart w:id="967" w:name="_Toc9129"/>
      <w:bookmarkStart w:id="968" w:name="_Toc106719332"/>
      <w:bookmarkStart w:id="969" w:name="_Toc12215"/>
      <w:bookmarkStart w:id="970" w:name="_Toc5735"/>
      <w:r>
        <w:rPr>
          <w:rFonts w:hint="eastAsia" w:ascii="黑体" w:hAnsi="黑体" w:eastAsia="黑体"/>
          <w:b w:val="0"/>
          <w:color w:val="000000" w:themeColor="text1"/>
          <w:sz w:val="28"/>
          <w:szCs w:val="28"/>
          <w:highlight w:val="none"/>
          <w14:textFill>
            <w14:solidFill>
              <w14:schemeClr w14:val="tx1"/>
            </w14:solidFill>
          </w14:textFill>
        </w:rPr>
        <w:t>6.</w:t>
      </w:r>
      <w:r>
        <w:rPr>
          <w:rFonts w:hint="eastAsia" w:ascii="黑体" w:hAnsi="黑体" w:eastAsia="黑体"/>
          <w:b w:val="0"/>
          <w:color w:val="000000" w:themeColor="text1"/>
          <w:sz w:val="28"/>
          <w:szCs w:val="28"/>
          <w:highlight w:val="none"/>
          <w:lang w:val="en-US" w:eastAsia="zh-CN"/>
          <w14:textFill>
            <w14:solidFill>
              <w14:schemeClr w14:val="tx1"/>
            </w14:solidFill>
          </w14:textFill>
        </w:rPr>
        <w:t>2</w:t>
      </w:r>
      <w:r>
        <w:rPr>
          <w:rFonts w:hint="eastAsia" w:ascii="黑体" w:hAnsi="黑体" w:eastAsia="黑体"/>
          <w:b w:val="0"/>
          <w:color w:val="000000" w:themeColor="text1"/>
          <w:sz w:val="28"/>
          <w:szCs w:val="28"/>
          <w:highlight w:val="none"/>
          <w14:textFill>
            <w14:solidFill>
              <w14:schemeClr w14:val="tx1"/>
            </w14:solidFill>
          </w14:textFill>
        </w:rPr>
        <w:t>.评标</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本招标项目采用的评标办法见投标人须知前附表。评标委员会按照招标文件第三章“评标办法”规定进行评标。</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评标办法</w:t>
      </w:r>
      <w:r>
        <w:rPr>
          <w:rFonts w:ascii="宋体" w:hAnsi="宋体" w:eastAsia="宋体"/>
          <w:color w:val="000000" w:themeColor="text1"/>
          <w:szCs w:val="21"/>
          <w:highlight w:val="none"/>
          <w14:textFill>
            <w14:solidFill>
              <w14:schemeClr w14:val="tx1"/>
            </w14:solidFill>
          </w14:textFill>
        </w:rPr>
        <w:t>”没有规定的方法、评审因素和标准，不作为评标依据。</w:t>
      </w:r>
    </w:p>
    <w:p>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971" w:name="_Toc23738"/>
      <w:bookmarkStart w:id="972" w:name="_Toc31059"/>
      <w:bookmarkStart w:id="973" w:name="_Toc28694"/>
      <w:bookmarkStart w:id="974" w:name="_Toc4365"/>
      <w:bookmarkStart w:id="975" w:name="_Toc21330"/>
      <w:bookmarkStart w:id="976" w:name="_Toc1171"/>
      <w:bookmarkStart w:id="977" w:name="_Toc15916"/>
      <w:bookmarkStart w:id="978" w:name="_Toc9250"/>
      <w:bookmarkStart w:id="979" w:name="_Toc24653"/>
      <w:bookmarkStart w:id="980" w:name="_Toc23589"/>
      <w:bookmarkStart w:id="981" w:name="_Toc28705"/>
      <w:bookmarkStart w:id="982" w:name="_Toc25023"/>
      <w:bookmarkStart w:id="983" w:name="_Toc106719333"/>
      <w:bookmarkStart w:id="984" w:name="_Toc52137761"/>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7.清标、定标、中标与合同授予</w:t>
      </w:r>
      <w:bookmarkEnd w:id="971"/>
      <w:bookmarkEnd w:id="972"/>
      <w:bookmarkEnd w:id="973"/>
      <w:bookmarkEnd w:id="974"/>
      <w:bookmarkEnd w:id="975"/>
      <w:bookmarkEnd w:id="976"/>
      <w:bookmarkEnd w:id="977"/>
      <w:bookmarkEnd w:id="978"/>
      <w:bookmarkEnd w:id="979"/>
      <w:bookmarkEnd w:id="980"/>
      <w:bookmarkEnd w:id="981"/>
      <w:bookmarkEnd w:id="982"/>
    </w:p>
    <w:p>
      <w:pPr>
        <w:keepNext/>
        <w:keepLines/>
        <w:widowControl/>
        <w:adjustRightInd w:val="0"/>
        <w:spacing w:before="260" w:beforeLines="50" w:after="260" w:afterLines="50" w:line="360" w:lineRule="auto"/>
        <w:ind w:firstLine="0"/>
        <w:jc w:val="both"/>
        <w:textAlignment w:val="baseline"/>
        <w:outlineLvl w:val="2"/>
        <w:rPr>
          <w:rFonts w:hint="eastAsia" w:ascii="黑体" w:hAnsi="黑体" w:eastAsia="黑体" w:cs="Times New Roman"/>
          <w:b w:val="0"/>
          <w:bCs/>
          <w:color w:val="000000" w:themeColor="text1"/>
          <w:kern w:val="0"/>
          <w:sz w:val="28"/>
          <w:szCs w:val="28"/>
          <w:highlight w:val="none"/>
          <w:lang w:val="en-US" w:eastAsia="zh-CN" w:bidi="ar-SA"/>
          <w14:textFill>
            <w14:solidFill>
              <w14:schemeClr w14:val="tx1"/>
            </w14:solidFill>
          </w14:textFill>
        </w:rPr>
      </w:pPr>
      <w:bookmarkStart w:id="985" w:name="_Toc879"/>
      <w:bookmarkStart w:id="986" w:name="_Toc30517"/>
      <w:bookmarkStart w:id="987" w:name="_Toc30500"/>
      <w:bookmarkStart w:id="988" w:name="_Toc18645"/>
      <w:bookmarkStart w:id="989" w:name="_Toc29910"/>
      <w:bookmarkStart w:id="990" w:name="_Toc23838"/>
      <w:bookmarkStart w:id="991" w:name="_Toc8217"/>
      <w:bookmarkStart w:id="992" w:name="_Toc16504"/>
      <w:bookmarkStart w:id="993" w:name="_Toc12825"/>
      <w:bookmarkStart w:id="994" w:name="_Toc5860"/>
      <w:bookmarkStart w:id="995" w:name="_Toc11361"/>
      <w:bookmarkStart w:id="996" w:name="_Toc20094"/>
      <w:bookmarkStart w:id="997" w:name="_Toc22115"/>
      <w:bookmarkStart w:id="998" w:name="_Toc6011"/>
      <w:bookmarkStart w:id="999" w:name="_Toc9744"/>
      <w:bookmarkStart w:id="1000" w:name="_Toc12396"/>
      <w:bookmarkStart w:id="1001" w:name="_Toc189"/>
      <w:r>
        <w:rPr>
          <w:rFonts w:hint="eastAsia" w:ascii="黑体" w:hAnsi="黑体" w:eastAsia="黑体" w:cs="Times New Roman"/>
          <w:b w:val="0"/>
          <w:bCs/>
          <w:color w:val="000000" w:themeColor="text1"/>
          <w:kern w:val="0"/>
          <w:sz w:val="28"/>
          <w:szCs w:val="28"/>
          <w:highlight w:val="none"/>
          <w:lang w:val="zh-CN" w:eastAsia="zh-CN" w:bidi="ar-SA"/>
          <w14:textFill>
            <w14:solidFill>
              <w14:schemeClr w14:val="tx1"/>
            </w14:solidFill>
          </w14:textFill>
        </w:rPr>
        <w:t>7.1</w:t>
      </w:r>
      <w:r>
        <w:rPr>
          <w:rFonts w:hint="eastAsia" w:ascii="黑体" w:hAnsi="黑体" w:eastAsia="黑体" w:cs="Times New Roman"/>
          <w:b w:val="0"/>
          <w:bCs/>
          <w:color w:val="000000" w:themeColor="text1"/>
          <w:kern w:val="0"/>
          <w:sz w:val="28"/>
          <w:szCs w:val="28"/>
          <w:highlight w:val="none"/>
          <w:lang w:val="en-US" w:eastAsia="zh-CN" w:bidi="ar-SA"/>
          <w14:textFill>
            <w14:solidFill>
              <w14:schemeClr w14:val="tx1"/>
            </w14:solidFill>
          </w14:textFill>
        </w:rPr>
        <w:t>.清标小组</w:t>
      </w:r>
      <w:bookmarkEnd w:id="985"/>
      <w:bookmarkEnd w:id="986"/>
      <w:bookmarkEnd w:id="987"/>
      <w:bookmarkEnd w:id="988"/>
      <w:bookmarkEnd w:id="989"/>
      <w:bookmarkEnd w:id="990"/>
      <w:bookmarkEnd w:id="991"/>
      <w:bookmarkEnd w:id="992"/>
      <w:bookmarkEnd w:id="993"/>
      <w:bookmarkEnd w:id="994"/>
      <w:bookmarkEnd w:id="995"/>
      <w:bookmarkEnd w:id="996"/>
      <w:bookmarkEnd w:id="997"/>
    </w:p>
    <w:p>
      <w:pPr>
        <w:pStyle w:val="15"/>
        <w:tabs>
          <w:tab w:val="left" w:pos="567"/>
          <w:tab w:val="left" w:pos="1000"/>
        </w:tabs>
        <w:snapToGrid w:val="0"/>
        <w:spacing w:line="360" w:lineRule="auto"/>
        <w:ind w:firstLine="424" w:firstLineChars="202"/>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cstheme="minorBidi"/>
          <w:color w:val="000000" w:themeColor="text1"/>
          <w:kern w:val="2"/>
          <w:sz w:val="21"/>
          <w:szCs w:val="21"/>
          <w:highlight w:val="none"/>
          <w:lang w:val="en-US" w:eastAsia="zh-CN" w:bidi="ar-SA"/>
          <w14:textFill>
            <w14:solidFill>
              <w14:schemeClr w14:val="tx1"/>
            </w14:solidFill>
          </w14:textFill>
        </w:rPr>
        <w:t>清标小组按照第四章“定标方案”规定的规则组建并按照规定的方法、规则、标准和程序负责清标工作，整理汇总各定标候选人的定标子要素得分并编制清标报告。</w:t>
      </w:r>
    </w:p>
    <w:p>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1002" w:name="_Toc15076"/>
      <w:bookmarkStart w:id="1003" w:name="_Toc31030"/>
      <w:bookmarkStart w:id="1004" w:name="_Toc18298"/>
      <w:bookmarkStart w:id="1005" w:name="_Toc26334"/>
      <w:bookmarkStart w:id="1006" w:name="_Toc2753"/>
      <w:bookmarkStart w:id="1007" w:name="_Toc26939"/>
      <w:bookmarkStart w:id="1008" w:name="_Toc21784"/>
      <w:bookmarkStart w:id="1009" w:name="_Toc25698"/>
      <w:bookmarkStart w:id="1010" w:name="_Toc16446"/>
      <w:bookmarkStart w:id="1011" w:name="_Toc11669"/>
      <w:bookmarkStart w:id="1012" w:name="_Toc22224"/>
      <w:bookmarkStart w:id="1013" w:name="_Toc28718"/>
      <w:bookmarkStart w:id="1014" w:name="_Toc4023"/>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7.2.定标委员会</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定标委员会按照第四章“定标方案”规定的规则组建并按照规定的方法、规则、标准和程序负责陈述、答辩考核以及定标工作，编制定标报告。</w:t>
      </w:r>
    </w:p>
    <w:p>
      <w:pPr>
        <w:keepNext/>
        <w:keepLines/>
        <w:widowControl w:val="0"/>
        <w:adjustRightInd w:val="0"/>
        <w:spacing w:before="260" w:beforeLines="50" w:after="260" w:afterLines="50" w:line="360" w:lineRule="auto"/>
        <w:jc w:val="both"/>
        <w:textAlignment w:val="baseline"/>
        <w:outlineLvl w:val="2"/>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1015" w:name="_Toc8236"/>
      <w:bookmarkStart w:id="1016" w:name="_Toc29273"/>
      <w:bookmarkStart w:id="1017" w:name="_Toc26370"/>
      <w:bookmarkStart w:id="1018" w:name="_Toc8260"/>
      <w:bookmarkStart w:id="1019" w:name="_Toc18129"/>
      <w:bookmarkStart w:id="1020" w:name="_Toc14290"/>
      <w:bookmarkStart w:id="1021" w:name="_Toc5283"/>
      <w:bookmarkStart w:id="1022" w:name="_Toc15797"/>
      <w:bookmarkStart w:id="1023" w:name="_Toc9183"/>
      <w:bookmarkStart w:id="1024" w:name="_Toc27177"/>
      <w:bookmarkStart w:id="1025" w:name="_Toc1578"/>
      <w:bookmarkStart w:id="1026" w:name="_Toc27980"/>
      <w:bookmarkStart w:id="1027" w:name="_Toc4045"/>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7.3.定标方案</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第四章“定标方案”中使用的定标方法见投标人须知前附表。定标方案没有规定的方法、规则、标准，不作为清标或定标依据。</w:t>
      </w:r>
    </w:p>
    <w:p>
      <w:pPr>
        <w:keepNext/>
        <w:keepLines/>
        <w:widowControl/>
        <w:adjustRightInd/>
        <w:spacing w:beforeLines="0" w:afterLines="50" w:line="360" w:lineRule="auto"/>
        <w:ind w:firstLine="499" w:firstLineChars="238"/>
        <w:jc w:val="both"/>
        <w:textAlignment w:val="auto"/>
        <w:outlineLvl w:val="2"/>
        <w:rPr>
          <w:rFonts w:hint="eastAsia" w:ascii="宋体" w:hAnsi="宋体" w:eastAsia="宋体"/>
          <w:color w:val="000000" w:themeColor="text1"/>
          <w:szCs w:val="21"/>
          <w:highlight w:val="none"/>
          <w:lang w:val="en-US" w:eastAsia="zh-CN"/>
          <w14:textFill>
            <w14:solidFill>
              <w14:schemeClr w14:val="tx1"/>
            </w14:solidFill>
          </w14:textFill>
        </w:rPr>
      </w:pPr>
      <w:bookmarkStart w:id="1028" w:name="_Toc25492"/>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定标方案明确要求项目负责人陈述答辩考核的，陈述答辩考核工作方案具体内容详见投标人须知前附表，应参加陈述答辩的投标人以及项目负责人名称、时间、地点由招标人另行通知。</w:t>
      </w:r>
      <w:bookmarkEnd w:id="1028"/>
    </w:p>
    <w:p>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1029" w:name="_Toc12788"/>
      <w:bookmarkStart w:id="1030" w:name="_Toc22137"/>
      <w:bookmarkStart w:id="1031" w:name="_Toc17067"/>
      <w:bookmarkStart w:id="1032" w:name="_Toc6939"/>
      <w:bookmarkStart w:id="1033" w:name="_Toc21074"/>
      <w:bookmarkStart w:id="1034" w:name="_Toc32485"/>
      <w:bookmarkStart w:id="1035" w:name="_Toc22847"/>
      <w:bookmarkStart w:id="1036" w:name="_Toc22384"/>
      <w:bookmarkStart w:id="1037" w:name="_Toc19644"/>
      <w:bookmarkStart w:id="1038" w:name="_Toc759"/>
      <w:bookmarkStart w:id="1039" w:name="_Toc29818"/>
      <w:bookmarkStart w:id="1040" w:name="_Toc1429"/>
      <w:bookmarkStart w:id="1041" w:name="_Toc554"/>
      <w:bookmarkStart w:id="1042" w:name="_Toc288"/>
      <w:bookmarkStart w:id="1043" w:name="_Toc15535"/>
      <w:bookmarkStart w:id="1044" w:name="_Toc28857"/>
      <w:bookmarkStart w:id="1045" w:name="_Toc1292"/>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7.4.中标候选人公示</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w:t>
      </w:r>
      <w:r>
        <w:rPr>
          <w:rFonts w:hint="eastAsia" w:ascii="宋体" w:hAnsi="宋体" w:eastAsia="宋体"/>
          <w:color w:val="000000" w:themeColor="text1"/>
          <w:szCs w:val="21"/>
          <w:highlight w:val="none"/>
          <w:lang w:val="en-US" w:eastAsia="zh-CN"/>
          <w14:textFill>
            <w14:solidFill>
              <w14:schemeClr w14:val="tx1"/>
            </w14:solidFill>
          </w14:textFill>
        </w:rPr>
        <w:t>自完成定标之日起3日内，</w:t>
      </w:r>
      <w:r>
        <w:rPr>
          <w:rFonts w:hint="eastAsia" w:ascii="宋体" w:hAnsi="宋体" w:eastAsia="宋体"/>
          <w:color w:val="000000" w:themeColor="text1"/>
          <w:szCs w:val="21"/>
          <w:highlight w:val="none"/>
          <w14:textFill>
            <w14:solidFill>
              <w14:schemeClr w14:val="tx1"/>
            </w14:solidFill>
          </w14:textFill>
        </w:rPr>
        <w:t>在投标人须知前附表规定的媒介公示</w:t>
      </w:r>
      <w:r>
        <w:rPr>
          <w:rFonts w:hint="eastAsia" w:ascii="宋体" w:hAnsi="宋体" w:eastAsia="宋体"/>
          <w:color w:val="000000" w:themeColor="text1"/>
          <w:szCs w:val="21"/>
          <w:highlight w:val="none"/>
          <w:lang w:val="en-US" w:eastAsia="zh-CN"/>
          <w14:textFill>
            <w14:solidFill>
              <w14:schemeClr w14:val="tx1"/>
            </w14:solidFill>
          </w14:textFill>
        </w:rPr>
        <w:t>中</w:t>
      </w:r>
      <w:r>
        <w:rPr>
          <w:rFonts w:hint="eastAsia" w:ascii="宋体" w:hAnsi="宋体" w:eastAsia="宋体"/>
          <w:color w:val="000000" w:themeColor="text1"/>
          <w:szCs w:val="21"/>
          <w:highlight w:val="none"/>
          <w14:textFill>
            <w14:solidFill>
              <w14:schemeClr w14:val="tx1"/>
            </w14:solidFill>
          </w14:textFill>
        </w:rPr>
        <w:t>标候选人</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中</w:t>
      </w:r>
      <w:r>
        <w:rPr>
          <w:rFonts w:hint="eastAsia" w:ascii="宋体" w:hAnsi="宋体" w:eastAsia="宋体"/>
          <w:color w:val="000000" w:themeColor="text1"/>
          <w:szCs w:val="21"/>
          <w:highlight w:val="none"/>
          <w14:textFill>
            <w14:solidFill>
              <w14:schemeClr w14:val="tx1"/>
            </w14:solidFill>
          </w14:textFill>
        </w:rPr>
        <w:t>标候选人公示的格式见投标人须知附件2-2</w:t>
      </w:r>
      <w:r>
        <w:rPr>
          <w:rFonts w:hint="eastAsia" w:ascii="宋体" w:hAnsi="宋体" w:eastAsia="宋体"/>
          <w:color w:val="000000" w:themeColor="text1"/>
          <w:szCs w:val="21"/>
          <w:highlight w:val="none"/>
          <w:lang w:eastAsia="zh-CN"/>
          <w14:textFill>
            <w14:solidFill>
              <w14:schemeClr w14:val="tx1"/>
            </w14:solidFill>
          </w14:textFill>
        </w:rPr>
        <w:t>。</w:t>
      </w:r>
    </w:p>
    <w:p>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1046" w:name="_Toc28423"/>
      <w:bookmarkStart w:id="1047" w:name="_Toc25"/>
      <w:bookmarkStart w:id="1048" w:name="_Toc1765"/>
      <w:bookmarkStart w:id="1049" w:name="_Toc4017"/>
      <w:bookmarkStart w:id="1050" w:name="_Toc15245"/>
      <w:bookmarkStart w:id="1051" w:name="_Toc16066"/>
      <w:bookmarkStart w:id="1052" w:name="_Toc1368"/>
      <w:bookmarkStart w:id="1053" w:name="_Toc6850"/>
      <w:bookmarkStart w:id="1054" w:name="_Toc673"/>
      <w:bookmarkStart w:id="1055" w:name="_Toc21934"/>
      <w:bookmarkStart w:id="1056" w:name="_Toc25740"/>
      <w:bookmarkStart w:id="1057" w:name="_Toc28674"/>
      <w:bookmarkStart w:id="1058" w:name="_Toc8890"/>
      <w:bookmarkStart w:id="1059" w:name="_Toc25588"/>
      <w:bookmarkStart w:id="1060" w:name="_Toc5566"/>
      <w:bookmarkStart w:id="1061" w:name="_Toc31862"/>
      <w:bookmarkStart w:id="1062" w:name="_Toc2191"/>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7.5.中标通知</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bookmarkStart w:id="1063" w:name="_Toc20532"/>
      <w:r>
        <w:rPr>
          <w:rFonts w:hint="default" w:ascii="宋体" w:hAnsi="宋体" w:eastAsia="宋体" w:cstheme="minorBidi"/>
          <w:color w:val="000000" w:themeColor="text1"/>
          <w:kern w:val="2"/>
          <w:sz w:val="21"/>
          <w:szCs w:val="21"/>
          <w:highlight w:val="none"/>
          <w14:textFill>
            <w14:solidFill>
              <w14:schemeClr w14:val="tx1"/>
            </w14:solidFill>
          </w14:textFill>
        </w:rPr>
        <w:t>中标人确定后，招标人应当向中标人发出中标通知书，并将中标结果在投标人须知前附表规定的媒介公示进行公布。中标结果公布格式见投标人须知附件2-3，中标通知书格式投标人须知附件2-4。</w:t>
      </w:r>
      <w:bookmarkEnd w:id="983"/>
      <w:bookmarkEnd w:id="984"/>
      <w:bookmarkEnd w:id="1063"/>
    </w:p>
    <w:p>
      <w:pPr>
        <w:pStyle w:val="62"/>
        <w:numPr>
          <w:ilvl w:val="0"/>
          <w:numId w:val="1"/>
        </w:numPr>
        <w:tabs>
          <w:tab w:val="left" w:pos="567"/>
          <w:tab w:val="left" w:pos="1000"/>
        </w:tabs>
        <w:snapToGrid w:val="0"/>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064" w:name="_Toc19149"/>
      <w:bookmarkStart w:id="1065" w:name="_Toc5910"/>
      <w:bookmarkStart w:id="1066" w:name="_Toc29309"/>
      <w:bookmarkStart w:id="1067" w:name="_Toc14825"/>
      <w:bookmarkStart w:id="1068" w:name="_Toc31412"/>
      <w:bookmarkStart w:id="1069" w:name="_Toc24228"/>
      <w:bookmarkStart w:id="1070" w:name="_Toc2291"/>
      <w:bookmarkStart w:id="1071" w:name="_Toc16859"/>
      <w:bookmarkStart w:id="1072" w:name="_Toc52137767"/>
      <w:bookmarkStart w:id="1073" w:name="_Toc106719338"/>
      <w:bookmarkStart w:id="1074" w:name="_Toc29668"/>
      <w:bookmarkStart w:id="1075" w:name="_Toc14157"/>
      <w:bookmarkStart w:id="1076" w:name="_Toc26572"/>
      <w:bookmarkStart w:id="1077" w:name="_Toc7949"/>
      <w:bookmarkStart w:id="1078" w:name="_Toc300038958"/>
      <w:bookmarkStart w:id="1079" w:name="_Toc10535"/>
      <w:bookmarkStart w:id="1080" w:name="_Toc23524"/>
      <w:bookmarkStart w:id="1081" w:name="_Toc516753512"/>
      <w:r>
        <w:rPr>
          <w:rFonts w:hint="eastAsia" w:ascii="黑体" w:hAnsi="黑体" w:eastAsia="黑体"/>
          <w:b w:val="0"/>
          <w:color w:val="000000" w:themeColor="text1"/>
          <w:sz w:val="28"/>
          <w:szCs w:val="28"/>
          <w:highlight w:val="none"/>
          <w14:textFill>
            <w14:solidFill>
              <w14:schemeClr w14:val="tx1"/>
            </w14:solidFill>
          </w14:textFill>
        </w:rPr>
        <w:t>7.</w:t>
      </w:r>
      <w:r>
        <w:rPr>
          <w:rFonts w:hint="eastAsia" w:ascii="黑体" w:hAnsi="黑体" w:eastAsia="黑体"/>
          <w:b w:val="0"/>
          <w:color w:val="000000" w:themeColor="text1"/>
          <w:sz w:val="28"/>
          <w:szCs w:val="28"/>
          <w:highlight w:val="none"/>
          <w:lang w:val="en-US" w:eastAsia="zh-CN"/>
          <w14:textFill>
            <w14:solidFill>
              <w14:schemeClr w14:val="tx1"/>
            </w14:solidFill>
          </w14:textFill>
        </w:rPr>
        <w:t>6</w:t>
      </w:r>
      <w:r>
        <w:rPr>
          <w:rFonts w:hint="eastAsia" w:ascii="黑体" w:hAnsi="黑体" w:eastAsia="黑体"/>
          <w:b w:val="0"/>
          <w:color w:val="000000" w:themeColor="text1"/>
          <w:sz w:val="28"/>
          <w:szCs w:val="28"/>
          <w:highlight w:val="none"/>
          <w14:textFill>
            <w14:solidFill>
              <w14:schemeClr w14:val="tx1"/>
            </w14:solidFill>
          </w14:textFill>
        </w:rPr>
        <w:t>.</w:t>
      </w:r>
      <w:r>
        <w:rPr>
          <w:rFonts w:ascii="黑体" w:hAnsi="黑体" w:eastAsia="黑体"/>
          <w:b w:val="0"/>
          <w:color w:val="000000" w:themeColor="text1"/>
          <w:sz w:val="28"/>
          <w:szCs w:val="28"/>
          <w:highlight w:val="none"/>
          <w14:textFill>
            <w14:solidFill>
              <w14:schemeClr w14:val="tx1"/>
            </w14:solidFill>
          </w14:textFill>
        </w:rPr>
        <w:t>履约保证金</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1.在签订合同前，中标人应按投标人须知前附表规定的形式、金额和招标文件第五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同时招标人应向中标人提交履约担保金等额的工程款支付担保。</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w:t>
      </w:r>
      <w:r>
        <w:rPr>
          <w:rFonts w:hint="eastAsia" w:ascii="宋体" w:hAnsi="宋体" w:eastAsia="宋体"/>
          <w:color w:val="000000" w:themeColor="text1"/>
          <w:szCs w:val="21"/>
          <w:highlight w:val="none"/>
          <w:lang w:val="en-US"/>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.2.中标人不能按本章第7.</w:t>
      </w:r>
      <w:r>
        <w:rPr>
          <w:rFonts w:hint="eastAsia" w:ascii="宋体" w:hAnsi="宋体" w:eastAsia="宋体"/>
          <w:color w:val="000000" w:themeColor="text1"/>
          <w:szCs w:val="21"/>
          <w:highlight w:val="none"/>
          <w:lang w:val="en-US"/>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.1项要求提交履约保证金的，视为放弃中标，其投标保证金不予退还，给招标人造成的损失超过投标保证金数额的，中标人还应当对超过部分予以赔偿。</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082" w:name="_Toc106719339"/>
      <w:bookmarkStart w:id="1083" w:name="_Toc11276"/>
      <w:bookmarkStart w:id="1084" w:name="_Toc26410"/>
      <w:bookmarkStart w:id="1085" w:name="_Toc11559"/>
      <w:bookmarkStart w:id="1086" w:name="_Toc31264"/>
      <w:bookmarkStart w:id="1087" w:name="_Toc6359"/>
      <w:bookmarkStart w:id="1088" w:name="_Toc2738"/>
      <w:bookmarkStart w:id="1089" w:name="_Toc2038"/>
      <w:bookmarkStart w:id="1090" w:name="_Toc26237"/>
      <w:bookmarkStart w:id="1091" w:name="_Toc52137768"/>
      <w:bookmarkStart w:id="1092" w:name="_Toc13267"/>
      <w:bookmarkStart w:id="1093" w:name="_Toc20516"/>
      <w:bookmarkStart w:id="1094" w:name="_Toc16150"/>
      <w:bookmarkStart w:id="1095" w:name="_Toc21785"/>
      <w:r>
        <w:rPr>
          <w:rFonts w:hint="eastAsia" w:ascii="黑体" w:hAnsi="黑体" w:eastAsia="黑体"/>
          <w:b w:val="0"/>
          <w:color w:val="000000" w:themeColor="text1"/>
          <w:sz w:val="28"/>
          <w:szCs w:val="28"/>
          <w:highlight w:val="none"/>
          <w:lang w:eastAsia="zh-CN"/>
          <w14:textFill>
            <w14:solidFill>
              <w14:schemeClr w14:val="tx1"/>
            </w14:solidFill>
          </w14:textFill>
        </w:rPr>
        <w:t>7.7.</w:t>
      </w:r>
      <w:r>
        <w:rPr>
          <w:rFonts w:hint="eastAsia" w:ascii="黑体" w:hAnsi="黑体" w:eastAsia="黑体"/>
          <w:b w:val="0"/>
          <w:color w:val="000000" w:themeColor="text1"/>
          <w:sz w:val="28"/>
          <w:szCs w:val="28"/>
          <w:highlight w:val="none"/>
          <w14:textFill>
            <w14:solidFill>
              <w14:schemeClr w14:val="tx1"/>
            </w14:solidFill>
          </w14:textFill>
        </w:rPr>
        <w:t>签订</w:t>
      </w:r>
      <w:bookmarkEnd w:id="1078"/>
      <w:r>
        <w:rPr>
          <w:rFonts w:hint="eastAsia" w:ascii="黑体" w:hAnsi="黑体" w:eastAsia="黑体"/>
          <w:b w:val="0"/>
          <w:color w:val="000000" w:themeColor="text1"/>
          <w:sz w:val="28"/>
          <w:szCs w:val="28"/>
          <w:highlight w:val="none"/>
          <w14:textFill>
            <w14:solidFill>
              <w14:schemeClr w14:val="tx1"/>
            </w14:solidFill>
          </w14:textFill>
        </w:rPr>
        <w:t>合同</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7.7.</w:t>
      </w:r>
      <w:r>
        <w:rPr>
          <w:rFonts w:hint="eastAsia" w:ascii="宋体" w:hAnsi="宋体" w:eastAsia="宋体"/>
          <w:color w:val="000000" w:themeColor="text1"/>
          <w:szCs w:val="21"/>
          <w:highlight w:val="none"/>
          <w14:textFill>
            <w14:solidFill>
              <w14:schemeClr w14:val="tx1"/>
            </w14:solidFill>
          </w14:textFill>
        </w:rPr>
        <w:t>1.在收到中标通知书后，中标人应按投标人须知前附表规定的时间内，派代表与招标人联系商定签订合同事宜。招标人和中标人应当在投标有效期内并在中标通知书发出之日起30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7.7.</w:t>
      </w:r>
      <w:r>
        <w:rPr>
          <w:rFonts w:hint="eastAsia" w:ascii="宋体" w:hAnsi="宋体" w:eastAsia="宋体"/>
          <w:color w:val="000000" w:themeColor="text1"/>
          <w:szCs w:val="21"/>
          <w:highlight w:val="none"/>
          <w14:textFill>
            <w14:solidFill>
              <w14:schemeClr w14:val="tx1"/>
            </w14:solidFill>
          </w14:textFill>
        </w:rPr>
        <w:t>2.中标人非因不可抗力原因放弃中标的，</w:t>
      </w:r>
      <w:r>
        <w:rPr>
          <w:rFonts w:hint="eastAsia" w:ascii="宋体" w:hAnsi="宋体" w:eastAsia="宋体"/>
          <w:color w:val="000000" w:themeColor="text1"/>
          <w:szCs w:val="21"/>
          <w:highlight w:val="none"/>
          <w:lang w:val="en-US" w:eastAsia="zh-CN"/>
          <w14:textFill>
            <w14:solidFill>
              <w14:schemeClr w14:val="tx1"/>
            </w14:solidFill>
          </w14:textFill>
        </w:rPr>
        <w:t>不予退还</w:t>
      </w:r>
      <w:r>
        <w:rPr>
          <w:rFonts w:hint="eastAsia" w:ascii="宋体" w:hAnsi="宋体" w:eastAsia="宋体"/>
          <w:color w:val="000000" w:themeColor="text1"/>
          <w:szCs w:val="21"/>
          <w:highlight w:val="none"/>
          <w14:textFill>
            <w14:solidFill>
              <w14:schemeClr w14:val="tx1"/>
            </w14:solidFill>
          </w14:textFill>
        </w:rPr>
        <w:t>其投标保证金；不按招标文件规定的条件在规定期限内与招标人签订合同</w:t>
      </w:r>
      <w:r>
        <w:rPr>
          <w:rFonts w:ascii="宋体" w:hAnsi="宋体" w:eastAsia="宋体"/>
          <w:color w:val="000000" w:themeColor="text1"/>
          <w:szCs w:val="21"/>
          <w:highlight w:val="none"/>
          <w14:textFill>
            <w14:solidFill>
              <w14:schemeClr w14:val="tx1"/>
            </w14:solidFill>
          </w14:textFill>
        </w:rPr>
        <w:t>的或者不按照招标文件要求提交履约保证金的，</w:t>
      </w:r>
      <w:r>
        <w:rPr>
          <w:rFonts w:hint="eastAsia" w:ascii="宋体" w:hAnsi="宋体" w:eastAsia="宋体"/>
          <w:color w:val="000000" w:themeColor="text1"/>
          <w:szCs w:val="21"/>
          <w:highlight w:val="none"/>
          <w14:textFill>
            <w14:solidFill>
              <w14:schemeClr w14:val="tx1"/>
            </w14:solidFill>
          </w14:textFill>
        </w:rPr>
        <w:t>招标人有权取消其中标资格并</w:t>
      </w:r>
      <w:r>
        <w:rPr>
          <w:rFonts w:hint="eastAsia" w:ascii="宋体" w:hAnsi="宋体" w:eastAsia="宋体"/>
          <w:color w:val="000000" w:themeColor="text1"/>
          <w:szCs w:val="21"/>
          <w:highlight w:val="none"/>
          <w:lang w:val="en-US" w:eastAsia="zh-CN"/>
          <w14:textFill>
            <w14:solidFill>
              <w14:schemeClr w14:val="tx1"/>
            </w14:solidFill>
          </w14:textFill>
        </w:rPr>
        <w:t>不予退还其</w:t>
      </w:r>
      <w:r>
        <w:rPr>
          <w:rFonts w:hint="eastAsia" w:ascii="宋体" w:hAnsi="宋体" w:eastAsia="宋体"/>
          <w:color w:val="000000" w:themeColor="text1"/>
          <w:szCs w:val="21"/>
          <w:highlight w:val="none"/>
          <w14:textFill>
            <w14:solidFill>
              <w14:schemeClr w14:val="tx1"/>
            </w14:solidFill>
          </w14:textFill>
        </w:rPr>
        <w:t>投标保证金。导致招标人从其他</w:t>
      </w:r>
      <w:r>
        <w:rPr>
          <w:rFonts w:hint="eastAsia" w:ascii="宋体" w:hAnsi="宋体" w:eastAsia="宋体"/>
          <w:color w:val="000000" w:themeColor="text1"/>
          <w:szCs w:val="21"/>
          <w:highlight w:val="none"/>
          <w:lang w:val="en-US" w:eastAsia="zh-CN"/>
          <w14:textFill>
            <w14:solidFill>
              <w14:schemeClr w14:val="tx1"/>
            </w14:solidFill>
          </w14:textFill>
        </w:rPr>
        <w:t>中标</w:t>
      </w:r>
      <w:r>
        <w:rPr>
          <w:rFonts w:hint="eastAsia" w:ascii="宋体" w:hAnsi="宋体" w:eastAsia="宋体"/>
          <w:color w:val="000000" w:themeColor="text1"/>
          <w:szCs w:val="21"/>
          <w:highlight w:val="none"/>
          <w14:textFill>
            <w14:solidFill>
              <w14:schemeClr w14:val="tx1"/>
            </w14:solidFill>
          </w14:textFill>
        </w:rPr>
        <w:t>候选人中重新确定中标人的，应当向招标人赔偿中标差价等损失；导致招标人重新招标的，应当向招标人赔偿本次招标和重新招标所发生的费用等损失。</w:t>
      </w:r>
    </w:p>
    <w:p>
      <w:pPr>
        <w:pStyle w:val="15"/>
        <w:tabs>
          <w:tab w:val="left" w:pos="567"/>
          <w:tab w:val="left" w:pos="1000"/>
        </w:tabs>
        <w:spacing w:line="360" w:lineRule="auto"/>
        <w:ind w:firstLine="424" w:firstLineChars="202"/>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7.7.</w:t>
      </w:r>
      <w:r>
        <w:rPr>
          <w:rFonts w:hint="eastAsia" w:ascii="宋体" w:hAnsi="宋体" w:eastAsia="宋体"/>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中标人应当由投标时承诺派出的勘察人员承担勘察工作，其勘察项目负责人和其他主要勘察人员应当在相应的勘察文件上作为项目负责人、相应专业负责人签字，并参加建设单位主持召开的与设计、施工有关的会议，处理和解决与勘察有关的问题。</w:t>
      </w:r>
    </w:p>
    <w:p>
      <w:pPr>
        <w:pStyle w:val="15"/>
        <w:tabs>
          <w:tab w:val="left" w:pos="567"/>
          <w:tab w:val="left" w:pos="1000"/>
        </w:tabs>
        <w:spacing w:line="360" w:lineRule="auto"/>
        <w:ind w:firstLine="424" w:firstLineChars="202"/>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中标人不按投标时的承诺派出勘察项目负责人的，招标人有权拒绝与其签订勘察合同；由此给招标人造成损失的，投标人应当负责赔偿，招标人可以将该投标人的投标保证金作为赔偿费用予以扣除。同时，招标人应当将上述情况向招投标监督机构报备。</w:t>
      </w:r>
    </w:p>
    <w:p>
      <w:pPr>
        <w:pStyle w:val="15"/>
        <w:tabs>
          <w:tab w:val="left" w:pos="567"/>
          <w:tab w:val="left" w:pos="1000"/>
        </w:tabs>
        <w:spacing w:line="360" w:lineRule="auto"/>
        <w:ind w:firstLine="424" w:firstLineChars="202"/>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中标的勘察项目负责人因其注册执业资格单位变动等特殊原因不能出任的，中标人应向招标人提出更换勘察项目负责人申请，其替换人选的资格、经验和能力不得低于投标所报的人员。为此给招标人造成损失的，中标人应当予以赔偿。</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中标人未能按投标时的承诺派出其他主要勘察人员的，应事先向招标人提出更换主要勘察人员的书面申请并取得招标人同意，其替换人选的资格、经验和能力不得低于投标所报的人员。为此给招标人造成损失的，中标人应当予以赔偿。</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7.7.</w:t>
      </w:r>
      <w:r>
        <w:rPr>
          <w:rFonts w:hint="eastAsia" w:ascii="宋体" w:hAnsi="宋体" w:eastAsia="宋体"/>
          <w:color w:val="000000" w:themeColor="text1"/>
          <w:szCs w:val="21"/>
          <w:highlight w:val="none"/>
          <w14:textFill>
            <w14:solidFill>
              <w14:schemeClr w14:val="tx1"/>
            </w14:solidFill>
          </w14:textFill>
        </w:rPr>
        <w:t>4.</w:t>
      </w:r>
      <w:r>
        <w:rPr>
          <w:rFonts w:ascii="宋体" w:hAnsi="宋体" w:eastAsia="宋体"/>
          <w:color w:val="000000" w:themeColor="text1"/>
          <w:szCs w:val="21"/>
          <w:highlight w:val="none"/>
          <w14:textFill>
            <w14:solidFill>
              <w14:schemeClr w14:val="tx1"/>
            </w14:solidFill>
          </w14:textFill>
        </w:rPr>
        <w:t>联合体中标的，联合体各方应当共同与招标人签订合同，就中标项目向招标人承担连带责任。</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7.7.</w:t>
      </w:r>
      <w:r>
        <w:rPr>
          <w:rFonts w:hint="eastAsia" w:ascii="宋体" w:hAnsi="宋体" w:eastAsia="宋体"/>
          <w:color w:val="000000" w:themeColor="text1"/>
          <w:szCs w:val="21"/>
          <w:highlight w:val="none"/>
          <w14:textFill>
            <w14:solidFill>
              <w14:schemeClr w14:val="tx1"/>
            </w14:solidFill>
          </w14:textFill>
        </w:rPr>
        <w:t>5.在闽开展勘察业务的省外勘察单位应当在签订勘察合同之日起10日内登入福建省建筑市场综合监督信息平台登记本单位相关信息，具体见闽建办设[2015]1号。</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096" w:name="_Toc31468"/>
      <w:bookmarkStart w:id="1097" w:name="_Toc14302"/>
      <w:bookmarkStart w:id="1098" w:name="_Toc23802"/>
      <w:bookmarkStart w:id="1099" w:name="_Toc21913"/>
      <w:bookmarkStart w:id="1100" w:name="_Toc20407"/>
      <w:bookmarkStart w:id="1101" w:name="_Toc32650"/>
      <w:bookmarkStart w:id="1102" w:name="_Toc18593"/>
      <w:bookmarkStart w:id="1103" w:name="_Toc15496"/>
      <w:bookmarkStart w:id="1104" w:name="_Toc14932"/>
      <w:bookmarkStart w:id="1105" w:name="_Toc52137769"/>
      <w:bookmarkStart w:id="1106" w:name="_Toc23284"/>
      <w:bookmarkStart w:id="1107" w:name="_Toc28024"/>
      <w:bookmarkStart w:id="1108" w:name="_Toc106719340"/>
      <w:bookmarkStart w:id="1109" w:name="_Toc22347"/>
      <w:r>
        <w:rPr>
          <w:rFonts w:hint="eastAsia" w:ascii="黑体" w:hAnsi="黑体" w:eastAsia="黑体"/>
          <w:b w:val="0"/>
          <w:color w:val="000000" w:themeColor="text1"/>
          <w:sz w:val="28"/>
          <w:szCs w:val="28"/>
          <w:highlight w:val="none"/>
          <w14:textFill>
            <w14:solidFill>
              <w14:schemeClr w14:val="tx1"/>
            </w14:solidFill>
          </w14:textFill>
        </w:rPr>
        <w:t>8.</w:t>
      </w:r>
      <w:r>
        <w:rPr>
          <w:rFonts w:ascii="黑体" w:hAnsi="黑体" w:eastAsia="黑体"/>
          <w:b w:val="0"/>
          <w:color w:val="000000" w:themeColor="text1"/>
          <w:sz w:val="28"/>
          <w:szCs w:val="28"/>
          <w:highlight w:val="none"/>
          <w14:textFill>
            <w14:solidFill>
              <w14:schemeClr w14:val="tx1"/>
            </w14:solidFill>
          </w14:textFill>
        </w:rPr>
        <w:t>纪律和监督</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10" w:name="_Toc32200"/>
      <w:bookmarkStart w:id="1111" w:name="_Toc12679"/>
      <w:bookmarkStart w:id="1112" w:name="_Toc106719341"/>
      <w:bookmarkStart w:id="1113" w:name="_Toc32610"/>
      <w:bookmarkStart w:id="1114" w:name="_Toc52137770"/>
      <w:bookmarkStart w:id="1115" w:name="_Toc27502"/>
      <w:bookmarkStart w:id="1116" w:name="_Toc3344"/>
      <w:bookmarkStart w:id="1117" w:name="_Toc18705"/>
      <w:bookmarkStart w:id="1118" w:name="_Toc31810"/>
      <w:bookmarkStart w:id="1119" w:name="_Toc22711"/>
      <w:bookmarkStart w:id="1120" w:name="_Toc1867"/>
      <w:bookmarkStart w:id="1121" w:name="_Toc10454"/>
      <w:bookmarkStart w:id="1122" w:name="_Toc11020"/>
      <w:bookmarkStart w:id="1123" w:name="_Toc18973"/>
      <w:r>
        <w:rPr>
          <w:rFonts w:hint="eastAsia" w:ascii="黑体" w:hAnsi="黑体" w:eastAsia="黑体"/>
          <w:b w:val="0"/>
          <w:color w:val="000000" w:themeColor="text1"/>
          <w:sz w:val="28"/>
          <w:szCs w:val="28"/>
          <w:highlight w:val="none"/>
          <w14:textFill>
            <w14:solidFill>
              <w14:schemeClr w14:val="tx1"/>
            </w14:solidFill>
          </w14:textFill>
        </w:rPr>
        <w:t>8.1.</w:t>
      </w:r>
      <w:r>
        <w:rPr>
          <w:rFonts w:ascii="黑体" w:hAnsi="黑体" w:eastAsia="黑体"/>
          <w:b w:val="0"/>
          <w:color w:val="000000" w:themeColor="text1"/>
          <w:sz w:val="28"/>
          <w:szCs w:val="28"/>
          <w:highlight w:val="none"/>
          <w14:textFill>
            <w14:solidFill>
              <w14:schemeClr w14:val="tx1"/>
            </w14:solidFill>
          </w14:textFill>
        </w:rPr>
        <w:t>对招标人的纪律要求</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招标人不得泄露招标投标活动中应当保密的情况和资料，不得与投标人串通损害国家利益、社会公共利益或者他人合法权益。</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24" w:name="_bookmark73"/>
      <w:bookmarkEnd w:id="1124"/>
      <w:bookmarkStart w:id="1125" w:name="_Toc52137771"/>
      <w:bookmarkStart w:id="1126" w:name="_Toc17948"/>
      <w:bookmarkStart w:id="1127" w:name="_Toc7773"/>
      <w:bookmarkStart w:id="1128" w:name="_Toc29570"/>
      <w:bookmarkStart w:id="1129" w:name="_Toc7165"/>
      <w:bookmarkStart w:id="1130" w:name="_Toc5432"/>
      <w:bookmarkStart w:id="1131" w:name="_Toc22430"/>
      <w:bookmarkStart w:id="1132" w:name="_Toc24347"/>
      <w:bookmarkStart w:id="1133" w:name="_Toc6667"/>
      <w:bookmarkStart w:id="1134" w:name="_Toc24689"/>
      <w:bookmarkStart w:id="1135" w:name="_Toc106719342"/>
      <w:bookmarkStart w:id="1136" w:name="_Toc20274"/>
      <w:bookmarkStart w:id="1137" w:name="_Toc15692"/>
      <w:bookmarkStart w:id="1138" w:name="_Toc14276"/>
      <w:r>
        <w:rPr>
          <w:rFonts w:hint="eastAsia" w:ascii="黑体" w:hAnsi="黑体" w:eastAsia="黑体"/>
          <w:b w:val="0"/>
          <w:color w:val="000000" w:themeColor="text1"/>
          <w:sz w:val="28"/>
          <w:szCs w:val="28"/>
          <w:highlight w:val="none"/>
          <w14:textFill>
            <w14:solidFill>
              <w14:schemeClr w14:val="tx1"/>
            </w14:solidFill>
          </w14:textFill>
        </w:rPr>
        <w:t>8.2.</w:t>
      </w:r>
      <w:r>
        <w:rPr>
          <w:rFonts w:ascii="黑体" w:hAnsi="黑体" w:eastAsia="黑体"/>
          <w:b w:val="0"/>
          <w:color w:val="000000" w:themeColor="text1"/>
          <w:sz w:val="28"/>
          <w:szCs w:val="28"/>
          <w:highlight w:val="none"/>
          <w14:textFill>
            <w14:solidFill>
              <w14:schemeClr w14:val="tx1"/>
            </w14:solidFill>
          </w14:textFill>
        </w:rPr>
        <w:t>对投标人的纪律要求</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投标人不得相互串通投标或者与招标人串通投标，不得向招标人或者评标委员会成员</w:t>
      </w:r>
      <w:r>
        <w:rPr>
          <w:rFonts w:hint="eastAsia" w:ascii="宋体" w:hAnsi="宋体" w:eastAsia="宋体"/>
          <w:color w:val="000000" w:themeColor="text1"/>
          <w:szCs w:val="21"/>
          <w:highlight w:val="none"/>
          <w14:textFill>
            <w14:solidFill>
              <w14:schemeClr w14:val="tx1"/>
            </w14:solidFill>
          </w14:textFill>
        </w:rPr>
        <w:t>或定标委员会成员</w:t>
      </w:r>
      <w:r>
        <w:rPr>
          <w:rFonts w:ascii="宋体" w:hAnsi="宋体" w:eastAsia="宋体"/>
          <w:color w:val="000000" w:themeColor="text1"/>
          <w:szCs w:val="21"/>
          <w:highlight w:val="none"/>
          <w14:textFill>
            <w14:solidFill>
              <w14:schemeClr w14:val="tx1"/>
            </w14:solidFill>
          </w14:textFill>
        </w:rPr>
        <w:t>行贿谋取中标，不得以他人名义投标或者以其他方式弄虚作假骗取中标；投标人不得以任何方式干扰</w:t>
      </w:r>
      <w:r>
        <w:rPr>
          <w:rFonts w:hint="eastAsia" w:ascii="宋体" w:hAnsi="宋体" w:eastAsia="宋体"/>
          <w:color w:val="000000" w:themeColor="text1"/>
          <w:szCs w:val="21"/>
          <w:highlight w:val="none"/>
          <w14:textFill>
            <w14:solidFill>
              <w14:schemeClr w14:val="tx1"/>
            </w14:solidFill>
          </w14:textFill>
        </w:rPr>
        <w:t>或</w:t>
      </w:r>
      <w:r>
        <w:rPr>
          <w:rFonts w:ascii="宋体" w:hAnsi="宋体" w:eastAsia="宋体"/>
          <w:color w:val="000000" w:themeColor="text1"/>
          <w:szCs w:val="21"/>
          <w:highlight w:val="none"/>
          <w14:textFill>
            <w14:solidFill>
              <w14:schemeClr w14:val="tx1"/>
            </w14:solidFill>
          </w14:textFill>
        </w:rPr>
        <w:t>影响评标</w:t>
      </w:r>
      <w:r>
        <w:rPr>
          <w:rFonts w:hint="eastAsia" w:ascii="宋体" w:hAnsi="宋体" w:eastAsia="宋体"/>
          <w:color w:val="000000" w:themeColor="text1"/>
          <w:szCs w:val="21"/>
          <w:highlight w:val="none"/>
          <w14:textFill>
            <w14:solidFill>
              <w14:schemeClr w14:val="tx1"/>
            </w14:solidFill>
          </w14:textFill>
        </w:rPr>
        <w:t>、清标和定标</w:t>
      </w:r>
      <w:r>
        <w:rPr>
          <w:rFonts w:ascii="宋体" w:hAnsi="宋体" w:eastAsia="宋体"/>
          <w:color w:val="000000" w:themeColor="text1"/>
          <w:szCs w:val="21"/>
          <w:highlight w:val="none"/>
          <w14:textFill>
            <w14:solidFill>
              <w14:schemeClr w14:val="tx1"/>
            </w14:solidFill>
          </w14:textFill>
        </w:rPr>
        <w:t>工作。</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39" w:name="_bookmark74"/>
      <w:bookmarkEnd w:id="1139"/>
      <w:bookmarkStart w:id="1140" w:name="_Toc23151"/>
      <w:bookmarkStart w:id="1141" w:name="_Toc52137772"/>
      <w:bookmarkStart w:id="1142" w:name="_Toc6079"/>
      <w:bookmarkStart w:id="1143" w:name="_Toc29267"/>
      <w:bookmarkStart w:id="1144" w:name="_Toc106719343"/>
      <w:bookmarkStart w:id="1145" w:name="_Toc30559"/>
      <w:bookmarkStart w:id="1146" w:name="_Toc20533"/>
      <w:bookmarkStart w:id="1147" w:name="_Toc5291"/>
      <w:bookmarkStart w:id="1148" w:name="_Toc22020"/>
      <w:bookmarkStart w:id="1149" w:name="_Toc8649"/>
      <w:bookmarkStart w:id="1150" w:name="_Toc2012"/>
      <w:bookmarkStart w:id="1151" w:name="_Toc16882"/>
      <w:bookmarkStart w:id="1152" w:name="_Toc3788"/>
      <w:bookmarkStart w:id="1153" w:name="_Toc7621"/>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8.3.对评标委员会、清标小组和定标委员会成员的纪律要求</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评标委员会</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清标小组和</w:t>
      </w:r>
      <w:r>
        <w:rPr>
          <w:rFonts w:hint="eastAsia" w:ascii="宋体" w:hAnsi="宋体" w:eastAsia="宋体"/>
          <w:color w:val="000000" w:themeColor="text1"/>
          <w:szCs w:val="21"/>
          <w:highlight w:val="none"/>
          <w14:textFill>
            <w14:solidFill>
              <w14:schemeClr w14:val="tx1"/>
            </w14:solidFill>
          </w14:textFill>
        </w:rPr>
        <w:t>定标委员会成员不得收受他人的财物或者其他好处，不得向他人透漏对投标文件的评审和比较、定标候选人的推荐情况、</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定标情况以及有关的其他情况。在评标、</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定标活动中，评标委员会</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清标小组</w:t>
      </w:r>
      <w:r>
        <w:rPr>
          <w:rFonts w:hint="eastAsia" w:ascii="宋体" w:hAnsi="宋体" w:eastAsia="宋体"/>
          <w:color w:val="000000" w:themeColor="text1"/>
          <w:szCs w:val="21"/>
          <w:highlight w:val="none"/>
          <w14:textFill>
            <w14:solidFill>
              <w14:schemeClr w14:val="tx1"/>
            </w14:solidFill>
          </w14:textFill>
        </w:rPr>
        <w:t>和定标委员会成员应当客观、公正地履行职责，遵守职业道德，不得擅离职守，影响</w:t>
      </w:r>
      <w:r>
        <w:rPr>
          <w:rFonts w:hint="eastAsia" w:ascii="宋体" w:hAnsi="宋体" w:eastAsia="宋体"/>
          <w:color w:val="000000" w:themeColor="text1"/>
          <w:szCs w:val="21"/>
          <w:highlight w:val="none"/>
          <w:lang w:val="en-US" w:eastAsia="zh-CN"/>
          <w14:textFill>
            <w14:solidFill>
              <w14:schemeClr w14:val="tx1"/>
            </w14:solidFill>
          </w14:textFill>
        </w:rPr>
        <w:t>有关</w:t>
      </w:r>
      <w:r>
        <w:rPr>
          <w:rFonts w:hint="eastAsia" w:ascii="宋体" w:hAnsi="宋体" w:eastAsia="宋体"/>
          <w:color w:val="000000" w:themeColor="text1"/>
          <w:szCs w:val="21"/>
          <w:highlight w:val="none"/>
          <w14:textFill>
            <w14:solidFill>
              <w14:schemeClr w14:val="tx1"/>
            </w14:solidFill>
          </w14:textFill>
        </w:rPr>
        <w:t>程序正常进行。</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54" w:name="_Toc2807"/>
      <w:bookmarkStart w:id="1155" w:name="_Toc17846"/>
      <w:bookmarkStart w:id="1156" w:name="_Toc31257"/>
      <w:bookmarkStart w:id="1157" w:name="_Toc32577"/>
      <w:bookmarkStart w:id="1158" w:name="_Toc21042"/>
      <w:bookmarkStart w:id="1159" w:name="_Toc24486"/>
      <w:bookmarkStart w:id="1160" w:name="_Toc21010"/>
      <w:bookmarkStart w:id="1161" w:name="_Toc106719344"/>
      <w:bookmarkStart w:id="1162" w:name="_Toc52137773"/>
      <w:bookmarkStart w:id="1163" w:name="_Toc21906"/>
      <w:bookmarkStart w:id="1164" w:name="_Toc7644"/>
      <w:bookmarkStart w:id="1165" w:name="_Toc29206"/>
      <w:bookmarkStart w:id="1166" w:name="_Toc21176"/>
      <w:bookmarkStart w:id="1167" w:name="_Toc25625"/>
      <w:r>
        <w:rPr>
          <w:rFonts w:hint="eastAsia" w:ascii="黑体" w:hAnsi="黑体" w:eastAsia="黑体"/>
          <w:b w:val="0"/>
          <w:color w:val="000000" w:themeColor="text1"/>
          <w:sz w:val="28"/>
          <w:szCs w:val="28"/>
          <w:highlight w:val="none"/>
          <w14:textFill>
            <w14:solidFill>
              <w14:schemeClr w14:val="tx1"/>
            </w14:solidFill>
          </w14:textFill>
        </w:rPr>
        <w:t>8.4.</w:t>
      </w:r>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对与评标、清标和定标活动有关的工作人员的纪律要求</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heme="minorBidi"/>
          <w:b w:val="0"/>
          <w:bCs w:val="0"/>
          <w:color w:val="000000" w:themeColor="text1"/>
          <w:kern w:val="2"/>
          <w:sz w:val="21"/>
          <w:szCs w:val="21"/>
          <w:highlight w:val="none"/>
          <w14:textFill>
            <w14:solidFill>
              <w14:schemeClr w14:val="tx1"/>
            </w14:solidFill>
          </w14:textFill>
        </w:rPr>
        <w:t>评标</w:t>
      </w:r>
      <w:r>
        <w:rPr>
          <w:rFonts w:hint="eastAsia" w:ascii="宋体" w:hAnsi="宋体" w:eastAsia="宋体" w:cstheme="minorBidi"/>
          <w:b w:val="0"/>
          <w:bC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清标、</w:t>
      </w:r>
      <w:r>
        <w:rPr>
          <w:rFonts w:hint="eastAsia" w:ascii="宋体" w:hAnsi="宋体" w:eastAsia="宋体" w:cstheme="minorBidi"/>
          <w:b w:val="0"/>
          <w:bCs w:val="0"/>
          <w:color w:val="000000" w:themeColor="text1"/>
          <w:kern w:val="2"/>
          <w:sz w:val="21"/>
          <w:szCs w:val="21"/>
          <w:highlight w:val="none"/>
          <w14:textFill>
            <w14:solidFill>
              <w14:schemeClr w14:val="tx1"/>
            </w14:solidFill>
          </w14:textFill>
        </w:rPr>
        <w:t>定标活动有关的工作人员不得收受他人的财物或者其他好处，不得向他人透漏对投标文件的评审和比较、定标候选人的推荐情况、</w:t>
      </w:r>
      <w:r>
        <w:rPr>
          <w:rFonts w:hint="eastAsia"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清标</w:t>
      </w:r>
      <w:r>
        <w:rPr>
          <w:rFonts w:hint="eastAsia" w:ascii="宋体" w:hAnsi="宋体" w:eastAsia="宋体" w:cstheme="minorBidi"/>
          <w:b w:val="0"/>
          <w:bCs w:val="0"/>
          <w:color w:val="000000" w:themeColor="text1"/>
          <w:kern w:val="2"/>
          <w:sz w:val="21"/>
          <w:szCs w:val="21"/>
          <w:highlight w:val="none"/>
          <w14:textFill>
            <w14:solidFill>
              <w14:schemeClr w14:val="tx1"/>
            </w14:solidFill>
          </w14:textFill>
        </w:rPr>
        <w:t>定标情况以及有关的其他情况。在评标、</w:t>
      </w:r>
      <w:r>
        <w:rPr>
          <w:rFonts w:hint="eastAsia"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清标、</w:t>
      </w:r>
      <w:r>
        <w:rPr>
          <w:rFonts w:hint="eastAsia" w:ascii="宋体" w:hAnsi="宋体" w:eastAsia="宋体" w:cstheme="minorBidi"/>
          <w:b w:val="0"/>
          <w:bCs w:val="0"/>
          <w:color w:val="000000" w:themeColor="text1"/>
          <w:kern w:val="2"/>
          <w:sz w:val="21"/>
          <w:szCs w:val="21"/>
          <w:highlight w:val="none"/>
          <w14:textFill>
            <w14:solidFill>
              <w14:schemeClr w14:val="tx1"/>
            </w14:solidFill>
          </w14:textFill>
        </w:rPr>
        <w:t>定标活动中不得擅离职守，影响</w:t>
      </w:r>
      <w:r>
        <w:rPr>
          <w:rFonts w:hint="eastAsia" w:ascii="宋体" w:hAnsi="宋体" w:eastAsia="宋体" w:cstheme="minorBidi"/>
          <w:b w:val="0"/>
          <w:bCs w:val="0"/>
          <w:color w:val="000000" w:themeColor="text1"/>
          <w:kern w:val="2"/>
          <w:sz w:val="21"/>
          <w:szCs w:val="21"/>
          <w:highlight w:val="none"/>
          <w:lang w:val="en-US" w:eastAsia="zh-CN"/>
          <w14:textFill>
            <w14:solidFill>
              <w14:schemeClr w14:val="tx1"/>
            </w14:solidFill>
          </w14:textFill>
        </w:rPr>
        <w:t>有关</w:t>
      </w:r>
      <w:r>
        <w:rPr>
          <w:rFonts w:hint="eastAsia" w:ascii="宋体" w:hAnsi="宋体" w:eastAsia="宋体" w:cstheme="minorBidi"/>
          <w:b w:val="0"/>
          <w:bCs w:val="0"/>
          <w:color w:val="000000" w:themeColor="text1"/>
          <w:kern w:val="2"/>
          <w:sz w:val="21"/>
          <w:szCs w:val="21"/>
          <w:highlight w:val="none"/>
          <w14:textFill>
            <w14:solidFill>
              <w14:schemeClr w14:val="tx1"/>
            </w14:solidFill>
          </w14:textFill>
        </w:rPr>
        <w:t>程序正常进行。</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68" w:name="_bookmark76"/>
      <w:bookmarkEnd w:id="1168"/>
      <w:bookmarkStart w:id="1169" w:name="_Toc9232"/>
      <w:bookmarkStart w:id="1170" w:name="_Toc29034"/>
      <w:bookmarkStart w:id="1171" w:name="_Toc52137774"/>
      <w:bookmarkStart w:id="1172" w:name="_Toc4000"/>
      <w:bookmarkStart w:id="1173" w:name="_Toc2786"/>
      <w:bookmarkStart w:id="1174" w:name="_Toc17139"/>
      <w:bookmarkStart w:id="1175" w:name="_Toc22026"/>
      <w:bookmarkStart w:id="1176" w:name="_Toc2866"/>
      <w:bookmarkStart w:id="1177" w:name="_Toc18767"/>
      <w:bookmarkStart w:id="1178" w:name="_Toc7577"/>
      <w:bookmarkStart w:id="1179" w:name="_Toc24917"/>
      <w:bookmarkStart w:id="1180" w:name="_Toc22842"/>
      <w:bookmarkStart w:id="1181" w:name="_Toc2848"/>
      <w:bookmarkStart w:id="1182" w:name="_Toc106719345"/>
      <w:r>
        <w:rPr>
          <w:rFonts w:hint="eastAsia" w:ascii="黑体" w:hAnsi="黑体" w:eastAsia="黑体"/>
          <w:b w:val="0"/>
          <w:color w:val="000000" w:themeColor="text1"/>
          <w:sz w:val="28"/>
          <w:szCs w:val="28"/>
          <w:highlight w:val="none"/>
          <w14:textFill>
            <w14:solidFill>
              <w14:schemeClr w14:val="tx1"/>
            </w14:solidFill>
          </w14:textFill>
        </w:rPr>
        <w:t>8.5.异议、</w:t>
      </w:r>
      <w:r>
        <w:rPr>
          <w:rFonts w:ascii="黑体" w:hAnsi="黑体" w:eastAsia="黑体"/>
          <w:b w:val="0"/>
          <w:color w:val="000000" w:themeColor="text1"/>
          <w:sz w:val="28"/>
          <w:szCs w:val="28"/>
          <w:highlight w:val="none"/>
          <w14:textFill>
            <w14:solidFill>
              <w14:schemeClr w14:val="tx1"/>
            </w14:solidFill>
          </w14:textFill>
        </w:rPr>
        <w:t>投诉</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8.5</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异议处理</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（1）投标人对开标有异议的，应当使用本单位的</w:t>
      </w:r>
      <w:r>
        <w:rPr>
          <w:rFonts w:hint="eastAsia" w:ascii="宋体" w:hAnsi="宋体" w:eastAsia="宋体"/>
          <w:color w:val="000000" w:themeColor="text1"/>
          <w:szCs w:val="21"/>
          <w:highlight w:val="none"/>
          <w:lang w:eastAsia="zh-CN"/>
          <w14:textFill>
            <w14:solidFill>
              <w14:schemeClr w14:val="tx1"/>
            </w14:solidFill>
          </w14:textFill>
        </w:rPr>
        <w:t>CA证书</w:t>
      </w:r>
      <w:r>
        <w:rPr>
          <w:rFonts w:ascii="宋体" w:hAnsi="宋体" w:eastAsia="宋体"/>
          <w:color w:val="000000" w:themeColor="text1"/>
          <w:szCs w:val="21"/>
          <w:highlight w:val="none"/>
          <w14:textFill>
            <w14:solidFill>
              <w14:schemeClr w14:val="tx1"/>
            </w14:solidFill>
          </w14:textFill>
        </w:rPr>
        <w:t>当场通过电子交易平台在线提出；招标人应当通过电子交易平台当场作出答复。电子交易平台应当记录并保存异议的提出和答复情况。</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招标人将电子交易平台生成的电子投标文件软硬件信息分析结果，提供给评标委员会。投标人对电子交易平台生成的电子投标文件软硬件信息分析结果持有异议的，应使用本单位的</w:t>
      </w:r>
      <w:r>
        <w:rPr>
          <w:rFonts w:hint="eastAsia" w:ascii="宋体" w:hAnsi="宋体" w:eastAsia="宋体"/>
          <w:color w:val="000000" w:themeColor="text1"/>
          <w:szCs w:val="21"/>
          <w:highlight w:val="none"/>
          <w:lang w:eastAsia="zh-CN"/>
          <w14:textFill>
            <w14:solidFill>
              <w14:schemeClr w14:val="tx1"/>
            </w14:solidFill>
          </w14:textFill>
        </w:rPr>
        <w:t>CA证书</w:t>
      </w:r>
      <w:r>
        <w:rPr>
          <w:rFonts w:hint="eastAsia" w:ascii="宋体" w:hAnsi="宋体" w:eastAsia="宋体"/>
          <w:color w:val="000000" w:themeColor="text1"/>
          <w:szCs w:val="21"/>
          <w:highlight w:val="none"/>
          <w14:textFill>
            <w14:solidFill>
              <w14:schemeClr w14:val="tx1"/>
            </w14:solidFill>
          </w14:textFill>
        </w:rPr>
        <w:t>当场通过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（2）潜在投标人或投标人及其他利害关系人对招标文件或</w:t>
      </w:r>
      <w:r>
        <w:rPr>
          <w:rFonts w:hint="eastAsia" w:ascii="宋体" w:hAnsi="宋体" w:eastAsia="宋体"/>
          <w:color w:val="000000" w:themeColor="text1"/>
          <w:szCs w:val="21"/>
          <w:highlight w:val="none"/>
          <w:lang w:eastAsia="zh-CN"/>
          <w14:textFill>
            <w14:solidFill>
              <w14:schemeClr w14:val="tx1"/>
            </w14:solidFill>
          </w14:textFill>
        </w:rPr>
        <w:t>评标结果或定标结果</w:t>
      </w:r>
      <w:r>
        <w:rPr>
          <w:rFonts w:ascii="宋体" w:hAnsi="宋体" w:eastAsia="宋体"/>
          <w:color w:val="000000" w:themeColor="text1"/>
          <w:szCs w:val="21"/>
          <w:highlight w:val="none"/>
          <w14:textFill>
            <w14:solidFill>
              <w14:schemeClr w14:val="tx1"/>
            </w14:solidFill>
          </w14:textFill>
        </w:rPr>
        <w:t>有异议的，应当在规定的期限内（</w:t>
      </w:r>
      <w:r>
        <w:rPr>
          <w:rFonts w:hint="eastAsia" w:ascii="宋体" w:hAnsi="宋体" w:eastAsia="宋体"/>
          <w:color w:val="000000" w:themeColor="text1"/>
          <w:szCs w:val="21"/>
          <w:highlight w:val="none"/>
          <w14:textFill>
            <w14:solidFill>
              <w14:schemeClr w14:val="tx1"/>
            </w14:solidFill>
          </w14:textFill>
        </w:rPr>
        <w:t>对招标文件的异议期限为在投标截止时间10天前，对评标结果</w:t>
      </w:r>
      <w:r>
        <w:rPr>
          <w:rFonts w:hint="eastAsia" w:ascii="宋体" w:hAnsi="宋体" w:eastAsia="宋体"/>
          <w:color w:val="000000" w:themeColor="text1"/>
          <w:szCs w:val="21"/>
          <w:highlight w:val="none"/>
          <w:lang w:val="en-US" w:eastAsia="zh-CN"/>
          <w14:textFill>
            <w14:solidFill>
              <w14:schemeClr w14:val="tx1"/>
            </w14:solidFill>
          </w14:textFill>
        </w:rPr>
        <w:t>和定标结果</w:t>
      </w:r>
      <w:r>
        <w:rPr>
          <w:rFonts w:hint="eastAsia" w:ascii="宋体" w:hAnsi="宋体" w:eastAsia="宋体"/>
          <w:color w:val="000000" w:themeColor="text1"/>
          <w:szCs w:val="21"/>
          <w:highlight w:val="none"/>
          <w14:textFill>
            <w14:solidFill>
              <w14:schemeClr w14:val="tx1"/>
            </w14:solidFill>
          </w14:textFill>
        </w:rPr>
        <w:t>的异议期限为</w:t>
      </w:r>
      <w:r>
        <w:rPr>
          <w:rFonts w:hint="eastAsia" w:ascii="宋体" w:hAnsi="宋体" w:eastAsia="宋体"/>
          <w:color w:val="000000" w:themeColor="text1"/>
          <w:szCs w:val="21"/>
          <w:highlight w:val="none"/>
          <w:lang w:val="en-US" w:eastAsia="zh-CN"/>
          <w14:textFill>
            <w14:solidFill>
              <w14:schemeClr w14:val="tx1"/>
            </w14:solidFill>
          </w14:textFill>
        </w:rPr>
        <w:t>中标候选人</w:t>
      </w:r>
      <w:r>
        <w:rPr>
          <w:rFonts w:hint="eastAsia" w:ascii="宋体" w:hAnsi="宋体" w:eastAsia="宋体"/>
          <w:color w:val="000000" w:themeColor="text1"/>
          <w:szCs w:val="21"/>
          <w:highlight w:val="none"/>
          <w14:textFill>
            <w14:solidFill>
              <w14:schemeClr w14:val="tx1"/>
            </w14:solidFill>
          </w14:textFill>
        </w:rPr>
        <w:t>公示期内</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通过电子交易平台</w:t>
      </w:r>
      <w:r>
        <w:rPr>
          <w:rFonts w:ascii="宋体" w:hAnsi="宋体" w:eastAsia="宋体"/>
          <w:color w:val="000000" w:themeColor="text1"/>
          <w:szCs w:val="21"/>
          <w:highlight w:val="none"/>
          <w14:textFill>
            <w14:solidFill>
              <w14:schemeClr w14:val="tx1"/>
            </w14:solidFill>
          </w14:textFill>
        </w:rPr>
        <w:t>向招标人提出。</w:t>
      </w:r>
      <w:r>
        <w:rPr>
          <w:rFonts w:hint="eastAsia" w:ascii="宋体" w:hAnsi="宋体" w:eastAsia="宋体"/>
          <w:color w:val="000000" w:themeColor="text1"/>
          <w:szCs w:val="21"/>
          <w:highlight w:val="none"/>
          <w14:textFill>
            <w14:solidFill>
              <w14:schemeClr w14:val="tx1"/>
            </w14:solidFill>
          </w14:textFill>
        </w:rPr>
        <w:t xml:space="preserve"> </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异议应当包括下列内容：</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eastAsia="宋体"/>
          <w:color w:val="000000" w:themeColor="text1"/>
          <w:szCs w:val="21"/>
          <w:highlight w:val="none"/>
          <w14:textFill>
            <w14:solidFill>
              <w14:schemeClr w14:val="tx1"/>
            </w14:solidFill>
          </w14:textFill>
        </w:rPr>
        <w:t>异议人的名称、地址及有效联系方式；</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ascii="宋体" w:hAnsi="宋体" w:eastAsia="宋体"/>
          <w:color w:val="000000" w:themeColor="text1"/>
          <w:szCs w:val="21"/>
          <w:highlight w:val="none"/>
          <w14:textFill>
            <w14:solidFill>
              <w14:schemeClr w14:val="tx1"/>
            </w14:solidFill>
          </w14:textFill>
        </w:rPr>
        <w:t>被异议人的名称（仅适用于对</w:t>
      </w:r>
      <w:r>
        <w:rPr>
          <w:rFonts w:hint="eastAsia" w:ascii="宋体" w:hAnsi="宋体" w:eastAsia="宋体"/>
          <w:color w:val="000000" w:themeColor="text1"/>
          <w:szCs w:val="21"/>
          <w:highlight w:val="none"/>
          <w:lang w:eastAsia="zh-CN"/>
          <w14:textFill>
            <w14:solidFill>
              <w14:schemeClr w14:val="tx1"/>
            </w14:solidFill>
          </w14:textFill>
        </w:rPr>
        <w:t>评标结果或定标结果</w:t>
      </w:r>
      <w:r>
        <w:rPr>
          <w:rFonts w:hint="eastAsia" w:ascii="宋体" w:hAnsi="宋体" w:eastAsia="宋体"/>
          <w:color w:val="000000" w:themeColor="text1"/>
          <w:szCs w:val="21"/>
          <w:highlight w:val="none"/>
          <w14:textFill>
            <w14:solidFill>
              <w14:schemeClr w14:val="tx1"/>
            </w14:solidFill>
          </w14:textFill>
        </w:rPr>
        <w:t>的异议）；</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w:t>
      </w:r>
      <w:r>
        <w:rPr>
          <w:rFonts w:hint="eastAsia" w:ascii="宋体" w:hAnsi="宋体" w:eastAsia="宋体"/>
          <w:color w:val="000000" w:themeColor="text1"/>
          <w:szCs w:val="21"/>
          <w:highlight w:val="none"/>
          <w14:textFill>
            <w14:solidFill>
              <w14:schemeClr w14:val="tx1"/>
            </w14:solidFill>
          </w14:textFill>
        </w:rPr>
        <w:t>异议事项的基本事实；</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w:t>
      </w:r>
      <w:r>
        <w:rPr>
          <w:rFonts w:hint="eastAsia" w:ascii="宋体" w:hAnsi="宋体" w:eastAsia="宋体"/>
          <w:color w:val="000000" w:themeColor="text1"/>
          <w:szCs w:val="21"/>
          <w:highlight w:val="none"/>
          <w14:textFill>
            <w14:solidFill>
              <w14:schemeClr w14:val="tx1"/>
            </w14:solidFill>
          </w14:textFill>
        </w:rPr>
        <w:t>相关请求及主张；</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w:t>
      </w:r>
      <w:r>
        <w:rPr>
          <w:rFonts w:hint="eastAsia" w:ascii="宋体" w:hAnsi="宋体" w:eastAsia="宋体"/>
          <w:color w:val="000000" w:themeColor="text1"/>
          <w:szCs w:val="21"/>
          <w:highlight w:val="none"/>
          <w14:textFill>
            <w14:solidFill>
              <w14:schemeClr w14:val="tx1"/>
            </w14:solidFill>
          </w14:textFill>
        </w:rPr>
        <w:t xml:space="preserve">有效线索和相关证明材料。 </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w:t>
      </w:r>
      <w:r>
        <w:rPr>
          <w:rFonts w:ascii="宋体" w:hAnsi="宋体" w:eastAsia="宋体"/>
          <w:color w:val="000000" w:themeColor="text1"/>
          <w:szCs w:val="21"/>
          <w:highlight w:val="none"/>
          <w14:textFill>
            <w14:solidFill>
              <w14:schemeClr w14:val="tx1"/>
            </w14:solidFill>
          </w14:textFill>
        </w:rPr>
        <w:t>招标人收到对招标文件或</w:t>
      </w:r>
      <w:r>
        <w:rPr>
          <w:rFonts w:hint="eastAsia" w:ascii="宋体" w:hAnsi="宋体" w:eastAsia="宋体"/>
          <w:color w:val="000000" w:themeColor="text1"/>
          <w:szCs w:val="21"/>
          <w:highlight w:val="none"/>
          <w:lang w:eastAsia="zh-CN"/>
          <w14:textFill>
            <w14:solidFill>
              <w14:schemeClr w14:val="tx1"/>
            </w14:solidFill>
          </w14:textFill>
        </w:rPr>
        <w:t>评标结果或定标结果</w:t>
      </w:r>
      <w:r>
        <w:rPr>
          <w:rFonts w:hint="eastAsia" w:ascii="宋体" w:hAnsi="宋体" w:eastAsia="宋体"/>
          <w:color w:val="000000" w:themeColor="text1"/>
          <w:szCs w:val="21"/>
          <w:highlight w:val="none"/>
          <w14:textFill>
            <w14:solidFill>
              <w14:schemeClr w14:val="tx1"/>
            </w14:solidFill>
          </w14:textFill>
        </w:rPr>
        <w:t>的</w:t>
      </w:r>
      <w:r>
        <w:rPr>
          <w:rFonts w:ascii="宋体" w:hAnsi="宋体" w:eastAsia="宋体"/>
          <w:color w:val="000000" w:themeColor="text1"/>
          <w:szCs w:val="21"/>
          <w:highlight w:val="none"/>
          <w14:textFill>
            <w14:solidFill>
              <w14:schemeClr w14:val="tx1"/>
            </w14:solidFill>
          </w14:textFill>
        </w:rPr>
        <w:t>异议后，应当在3日内作出是否受理的决定，逾期未作出不予受理决定的</w:t>
      </w:r>
      <w:r>
        <w:rPr>
          <w:rFonts w:hint="eastAsia" w:ascii="宋体" w:hAnsi="宋体" w:eastAsia="宋体"/>
          <w:color w:val="000000" w:themeColor="text1"/>
          <w:szCs w:val="21"/>
          <w:highlight w:val="none"/>
          <w14:textFill>
            <w14:solidFill>
              <w14:schemeClr w14:val="tx1"/>
            </w14:solidFill>
          </w14:textFill>
        </w:rPr>
        <w:t>，自收到异议之日起</w:t>
      </w:r>
      <w:r>
        <w:rPr>
          <w:rFonts w:ascii="宋体" w:hAnsi="宋体" w:eastAsia="宋体"/>
          <w:color w:val="000000" w:themeColor="text1"/>
          <w:szCs w:val="21"/>
          <w:highlight w:val="none"/>
          <w14:textFill>
            <w14:solidFill>
              <w14:schemeClr w14:val="tx1"/>
            </w14:solidFill>
          </w14:textFill>
        </w:rPr>
        <w:t>即视为受理。有下列情形之</w:t>
      </w:r>
      <w:r>
        <w:rPr>
          <w:rFonts w:hint="eastAsia" w:ascii="宋体" w:hAnsi="宋体" w:eastAsia="宋体"/>
          <w:color w:val="000000" w:themeColor="text1"/>
          <w:szCs w:val="21"/>
          <w:highlight w:val="none"/>
          <w14:textFill>
            <w14:solidFill>
              <w14:schemeClr w14:val="tx1"/>
            </w14:solidFill>
          </w14:textFill>
        </w:rPr>
        <w:t>一的异议，不予受理，并向异议人发出不予受理告知书：</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eastAsia="宋体"/>
          <w:color w:val="000000" w:themeColor="text1"/>
          <w:szCs w:val="21"/>
          <w:highlight w:val="none"/>
          <w14:textFill>
            <w14:solidFill>
              <w14:schemeClr w14:val="tx1"/>
            </w14:solidFill>
          </w14:textFill>
        </w:rPr>
        <w:t>对</w:t>
      </w:r>
      <w:r>
        <w:rPr>
          <w:rFonts w:hint="eastAsia" w:ascii="宋体" w:hAnsi="宋体" w:eastAsia="宋体"/>
          <w:color w:val="000000" w:themeColor="text1"/>
          <w:szCs w:val="21"/>
          <w:highlight w:val="none"/>
          <w:lang w:eastAsia="zh-CN"/>
          <w14:textFill>
            <w14:solidFill>
              <w14:schemeClr w14:val="tx1"/>
            </w14:solidFill>
          </w14:textFill>
        </w:rPr>
        <w:t>评标结果或定标结果</w:t>
      </w:r>
      <w:r>
        <w:rPr>
          <w:rFonts w:hint="eastAsia" w:ascii="宋体" w:hAnsi="宋体" w:eastAsia="宋体"/>
          <w:color w:val="000000" w:themeColor="text1"/>
          <w:szCs w:val="21"/>
          <w:highlight w:val="none"/>
          <w14:textFill>
            <w14:solidFill>
              <w14:schemeClr w14:val="tx1"/>
            </w14:solidFill>
          </w14:textFill>
        </w:rPr>
        <w:t>有异议的异议人不是本项目的参与者，或者与本项目无任何利害关系；</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ascii="宋体" w:hAnsi="宋体" w:eastAsia="宋体"/>
          <w:color w:val="000000" w:themeColor="text1"/>
          <w:szCs w:val="21"/>
          <w:highlight w:val="none"/>
          <w:lang w:val="en-US" w:eastAsia="zh-CN"/>
          <w14:textFill>
            <w14:solidFill>
              <w14:schemeClr w14:val="tx1"/>
            </w14:solidFill>
          </w14:textFill>
        </w:rPr>
        <w:t>被异议人或</w:t>
      </w:r>
      <w:r>
        <w:rPr>
          <w:rFonts w:hint="eastAsia" w:ascii="宋体" w:hAnsi="宋体" w:eastAsia="宋体"/>
          <w:color w:val="000000" w:themeColor="text1"/>
          <w:szCs w:val="21"/>
          <w:highlight w:val="none"/>
          <w14:textFill>
            <w14:solidFill>
              <w14:schemeClr w14:val="tx1"/>
            </w14:solidFill>
          </w14:textFill>
        </w:rPr>
        <w:t>异议事项不具体，</w:t>
      </w:r>
      <w:r>
        <w:rPr>
          <w:rFonts w:hint="eastAsia" w:ascii="宋体" w:hAnsi="宋体" w:eastAsia="宋体"/>
          <w:color w:val="000000" w:themeColor="text1"/>
          <w:szCs w:val="21"/>
          <w:highlight w:val="none"/>
          <w:lang w:eastAsia="zh-CN"/>
          <w14:textFill>
            <w14:solidFill>
              <w14:schemeClr w14:val="tx1"/>
            </w14:solidFill>
          </w14:textFill>
        </w:rPr>
        <w:t>或</w:t>
      </w:r>
      <w:r>
        <w:rPr>
          <w:rFonts w:hint="eastAsia" w:ascii="宋体" w:hAnsi="宋体" w:eastAsia="宋体"/>
          <w:color w:val="000000" w:themeColor="text1"/>
          <w:szCs w:val="21"/>
          <w:highlight w:val="none"/>
          <w14:textFill>
            <w14:solidFill>
              <w14:schemeClr w14:val="tx1"/>
            </w14:solidFill>
          </w14:textFill>
        </w:rPr>
        <w:t xml:space="preserve">未提供有效线索，难以查证的； </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w:t>
      </w:r>
      <w:r>
        <w:rPr>
          <w:rFonts w:hint="eastAsia" w:ascii="宋体" w:hAnsi="宋体" w:eastAsia="宋体"/>
          <w:color w:val="000000" w:themeColor="text1"/>
          <w:szCs w:val="21"/>
          <w:highlight w:val="none"/>
          <w14:textFill>
            <w14:solidFill>
              <w14:schemeClr w14:val="tx1"/>
            </w14:solidFill>
          </w14:textFill>
        </w:rPr>
        <w:t>异议未署具异议人真实姓名、签字和有效联系方式的；以法人名义提出异议的，异议未经法定代表人签字并加盖公章的；</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w:t>
      </w:r>
      <w:r>
        <w:rPr>
          <w:rFonts w:hint="eastAsia" w:ascii="宋体" w:hAnsi="宋体" w:eastAsia="宋体"/>
          <w:color w:val="000000" w:themeColor="text1"/>
          <w:szCs w:val="21"/>
          <w:highlight w:val="none"/>
          <w14:textFill>
            <w14:solidFill>
              <w14:schemeClr w14:val="tx1"/>
            </w14:solidFill>
          </w14:textFill>
        </w:rPr>
        <w:t>超过异议时效的。</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招标人对招标文件或</w:t>
      </w:r>
      <w:r>
        <w:rPr>
          <w:rFonts w:hint="eastAsia" w:ascii="宋体" w:hAnsi="宋体" w:eastAsia="宋体"/>
          <w:color w:val="000000" w:themeColor="text1"/>
          <w:szCs w:val="21"/>
          <w:highlight w:val="none"/>
          <w:lang w:eastAsia="zh-CN"/>
          <w14:textFill>
            <w14:solidFill>
              <w14:schemeClr w14:val="tx1"/>
            </w14:solidFill>
          </w14:textFill>
        </w:rPr>
        <w:t>评标结果或定标结果</w:t>
      </w:r>
      <w:r>
        <w:rPr>
          <w:rFonts w:ascii="宋体" w:hAnsi="宋体" w:eastAsia="宋体"/>
          <w:color w:val="000000" w:themeColor="text1"/>
          <w:szCs w:val="21"/>
          <w:highlight w:val="none"/>
          <w14:textFill>
            <w14:solidFill>
              <w14:schemeClr w14:val="tx1"/>
            </w14:solidFill>
          </w14:textFill>
        </w:rPr>
        <w:t>异议的处理结果，应当通过电子交易平台作出答复并向社会公开，同时通过省行政监督平台向监督机关备案。在作出答复前应当暂停下一阶段招投标活动。</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8.5.2</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投诉处理</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人或者其他利害关系人认为招标投标活动不符合有关规定的，应当自知道或者应当知道之日起10日内向该项目的监督机关依法提出书面投诉或线上投诉。投诉应当符合《中华人民共和国招标投标法实施条例》和《工程建设项目招标投标活动投诉处理办法》（国家发改委等七部委11号令）的要求。</w:t>
      </w:r>
      <w:r>
        <w:rPr>
          <w:rFonts w:hint="eastAsia" w:ascii="宋体" w:hAnsi="宋体"/>
          <w:color w:val="000000" w:themeColor="text1"/>
          <w:sz w:val="21"/>
          <w:szCs w:val="21"/>
          <w:highlight w:val="none"/>
          <w:lang w:val="en-US" w:eastAsia="zh-CN"/>
          <w14:textFill>
            <w14:solidFill>
              <w14:schemeClr w14:val="tx1"/>
            </w14:solidFill>
          </w14:textFill>
        </w:rPr>
        <w:t>鼓励投诉人采用线上投诉</w:t>
      </w:r>
      <w:r>
        <w:rPr>
          <w:rFonts w:hint="eastAsia" w:ascii="宋体" w:hAnsi="宋体"/>
          <w:color w:val="000000" w:themeColor="text1"/>
          <w:sz w:val="21"/>
          <w:szCs w:val="21"/>
          <w:highlight w:val="none"/>
          <w14:textFill>
            <w14:solidFill>
              <w14:schemeClr w14:val="tx1"/>
            </w14:solidFill>
          </w14:textFill>
        </w:rPr>
        <w:t>，通过福建省公共资源交易电子行政监督平台向该招标项目的</w:t>
      </w:r>
      <w:r>
        <w:rPr>
          <w:rFonts w:hint="eastAsia" w:cs="宋体"/>
          <w:color w:val="000000" w:themeColor="text1"/>
          <w:kern w:val="2"/>
          <w:sz w:val="21"/>
          <w:szCs w:val="21"/>
          <w:highlight w:val="none"/>
          <w14:textFill>
            <w14:solidFill>
              <w14:schemeClr w14:val="tx1"/>
            </w14:solidFill>
          </w14:textFill>
        </w:rPr>
        <w:t>招投标监督机构</w:t>
      </w:r>
      <w:r>
        <w:rPr>
          <w:rFonts w:hint="eastAsia" w:ascii="宋体" w:hAnsi="宋体"/>
          <w:color w:val="000000" w:themeColor="text1"/>
          <w:sz w:val="21"/>
          <w:szCs w:val="21"/>
          <w:highlight w:val="none"/>
          <w14:textFill>
            <w14:solidFill>
              <w14:schemeClr w14:val="tx1"/>
            </w14:solidFill>
          </w14:textFill>
        </w:rPr>
        <w:t>提出投诉</w:t>
      </w:r>
      <w:r>
        <w:rPr>
          <w:rFonts w:hint="eastAsia" w:ascii="宋体" w:hAnsi="宋体" w:eastAsia="宋体"/>
          <w:color w:val="000000" w:themeColor="text1"/>
          <w:szCs w:val="21"/>
          <w:highlight w:val="none"/>
          <w14:textFill>
            <w14:solidFill>
              <w14:schemeClr w14:val="tx1"/>
            </w14:solidFill>
          </w14:textFill>
        </w:rPr>
        <w:t>。</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投诉人就招标文件、开标、评标结果</w:t>
      </w:r>
      <w:r>
        <w:rPr>
          <w:rFonts w:hint="eastAsia" w:ascii="宋体" w:hAnsi="宋体" w:eastAsia="宋体"/>
          <w:color w:val="000000" w:themeColor="text1"/>
          <w:szCs w:val="21"/>
          <w:highlight w:val="none"/>
          <w:lang w:eastAsia="zh-CN"/>
          <w14:textFill>
            <w14:solidFill>
              <w14:schemeClr w14:val="tx1"/>
            </w14:solidFill>
          </w14:textFill>
        </w:rPr>
        <w:t>、定标结果</w:t>
      </w:r>
      <w:r>
        <w:rPr>
          <w:rFonts w:hint="eastAsia" w:ascii="宋体" w:hAnsi="宋体" w:eastAsia="宋体"/>
          <w:color w:val="000000" w:themeColor="text1"/>
          <w:szCs w:val="21"/>
          <w:highlight w:val="none"/>
          <w14:textFill>
            <w14:solidFill>
              <w14:schemeClr w14:val="tx1"/>
            </w14:solidFill>
          </w14:textFill>
        </w:rPr>
        <w:t>的事项投诉的，除需提供《工程建设项目招标投标活动投诉处理办法》规定的内容外，还应当提供招标人的异议答复复印件。</w:t>
      </w:r>
    </w:p>
    <w:p>
      <w:pPr>
        <w:pStyle w:val="15"/>
        <w:tabs>
          <w:tab w:val="left" w:pos="567"/>
          <w:tab w:val="left" w:pos="1000"/>
        </w:tabs>
        <w:spacing w:line="360" w:lineRule="auto"/>
        <w:ind w:firstLine="424" w:firstLineChars="202"/>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招投标监督机构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依法作出的投诉处理决定，应当通过</w:t>
      </w:r>
      <w:r>
        <w:rPr>
          <w:rFonts w:hint="eastAsia" w:ascii="宋体" w:hAnsi="宋体" w:eastAsia="宋体" w:cs="宋体"/>
          <w:color w:val="000000" w:themeColor="text1"/>
          <w:sz w:val="21"/>
          <w:szCs w:val="21"/>
          <w:highlight w:val="none"/>
          <w14:textFill>
            <w14:solidFill>
              <w14:schemeClr w14:val="tx1"/>
            </w14:solidFill>
          </w14:textFill>
        </w:rPr>
        <w:t>福建省公共资源交易电子行政监督平台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向投诉人出发并向社会公开。投诉人、被投诉人和与处理结果有关当事人可自行登陆平台查阅、下载。</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83" w:name="_Toc23075"/>
      <w:bookmarkStart w:id="1184" w:name="_Toc3738"/>
      <w:bookmarkStart w:id="1185" w:name="_Toc106719346"/>
      <w:bookmarkStart w:id="1186" w:name="_Toc22852"/>
      <w:bookmarkStart w:id="1187" w:name="_Toc29377"/>
      <w:bookmarkStart w:id="1188" w:name="_Toc8549"/>
      <w:bookmarkStart w:id="1189" w:name="_Toc8788"/>
      <w:bookmarkStart w:id="1190" w:name="_Toc29615"/>
      <w:bookmarkStart w:id="1191" w:name="_Toc24522"/>
      <w:bookmarkStart w:id="1192" w:name="_Toc23453"/>
      <w:bookmarkStart w:id="1193" w:name="_Toc10168"/>
      <w:bookmarkStart w:id="1194" w:name="_Toc4868"/>
      <w:bookmarkStart w:id="1195" w:name="_Toc52137775"/>
      <w:bookmarkStart w:id="1196" w:name="_Toc31330"/>
      <w:r>
        <w:rPr>
          <w:rFonts w:hint="eastAsia" w:ascii="黑体" w:hAnsi="黑体" w:eastAsia="黑体"/>
          <w:b w:val="0"/>
          <w:color w:val="000000" w:themeColor="text1"/>
          <w:sz w:val="28"/>
          <w:szCs w:val="28"/>
          <w:highlight w:val="none"/>
          <w14:textFill>
            <w14:solidFill>
              <w14:schemeClr w14:val="tx1"/>
            </w14:solidFill>
          </w14:textFill>
        </w:rPr>
        <w:t>9.其他须知</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197" w:name="_Toc142138247"/>
      <w:bookmarkStart w:id="1198" w:name="_Toc5713"/>
      <w:bookmarkStart w:id="1199" w:name="_Toc31259"/>
      <w:bookmarkStart w:id="1200" w:name="_Toc20089"/>
      <w:bookmarkStart w:id="1201" w:name="_Toc17297"/>
      <w:bookmarkStart w:id="1202" w:name="_Toc4948"/>
      <w:bookmarkStart w:id="1203" w:name="_Toc27311"/>
      <w:bookmarkStart w:id="1204" w:name="_Toc106719347"/>
      <w:bookmarkStart w:id="1205" w:name="_Toc17703"/>
      <w:bookmarkStart w:id="1206" w:name="_Toc16397"/>
      <w:bookmarkStart w:id="1207" w:name="_Toc300038959"/>
      <w:bookmarkStart w:id="1208" w:name="_Toc52137776"/>
      <w:bookmarkStart w:id="1209" w:name="_Toc23778"/>
      <w:bookmarkStart w:id="1210" w:name="_Toc5832"/>
      <w:bookmarkStart w:id="1211" w:name="_Toc15836"/>
      <w:bookmarkStart w:id="1212" w:name="_Toc2875"/>
      <w:bookmarkStart w:id="1213" w:name="_Toc26312"/>
      <w:bookmarkStart w:id="1214" w:name="_Toc516753513"/>
      <w:bookmarkStart w:id="1215" w:name="_Toc18989"/>
      <w:r>
        <w:rPr>
          <w:rFonts w:hint="eastAsia" w:ascii="黑体" w:hAnsi="黑体" w:eastAsia="黑体"/>
          <w:b w:val="0"/>
          <w:color w:val="000000" w:themeColor="text1"/>
          <w:sz w:val="28"/>
          <w:szCs w:val="28"/>
          <w:highlight w:val="none"/>
          <w14:textFill>
            <w14:solidFill>
              <w14:schemeClr w14:val="tx1"/>
            </w14:solidFill>
          </w14:textFill>
        </w:rPr>
        <w:t>9.1.重新招标或经批准</w:t>
      </w:r>
      <w:bookmarkEnd w:id="1197"/>
      <w:r>
        <w:rPr>
          <w:rFonts w:hint="eastAsia" w:ascii="黑体" w:hAnsi="黑体" w:eastAsia="黑体"/>
          <w:b w:val="0"/>
          <w:color w:val="000000" w:themeColor="text1"/>
          <w:sz w:val="28"/>
          <w:szCs w:val="28"/>
          <w:highlight w:val="none"/>
          <w14:textFill>
            <w14:solidFill>
              <w14:schemeClr w14:val="tx1"/>
            </w14:solidFill>
          </w14:textFill>
        </w:rPr>
        <w:t>调整招标方式</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pStyle w:val="62"/>
        <w:numPr>
          <w:ilvl w:val="0"/>
          <w:numId w:val="1"/>
        </w:numPr>
        <w:tabs>
          <w:tab w:val="left" w:pos="567"/>
          <w:tab w:val="left" w:pos="1000"/>
        </w:tabs>
        <w:spacing w:line="360" w:lineRule="auto"/>
        <w:ind w:firstLine="424" w:firstLineChars="202"/>
        <w:jc w:val="left"/>
        <w:rPr>
          <w:rFonts w:ascii="宋体" w:hAnsi="宋体"/>
          <w:vanish/>
          <w:color w:val="000000" w:themeColor="text1"/>
          <w:kern w:val="2"/>
          <w:sz w:val="21"/>
          <w:szCs w:val="21"/>
          <w:highlight w:val="none"/>
          <w:lang w:val="zh-CN"/>
          <w14:textFill>
            <w14:solidFill>
              <w14:schemeClr w14:val="tx1"/>
            </w14:solidFill>
          </w14:textFill>
        </w:rPr>
      </w:pP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9.1.1.依法必须进行招标的项目有下列情形之一的，招标人在分析招标失败的原因并采取相应措施后，应当依法重新招标：</w:t>
      </w:r>
    </w:p>
    <w:p>
      <w:pPr>
        <w:pStyle w:val="15"/>
        <w:tabs>
          <w:tab w:val="left" w:pos="510"/>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 xml:space="preserve">（1）资格审查合格的投标人（潜在投标人）不足三家的； </w:t>
      </w:r>
    </w:p>
    <w:p>
      <w:pPr>
        <w:pStyle w:val="15"/>
        <w:tabs>
          <w:tab w:val="left" w:pos="510"/>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（2）在投标截止时间届满时</w:t>
      </w:r>
      <w:r>
        <w:rPr>
          <w:rFonts w:hint="eastAsia" w:ascii="宋体" w:hAnsi="宋体" w:eastAsia="宋体"/>
          <w:snapToGrid w:val="0"/>
          <w:color w:val="000000" w:themeColor="text1"/>
          <w:szCs w:val="21"/>
          <w:highlight w:val="none"/>
          <w:lang w:eastAsia="zh-CN"/>
          <w14:textFill>
            <w14:solidFill>
              <w14:schemeClr w14:val="tx1"/>
            </w14:solidFill>
          </w14:textFill>
        </w:rPr>
        <w:t>递交投标文件</w:t>
      </w:r>
      <w:r>
        <w:rPr>
          <w:rFonts w:hint="eastAsia" w:ascii="宋体" w:hAnsi="宋体" w:eastAsia="宋体"/>
          <w:snapToGrid w:val="0"/>
          <w:color w:val="000000" w:themeColor="text1"/>
          <w:szCs w:val="21"/>
          <w:highlight w:val="none"/>
          <w14:textFill>
            <w14:solidFill>
              <w14:schemeClr w14:val="tx1"/>
            </w14:solidFill>
          </w14:textFill>
        </w:rPr>
        <w:t xml:space="preserve">的投标人少于三家的； </w:t>
      </w:r>
    </w:p>
    <w:p>
      <w:pPr>
        <w:pStyle w:val="15"/>
        <w:tabs>
          <w:tab w:val="left" w:pos="510"/>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（3）所有投标均被否决的；</w:t>
      </w:r>
    </w:p>
    <w:p>
      <w:pPr>
        <w:pStyle w:val="15"/>
        <w:tabs>
          <w:tab w:val="left" w:pos="510"/>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 xml:space="preserve">（4）经评审，有效投标不足三家使得投标明显缺乏竞争，且评标委员会决定否决所有投标的； </w:t>
      </w:r>
    </w:p>
    <w:p>
      <w:pPr>
        <w:pStyle w:val="15"/>
        <w:tabs>
          <w:tab w:val="left" w:pos="510"/>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（5）根据本投标人须知正文第3.3款规定，同意延长投标有效期的投标人少于三家的。 </w:t>
      </w:r>
    </w:p>
    <w:p>
      <w:pPr>
        <w:pStyle w:val="15"/>
        <w:tabs>
          <w:tab w:val="left" w:pos="567"/>
          <w:tab w:val="left" w:pos="1000"/>
        </w:tabs>
        <w:spacing w:line="360" w:lineRule="auto"/>
        <w:ind w:firstLine="424" w:firstLineChars="202"/>
        <w:jc w:val="left"/>
        <w:rPr>
          <w:rFonts w:ascii="宋体" w:hAnsi="宋体" w:eastAsia="宋体"/>
          <w:snapToGrid w:val="0"/>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9.1.2.</w:t>
      </w:r>
      <w:r>
        <w:rPr>
          <w:rFonts w:hint="eastAsia" w:ascii="宋体" w:hAnsi="宋体" w:eastAsia="宋体"/>
          <w:snapToGrid w:val="0"/>
          <w:color w:val="000000" w:themeColor="text1"/>
          <w:szCs w:val="21"/>
          <w:highlight w:val="none"/>
          <w14:textFill>
            <w14:solidFill>
              <w14:schemeClr w14:val="tx1"/>
            </w14:solidFill>
          </w14:textFill>
        </w:rPr>
        <w:t>招标方式已经核准的项目，连续两次招标失败的，经原核准机关审查批准，可以调整招标方式；其他项目由招标人自行决定调整招标方式。</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216" w:name="_Toc9205"/>
      <w:bookmarkStart w:id="1217" w:name="_Toc6741"/>
      <w:bookmarkStart w:id="1218" w:name="_Toc10912"/>
      <w:bookmarkStart w:id="1219" w:name="_Toc29944"/>
      <w:bookmarkStart w:id="1220" w:name="_Toc52137777"/>
      <w:bookmarkStart w:id="1221" w:name="_Toc3910"/>
      <w:bookmarkStart w:id="1222" w:name="_Toc10544"/>
      <w:bookmarkStart w:id="1223" w:name="_Toc22527"/>
      <w:bookmarkStart w:id="1224" w:name="_Toc10573"/>
      <w:bookmarkStart w:id="1225" w:name="_Toc2093"/>
      <w:bookmarkStart w:id="1226" w:name="_Toc21123"/>
      <w:bookmarkStart w:id="1227" w:name="_Toc24234"/>
      <w:bookmarkStart w:id="1228" w:name="_Toc106719348"/>
      <w:bookmarkStart w:id="1229" w:name="_Toc6982"/>
      <w:r>
        <w:rPr>
          <w:rFonts w:hint="eastAsia" w:ascii="黑体" w:hAnsi="黑体" w:eastAsia="黑体"/>
          <w:b w:val="0"/>
          <w:color w:val="000000" w:themeColor="text1"/>
          <w:sz w:val="28"/>
          <w:szCs w:val="28"/>
          <w:highlight w:val="none"/>
          <w14:textFill>
            <w14:solidFill>
              <w14:schemeClr w14:val="tx1"/>
            </w14:solidFill>
          </w14:textFill>
        </w:rPr>
        <w:t>9.2.电子招标投标要求</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9.2.1.投标人应仔细阅读厦门市建设工程电子招投标交易平台有关的系统操作手册和使用说明（相关手册和使用说明在</w:t>
      </w:r>
      <w:r>
        <w:rPr>
          <w:rFonts w:ascii="宋体" w:hAnsi="宋体" w:eastAsia="宋体"/>
          <w:color w:val="000000" w:themeColor="text1"/>
          <w:szCs w:val="21"/>
          <w:highlight w:val="none"/>
          <w14:textFill>
            <w14:solidFill>
              <w14:schemeClr w14:val="tx1"/>
            </w14:solidFill>
          </w14:textFill>
        </w:rPr>
        <w:t>厦门市公共资源交易</w:t>
      </w:r>
      <w:r>
        <w:rPr>
          <w:rFonts w:hint="eastAsia" w:ascii="宋体" w:hAnsi="宋体" w:eastAsia="宋体"/>
          <w:color w:val="000000" w:themeColor="text1"/>
          <w:szCs w:val="21"/>
          <w:highlight w:val="none"/>
          <w14:textFill>
            <w14:solidFill>
              <w14:schemeClr w14:val="tx1"/>
            </w14:solidFill>
          </w14:textFill>
        </w:rPr>
        <w:t>网</w:t>
      </w:r>
      <w:r>
        <w:rPr>
          <w:rFonts w:ascii="宋体" w:hAnsi="宋体" w:eastAsia="宋体"/>
          <w:color w:val="000000" w:themeColor="text1"/>
          <w:szCs w:val="21"/>
          <w:highlight w:val="none"/>
          <w14:textFill>
            <w14:solidFill>
              <w14:schemeClr w14:val="tx1"/>
            </w14:solidFill>
          </w14:textFill>
        </w:rPr>
        <w:t>http://zyjy.as.xm.gov.cn/</w:t>
      </w:r>
      <w:r>
        <w:rPr>
          <w:rFonts w:hint="eastAsia" w:ascii="宋体" w:hAnsi="宋体" w:eastAsia="宋体"/>
          <w:color w:val="000000" w:themeColor="text1"/>
          <w:szCs w:val="21"/>
          <w:highlight w:val="none"/>
          <w14:textFill>
            <w14:solidFill>
              <w14:schemeClr w14:val="tx1"/>
            </w14:solidFill>
          </w14:textFill>
        </w:rPr>
        <w:t>中的“办事服务-下载中心”下载，并关注更新信息）以及招标文件中电子招投标的相关条款，并根据操作手册、使用说明和招标文件电子招投标的相关条款完成投标文件的编制、加密、递交、自行解密工作。</w:t>
      </w:r>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9.2.2.在开标、评标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或定标工作开始后，因停电、网络故障、电子设备或者电子评标系统故障导致无法继续进行开标、评标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或定标工作时，故障可在短时间内解除的（不超过4小时），招标人可以暂停开标、评标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或定标工作，待故障解除后继续</w:t>
      </w:r>
      <w:r>
        <w:rPr>
          <w:rFonts w:hint="eastAsia" w:ascii="宋体" w:hAnsi="宋体" w:eastAsia="宋体"/>
          <w:color w:val="000000" w:themeColor="text1"/>
          <w:szCs w:val="21"/>
          <w:highlight w:val="none"/>
          <w:lang w:val="en-US" w:eastAsia="zh-CN"/>
          <w14:textFill>
            <w14:solidFill>
              <w14:schemeClr w14:val="tx1"/>
            </w14:solidFill>
          </w14:textFill>
        </w:rPr>
        <w:t>相应工作</w:t>
      </w:r>
      <w:r>
        <w:rPr>
          <w:rFonts w:hint="eastAsia" w:ascii="宋体" w:hAnsi="宋体" w:eastAsia="宋体"/>
          <w:color w:val="000000" w:themeColor="text1"/>
          <w:szCs w:val="21"/>
          <w:highlight w:val="none"/>
          <w14:textFill>
            <w14:solidFill>
              <w14:schemeClr w14:val="tx1"/>
            </w14:solidFill>
          </w14:textFill>
        </w:rPr>
        <w:t>；故障无法在短时间内解除的（超过4小时），招标人应当终止开标、评标</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清标</w:t>
      </w:r>
      <w:r>
        <w:rPr>
          <w:rFonts w:hint="eastAsia" w:ascii="宋体" w:hAnsi="宋体" w:eastAsia="宋体"/>
          <w:color w:val="000000" w:themeColor="text1"/>
          <w:szCs w:val="21"/>
          <w:highlight w:val="none"/>
          <w14:textFill>
            <w14:solidFill>
              <w14:schemeClr w14:val="tx1"/>
            </w14:solidFill>
          </w14:textFill>
        </w:rPr>
        <w:t>或定标工作，并配合公共资源交易场所、电子交易平台做好招投标资料的封存和保密工作，待故障解除后再重新进行开标、重新组建评标委员会进行评标或重新进行</w:t>
      </w:r>
      <w:r>
        <w:rPr>
          <w:rFonts w:hint="eastAsia" w:ascii="宋体" w:hAnsi="宋体" w:eastAsia="宋体"/>
          <w:color w:val="000000" w:themeColor="text1"/>
          <w:szCs w:val="21"/>
          <w:highlight w:val="none"/>
          <w:lang w:val="en-US" w:eastAsia="zh-CN"/>
          <w14:textFill>
            <w14:solidFill>
              <w14:schemeClr w14:val="tx1"/>
            </w14:solidFill>
          </w14:textFill>
        </w:rPr>
        <w:t>清标、定标</w:t>
      </w:r>
      <w:r>
        <w:rPr>
          <w:rFonts w:hint="eastAsia" w:ascii="宋体" w:hAnsi="宋体" w:eastAsia="宋体"/>
          <w:color w:val="000000" w:themeColor="text1"/>
          <w:szCs w:val="21"/>
          <w:highlight w:val="none"/>
          <w14:textFill>
            <w14:solidFill>
              <w14:schemeClr w14:val="tx1"/>
            </w14:solidFill>
          </w14:textFill>
        </w:rPr>
        <w:t>工作。</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230" w:name="_Toc7443"/>
      <w:bookmarkStart w:id="1231" w:name="_Toc30930"/>
      <w:bookmarkStart w:id="1232" w:name="_Toc106719349"/>
      <w:bookmarkStart w:id="1233" w:name="_Toc26452"/>
      <w:bookmarkStart w:id="1234" w:name="_Toc9627"/>
      <w:bookmarkStart w:id="1235" w:name="_Toc26523"/>
      <w:bookmarkStart w:id="1236" w:name="_Toc24370"/>
      <w:bookmarkStart w:id="1237" w:name="_Toc25900"/>
      <w:bookmarkStart w:id="1238" w:name="_Toc592"/>
      <w:bookmarkStart w:id="1239" w:name="_Toc52137778"/>
      <w:bookmarkStart w:id="1240" w:name="_Toc29006"/>
      <w:bookmarkStart w:id="1241" w:name="_Toc20119"/>
      <w:bookmarkStart w:id="1242" w:name="_Toc20571"/>
      <w:bookmarkStart w:id="1243" w:name="_Toc18387"/>
      <w:r>
        <w:rPr>
          <w:rFonts w:hint="eastAsia" w:ascii="黑体" w:hAnsi="黑体" w:eastAsia="黑体"/>
          <w:b w:val="0"/>
          <w:color w:val="000000" w:themeColor="text1"/>
          <w:sz w:val="28"/>
          <w:szCs w:val="28"/>
          <w:highlight w:val="none"/>
          <w14:textFill>
            <w14:solidFill>
              <w14:schemeClr w14:val="tx1"/>
            </w14:solidFill>
          </w14:textFill>
        </w:rPr>
        <w:t>9.3.需要修改和补充的其他内容</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pStyle w:val="15"/>
        <w:tabs>
          <w:tab w:val="left" w:pos="567"/>
          <w:tab w:val="left" w:pos="1000"/>
        </w:tabs>
        <w:spacing w:line="360" w:lineRule="auto"/>
        <w:ind w:firstLine="424" w:firstLineChars="202"/>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需要修改和补充的其他内容见投标人须知前附表。</w:t>
      </w:r>
    </w:p>
    <w:p>
      <w:pPr>
        <w:pStyle w:val="6"/>
        <w:spacing w:before="0" w:after="0" w:line="360" w:lineRule="auto"/>
        <w:rPr>
          <w:rFonts w:ascii="黑体" w:hAnsi="黑体" w:eastAsia="黑体"/>
          <w:b w:val="0"/>
          <w:color w:val="000000" w:themeColor="text1"/>
          <w:sz w:val="21"/>
          <w:szCs w:val="21"/>
          <w:highlight w:val="none"/>
          <w14:textFill>
            <w14:solidFill>
              <w14:schemeClr w14:val="tx1"/>
            </w14:solidFill>
          </w14:textFill>
        </w:rPr>
        <w:sectPr>
          <w:footerReference r:id="rId5" w:type="default"/>
          <w:footnotePr>
            <w:numFmt w:val="decimalEnclosedCircleChinese"/>
            <w:numRestart w:val="eachPage"/>
          </w:footnotePr>
          <w:pgSz w:w="11906" w:h="16838"/>
          <w:pgMar w:top="1276" w:right="1416" w:bottom="1560" w:left="1418" w:header="851" w:footer="992" w:gutter="0"/>
          <w:pgNumType w:start="1"/>
          <w:cols w:space="720" w:num="1"/>
          <w:docGrid w:type="linesAndChars" w:linePitch="312" w:charSpace="0"/>
        </w:sectPr>
      </w:pPr>
      <w:bookmarkStart w:id="1244" w:name="_Toc13157"/>
      <w:bookmarkStart w:id="1245" w:name="_Toc24596"/>
      <w:bookmarkStart w:id="1246" w:name="_Toc516753518"/>
    </w:p>
    <w:p>
      <w:pPr>
        <w:pStyle w:val="6"/>
        <w:spacing w:before="0" w:after="0" w:line="360" w:lineRule="auto"/>
        <w:rPr>
          <w:rFonts w:ascii="黑体" w:hAnsi="黑体" w:eastAsia="黑体"/>
          <w:b w:val="0"/>
          <w:color w:val="000000" w:themeColor="text1"/>
          <w:sz w:val="21"/>
          <w:szCs w:val="21"/>
          <w:highlight w:val="none"/>
          <w14:textFill>
            <w14:solidFill>
              <w14:schemeClr w14:val="tx1"/>
            </w14:solidFill>
          </w14:textFill>
        </w:rPr>
      </w:pPr>
      <w:bookmarkStart w:id="1247" w:name="_Toc3274"/>
      <w:bookmarkStart w:id="1248" w:name="_Toc14770"/>
      <w:bookmarkStart w:id="1249" w:name="_Toc18985"/>
      <w:bookmarkStart w:id="1250" w:name="_Toc106719352"/>
      <w:bookmarkStart w:id="1251" w:name="_Toc52137780"/>
      <w:bookmarkStart w:id="1252" w:name="_Toc777"/>
      <w:bookmarkStart w:id="1253" w:name="_Toc30619"/>
      <w:bookmarkStart w:id="1254" w:name="_Toc8020"/>
      <w:bookmarkStart w:id="1255" w:name="_Toc27796"/>
      <w:bookmarkStart w:id="1256" w:name="_Toc4142"/>
      <w:bookmarkStart w:id="1257" w:name="_Toc15766"/>
      <w:bookmarkStart w:id="1258" w:name="_Toc19294"/>
      <w:bookmarkStart w:id="1259" w:name="_Toc19344"/>
      <w:bookmarkStart w:id="1260" w:name="_Toc21079"/>
      <w:r>
        <w:rPr>
          <w:rFonts w:hint="eastAsia" w:ascii="黑体" w:hAnsi="黑体" w:eastAsia="黑体"/>
          <w:b w:val="0"/>
          <w:color w:val="000000" w:themeColor="text1"/>
          <w:sz w:val="21"/>
          <w:szCs w:val="21"/>
          <w:highlight w:val="none"/>
          <w14:textFill>
            <w14:solidFill>
              <w14:schemeClr w14:val="tx1"/>
            </w14:solidFill>
          </w14:textFill>
        </w:rPr>
        <w:t>附件2-</w:t>
      </w:r>
      <w:r>
        <w:rPr>
          <w:rFonts w:hint="eastAsia" w:ascii="黑体" w:hAnsi="黑体" w:eastAsia="黑体"/>
          <w:b w:val="0"/>
          <w:color w:val="000000" w:themeColor="text1"/>
          <w:sz w:val="21"/>
          <w:szCs w:val="21"/>
          <w:highlight w:val="none"/>
          <w:lang w:val="en-US" w:eastAsia="zh-CN"/>
          <w14:textFill>
            <w14:solidFill>
              <w14:schemeClr w14:val="tx1"/>
            </w14:solidFill>
          </w14:textFill>
        </w:rPr>
        <w:t>1</w:t>
      </w:r>
      <w:r>
        <w:rPr>
          <w:rFonts w:hint="eastAsia" w:ascii="黑体" w:hAnsi="黑体" w:eastAsia="黑体"/>
          <w:b w:val="0"/>
          <w:color w:val="000000" w:themeColor="text1"/>
          <w:sz w:val="21"/>
          <w:szCs w:val="21"/>
          <w:highlight w:val="none"/>
          <w14:textFill>
            <w14:solidFill>
              <w14:schemeClr w14:val="tx1"/>
            </w14:solidFill>
          </w14:textFill>
        </w:rPr>
        <w:t>：开标记录表（格式）</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pPr>
        <w:jc w:val="center"/>
        <w:rPr>
          <w:rFonts w:ascii="黑体" w:hAns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kern w:val="2"/>
          <w:sz w:val="28"/>
          <w:szCs w:val="28"/>
          <w:highlight w:val="none"/>
          <w:u w:val="single"/>
          <w14:textFill>
            <w14:solidFill>
              <w14:schemeClr w14:val="tx1"/>
            </w14:solidFill>
          </w14:textFill>
        </w:rPr>
        <w:t xml:space="preserve">             </w:t>
      </w:r>
      <w:r>
        <w:rPr>
          <w:rFonts w:hint="eastAsia" w:ascii="黑体" w:eastAsia="黑体"/>
          <w:color w:val="000000" w:themeColor="text1"/>
          <w:kern w:val="2"/>
          <w:sz w:val="28"/>
          <w:szCs w:val="28"/>
          <w:highlight w:val="none"/>
          <w14:textFill>
            <w14:solidFill>
              <w14:schemeClr w14:val="tx1"/>
            </w14:solidFill>
          </w14:textFill>
        </w:rPr>
        <w:t>（项目名称）</w:t>
      </w:r>
      <w:r>
        <w:rPr>
          <w:rFonts w:hint="eastAsia" w:ascii="黑体" w:hAnsi="黑体" w:eastAsia="黑体"/>
          <w:color w:val="000000" w:themeColor="text1"/>
          <w:sz w:val="28"/>
          <w:szCs w:val="28"/>
          <w:highlight w:val="none"/>
          <w14:textFill>
            <w14:solidFill>
              <w14:schemeClr w14:val="tx1"/>
            </w14:solidFill>
          </w14:textFill>
        </w:rPr>
        <w:t>开标记录表（1）</w:t>
      </w:r>
    </w:p>
    <w:tbl>
      <w:tblPr>
        <w:tblStyle w:val="4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4"/>
        <w:gridCol w:w="852"/>
        <w:gridCol w:w="851"/>
        <w:gridCol w:w="1417"/>
        <w:gridCol w:w="1560"/>
        <w:gridCol w:w="1701"/>
        <w:gridCol w:w="1417"/>
        <w:gridCol w:w="992"/>
        <w:gridCol w:w="1134"/>
        <w:gridCol w:w="1134"/>
        <w:gridCol w:w="990"/>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4" w:type="dxa"/>
            <w:vAlign w:val="center"/>
          </w:tcPr>
          <w:p>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投标人名称</w:t>
            </w:r>
          </w:p>
        </w:tc>
        <w:tc>
          <w:tcPr>
            <w:tcW w:w="852" w:type="dxa"/>
            <w:vAlign w:val="center"/>
          </w:tcPr>
          <w:p>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组织机构代码</w:t>
            </w:r>
          </w:p>
        </w:tc>
        <w:tc>
          <w:tcPr>
            <w:tcW w:w="851" w:type="dxa"/>
            <w:vAlign w:val="center"/>
          </w:tcPr>
          <w:p>
            <w:pPr>
              <w:spacing w:line="240" w:lineRule="auto"/>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统一社会信用代码</w:t>
            </w:r>
          </w:p>
        </w:tc>
        <w:tc>
          <w:tcPr>
            <w:tcW w:w="1417" w:type="dxa"/>
            <w:vAlign w:val="center"/>
          </w:tcPr>
          <w:p>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拟担任勘察项目负责人姓名</w:t>
            </w:r>
          </w:p>
        </w:tc>
        <w:tc>
          <w:tcPr>
            <w:tcW w:w="1560" w:type="dxa"/>
            <w:vAlign w:val="center"/>
          </w:tcPr>
          <w:p>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注册土木工程师（岩土）执业资格证书编号</w:t>
            </w:r>
          </w:p>
        </w:tc>
        <w:tc>
          <w:tcPr>
            <w:tcW w:w="1701" w:type="dxa"/>
            <w:vAlign w:val="center"/>
          </w:tcPr>
          <w:p>
            <w:pPr>
              <w:spacing w:line="24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勘察费投标报价</w:t>
            </w:r>
          </w:p>
        </w:tc>
        <w:tc>
          <w:tcPr>
            <w:tcW w:w="1417" w:type="dxa"/>
            <w:vAlign w:val="center"/>
          </w:tcPr>
          <w:p>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勘察服务期限</w:t>
            </w:r>
          </w:p>
        </w:tc>
        <w:tc>
          <w:tcPr>
            <w:tcW w:w="992" w:type="dxa"/>
            <w:vAlign w:val="center"/>
          </w:tcPr>
          <w:p>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1134" w:type="dxa"/>
            <w:vAlign w:val="center"/>
          </w:tcPr>
          <w:p>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投标保证金（元）</w:t>
            </w:r>
          </w:p>
        </w:tc>
        <w:tc>
          <w:tcPr>
            <w:tcW w:w="1134" w:type="dxa"/>
            <w:vAlign w:val="center"/>
          </w:tcPr>
          <w:p>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投标保证金递交情况</w:t>
            </w:r>
          </w:p>
        </w:tc>
        <w:tc>
          <w:tcPr>
            <w:tcW w:w="99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解密情况</w:t>
            </w:r>
          </w:p>
        </w:tc>
        <w:tc>
          <w:tcPr>
            <w:tcW w:w="711"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6" w:type="dxa"/>
            <w:vAlign w:val="center"/>
          </w:tcPr>
          <w:p>
            <w:pPr>
              <w:rPr>
                <w:rFonts w:ascii="宋体" w:hAnsi="宋体"/>
                <w:color w:val="000000" w:themeColor="text1"/>
                <w:sz w:val="21"/>
                <w:szCs w:val="21"/>
                <w:highlight w:val="none"/>
                <w14:textFill>
                  <w14:solidFill>
                    <w14:schemeClr w14:val="tx1"/>
                  </w14:solidFill>
                </w14:textFill>
              </w:rPr>
            </w:pPr>
          </w:p>
        </w:tc>
        <w:tc>
          <w:tcPr>
            <w:tcW w:w="1274" w:type="dxa"/>
            <w:vAlign w:val="center"/>
          </w:tcPr>
          <w:p>
            <w:pPr>
              <w:rPr>
                <w:rFonts w:ascii="宋体" w:hAnsi="宋体"/>
                <w:color w:val="000000" w:themeColor="text1"/>
                <w:sz w:val="21"/>
                <w:szCs w:val="21"/>
                <w:highlight w:val="none"/>
                <w14:textFill>
                  <w14:solidFill>
                    <w14:schemeClr w14:val="tx1"/>
                  </w14:solidFill>
                </w14:textFill>
              </w:rPr>
            </w:pPr>
          </w:p>
        </w:tc>
        <w:tc>
          <w:tcPr>
            <w:tcW w:w="852" w:type="dxa"/>
            <w:vAlign w:val="center"/>
          </w:tcPr>
          <w:p>
            <w:pPr>
              <w:rPr>
                <w:rFonts w:ascii="宋体" w:hAnsi="宋体"/>
                <w:color w:val="000000" w:themeColor="text1"/>
                <w:sz w:val="21"/>
                <w:szCs w:val="21"/>
                <w:highlight w:val="none"/>
                <w14:textFill>
                  <w14:solidFill>
                    <w14:schemeClr w14:val="tx1"/>
                  </w14:solidFill>
                </w14:textFill>
              </w:rPr>
            </w:pPr>
          </w:p>
        </w:tc>
        <w:tc>
          <w:tcPr>
            <w:tcW w:w="85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60"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rPr>
                <w:rFonts w:ascii="宋体" w:hAnsi="宋体"/>
                <w:color w:val="000000" w:themeColor="text1"/>
                <w:sz w:val="21"/>
                <w:szCs w:val="21"/>
                <w:highlight w:val="none"/>
                <w14:textFill>
                  <w14:solidFill>
                    <w14:schemeClr w14:val="tx1"/>
                  </w14:solidFill>
                </w14:textFill>
              </w:rPr>
            </w:pPr>
          </w:p>
        </w:tc>
        <w:tc>
          <w:tcPr>
            <w:tcW w:w="1417" w:type="dxa"/>
            <w:vAlign w:val="center"/>
          </w:tcPr>
          <w:p>
            <w:pPr>
              <w:rPr>
                <w:rFonts w:ascii="宋体" w:hAnsi="宋体"/>
                <w:color w:val="000000" w:themeColor="text1"/>
                <w:sz w:val="21"/>
                <w:szCs w:val="21"/>
                <w:highlight w:val="none"/>
                <w14:textFill>
                  <w14:solidFill>
                    <w14:schemeClr w14:val="tx1"/>
                  </w14:solidFill>
                </w14:textFill>
              </w:rPr>
            </w:pPr>
          </w:p>
        </w:tc>
        <w:tc>
          <w:tcPr>
            <w:tcW w:w="992"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1134" w:type="dxa"/>
            <w:vAlign w:val="center"/>
          </w:tcPr>
          <w:p>
            <w:pPr>
              <w:rPr>
                <w:rFonts w:ascii="宋体" w:hAnsi="宋体"/>
                <w:color w:val="000000" w:themeColor="text1"/>
                <w:sz w:val="21"/>
                <w:szCs w:val="21"/>
                <w:highlight w:val="none"/>
                <w14:textFill>
                  <w14:solidFill>
                    <w14:schemeClr w14:val="tx1"/>
                  </w14:solidFill>
                </w14:textFill>
              </w:rPr>
            </w:pPr>
          </w:p>
        </w:tc>
        <w:tc>
          <w:tcPr>
            <w:tcW w:w="990" w:type="dxa"/>
            <w:vAlign w:val="center"/>
          </w:tcPr>
          <w:p>
            <w:pPr>
              <w:rPr>
                <w:rFonts w:ascii="宋体" w:hAnsi="宋体"/>
                <w:color w:val="000000" w:themeColor="text1"/>
                <w:sz w:val="21"/>
                <w:szCs w:val="21"/>
                <w:highlight w:val="none"/>
                <w14:textFill>
                  <w14:solidFill>
                    <w14:schemeClr w14:val="tx1"/>
                  </w14:solidFill>
                </w14:textFill>
              </w:rPr>
            </w:pPr>
          </w:p>
        </w:tc>
        <w:tc>
          <w:tcPr>
            <w:tcW w:w="711"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552" w:type="dxa"/>
            <w:gridSpan w:val="3"/>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最高投标报价限价</w:t>
            </w:r>
          </w:p>
        </w:tc>
        <w:tc>
          <w:tcPr>
            <w:tcW w:w="11907" w:type="dxa"/>
            <w:gridSpan w:val="10"/>
            <w:vAlign w:val="center"/>
          </w:tcPr>
          <w:p>
            <w:pPr>
              <w:rPr>
                <w:rFonts w:ascii="宋体" w:hAnsi="宋体"/>
                <w:color w:val="000000" w:themeColor="text1"/>
                <w:sz w:val="21"/>
                <w:szCs w:val="21"/>
                <w:highlight w:val="none"/>
                <w14:textFill>
                  <w14:solidFill>
                    <w14:schemeClr w14:val="tx1"/>
                  </w14:solidFill>
                </w14:textFill>
              </w:rPr>
            </w:pPr>
          </w:p>
        </w:tc>
      </w:tr>
    </w:tbl>
    <w:p>
      <w:pPr>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招标人盖章或签字：                         招标代理机构盖章或签字：                   监标人（公证机构）盖章或签字：</w:t>
      </w:r>
    </w:p>
    <w:p>
      <w:pPr>
        <w:ind w:firstLine="800" w:firstLineChars="400"/>
        <w:rPr>
          <w:color w:val="000000" w:themeColor="text1"/>
          <w:highlight w:val="none"/>
          <w14:textFill>
            <w14:solidFill>
              <w14:schemeClr w14:val="tx1"/>
            </w14:solidFill>
          </w14:textFill>
        </w:rPr>
      </w:pPr>
    </w:p>
    <w:p>
      <w:pPr>
        <w:pStyle w:val="15"/>
        <w:snapToGrid w:val="0"/>
        <w:spacing w:beforeLines="100" w:line="360" w:lineRule="auto"/>
        <w:ind w:firstLine="0"/>
        <w:jc w:val="center"/>
        <w:rPr>
          <w:rFonts w:ascii="宋体" w:hAnsi="宋体" w:cs="宋体"/>
          <w:color w:val="000000" w:themeColor="text1"/>
          <w:sz w:val="36"/>
          <w:szCs w:val="36"/>
          <w:highlight w:val="none"/>
          <w14:textFill>
            <w14:solidFill>
              <w14:schemeClr w14:val="tx1"/>
            </w14:solidFill>
          </w14:textFill>
        </w:rPr>
      </w:pPr>
      <w:r>
        <w:rPr>
          <w:rFonts w:hint="eastAsia" w:ascii="黑体" w:hAnsi="Calibri" w:eastAsia="黑体" w:cs="Times New Roman"/>
          <w:color w:val="000000" w:themeColor="text1"/>
          <w:sz w:val="28"/>
          <w:szCs w:val="28"/>
          <w:highlight w:val="none"/>
          <w:u w:val="single"/>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（招标项目名称）</w:t>
      </w:r>
      <w:r>
        <w:rPr>
          <w:rFonts w:hint="eastAsia" w:ascii="黑体" w:hAnsi="Calibri" w:eastAsia="黑体" w:cs="Times New Roman"/>
          <w:color w:val="000000" w:themeColor="text1"/>
          <w:sz w:val="28"/>
          <w:szCs w:val="28"/>
          <w:highlight w:val="none"/>
          <w14:textFill>
            <w14:solidFill>
              <w14:schemeClr w14:val="tx1"/>
            </w14:solidFill>
          </w14:textFill>
        </w:rPr>
        <w:t>开标记录表（2）</w:t>
      </w:r>
    </w:p>
    <w:tbl>
      <w:tblPr>
        <w:tblStyle w:val="41"/>
        <w:tblW w:w="14013" w:type="dxa"/>
        <w:jc w:val="center"/>
        <w:tblInd w:w="0" w:type="dxa"/>
        <w:tblLayout w:type="fixed"/>
        <w:tblCellMar>
          <w:top w:w="0" w:type="dxa"/>
          <w:left w:w="108" w:type="dxa"/>
          <w:bottom w:w="0" w:type="dxa"/>
          <w:right w:w="108" w:type="dxa"/>
        </w:tblCellMar>
      </w:tblPr>
      <w:tblGrid>
        <w:gridCol w:w="998"/>
        <w:gridCol w:w="4732"/>
        <w:gridCol w:w="1157"/>
        <w:gridCol w:w="4761"/>
        <w:gridCol w:w="1071"/>
        <w:gridCol w:w="1294"/>
      </w:tblGrid>
      <w:tr>
        <w:tblPrEx>
          <w:tblLayout w:type="fixed"/>
          <w:tblCellMar>
            <w:top w:w="0" w:type="dxa"/>
            <w:left w:w="108" w:type="dxa"/>
            <w:bottom w:w="0" w:type="dxa"/>
            <w:right w:w="108" w:type="dxa"/>
          </w:tblCellMar>
        </w:tblPrEx>
        <w:trPr>
          <w:trHeight w:val="771" w:hRule="atLeast"/>
          <w:jc w:val="center"/>
        </w:trPr>
        <w:tc>
          <w:tcPr>
            <w:tcW w:w="998" w:type="dxa"/>
            <w:vMerge w:val="restart"/>
            <w:tcBorders>
              <w:top w:val="single" w:color="000000" w:sz="4" w:space="0"/>
              <w:left w:val="single" w:color="000000" w:sz="4" w:space="0"/>
              <w:right w:val="single" w:color="000000" w:sz="4" w:space="0"/>
            </w:tcBorders>
            <w:vAlign w:val="center"/>
          </w:tcPr>
          <w:p>
            <w:pPr>
              <w:pStyle w:val="57"/>
              <w:spacing w:line="240" w:lineRule="exact"/>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4732" w:type="dxa"/>
            <w:vMerge w:val="restart"/>
            <w:tcBorders>
              <w:top w:val="single" w:color="000000" w:sz="4" w:space="0"/>
              <w:left w:val="single" w:color="000000" w:sz="4" w:space="0"/>
              <w:bottom w:val="nil"/>
              <w:right w:val="single" w:color="000000" w:sz="4" w:space="0"/>
            </w:tcBorders>
            <w:vAlign w:val="center"/>
          </w:tcPr>
          <w:p>
            <w:pPr>
              <w:pStyle w:val="57"/>
              <w:spacing w:line="240" w:lineRule="exact"/>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p>
        </w:tc>
        <w:tc>
          <w:tcPr>
            <w:tcW w:w="6989"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上传、解密电子投标文件（开标现场上传、解密电子投标文件的除外）或编制电子投标文件的计算机硬件信息</w:t>
            </w:r>
          </w:p>
        </w:tc>
        <w:tc>
          <w:tcPr>
            <w:tcW w:w="1294" w:type="dxa"/>
            <w:vMerge w:val="restart"/>
            <w:tcBorders>
              <w:top w:val="single" w:color="000000" w:sz="4" w:space="0"/>
              <w:left w:val="single" w:color="000000"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1476" w:hRule="atLeast"/>
          <w:jc w:val="center"/>
        </w:trPr>
        <w:tc>
          <w:tcPr>
            <w:tcW w:w="998" w:type="dxa"/>
            <w:vMerge w:val="continue"/>
            <w:tcBorders>
              <w:left w:val="single" w:color="000000" w:sz="4" w:space="0"/>
              <w:bottom w:val="single" w:color="000000" w:sz="4" w:space="0"/>
              <w:right w:val="single" w:color="000000" w:sz="4" w:space="0"/>
            </w:tcBorders>
            <w:vAlign w:val="center"/>
          </w:tcPr>
          <w:p>
            <w:pPr>
              <w:pStyle w:val="57"/>
              <w:spacing w:line="240" w:lineRule="exact"/>
              <w:jc w:val="center"/>
              <w:rPr>
                <w:rFonts w:ascii="宋体" w:hAnsi="宋体" w:eastAsia="宋体" w:cs="宋体"/>
                <w:color w:val="000000" w:themeColor="text1"/>
                <w:sz w:val="21"/>
                <w:szCs w:val="21"/>
                <w:highlight w:val="none"/>
                <w14:textFill>
                  <w14:solidFill>
                    <w14:schemeClr w14:val="tx1"/>
                  </w14:solidFill>
                </w14:textFill>
              </w:rPr>
            </w:pPr>
          </w:p>
        </w:tc>
        <w:tc>
          <w:tcPr>
            <w:tcW w:w="4732"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themeColor="text1"/>
                <w:sz w:val="21"/>
                <w:szCs w:val="21"/>
                <w:highlight w:val="none"/>
                <w14:textFill>
                  <w14:solidFill>
                    <w14:schemeClr w14:val="tx1"/>
                  </w14:solidFill>
                </w14:textFill>
              </w:rPr>
            </w:pPr>
          </w:p>
        </w:tc>
        <w:tc>
          <w:tcPr>
            <w:tcW w:w="1157" w:type="dxa"/>
            <w:tcBorders>
              <w:top w:val="single" w:color="auto" w:sz="4" w:space="0"/>
              <w:left w:val="single" w:color="000000" w:sz="4" w:space="0"/>
              <w:right w:val="single" w:color="auto"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记录时间</w:t>
            </w:r>
          </w:p>
        </w:tc>
        <w:tc>
          <w:tcPr>
            <w:tcW w:w="4761"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计算机硬件信息(网卡MAC地址、CPU序列号、数据存储设备序列号)</w:t>
            </w:r>
          </w:p>
        </w:tc>
        <w:tc>
          <w:tcPr>
            <w:tcW w:w="1071" w:type="dxa"/>
            <w:tcBorders>
              <w:top w:val="single" w:color="auto" w:sz="4" w:space="0"/>
              <w:left w:val="single" w:color="auto" w:sz="4" w:space="0"/>
              <w:right w:val="single" w:color="000000"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是否雷同</w:t>
            </w:r>
          </w:p>
        </w:tc>
        <w:tc>
          <w:tcPr>
            <w:tcW w:w="1294" w:type="dxa"/>
            <w:vMerge w:val="continue"/>
            <w:tcBorders>
              <w:left w:val="single" w:color="000000" w:sz="4" w:space="0"/>
              <w:right w:val="single" w:color="auto" w:sz="4" w:space="0"/>
            </w:tcBorders>
            <w:vAlign w:val="center"/>
          </w:tcPr>
          <w:p>
            <w:pPr>
              <w:spacing w:line="240" w:lineRule="exact"/>
              <w:jc w:val="center"/>
              <w:rPr>
                <w:rFonts w:ascii="宋体" w:hAnsi="宋体"/>
                <w:b/>
                <w:bCs/>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jc w:val="center"/>
        </w:trPr>
        <w:tc>
          <w:tcPr>
            <w:tcW w:w="998" w:type="dxa"/>
            <w:vMerge w:val="restart"/>
            <w:tcBorders>
              <w:top w:val="single" w:color="000000" w:sz="4" w:space="0"/>
              <w:left w:val="single" w:color="000000" w:sz="4" w:space="0"/>
              <w:right w:val="single" w:color="000000" w:sz="4" w:space="0"/>
            </w:tcBorders>
          </w:tcPr>
          <w:p>
            <w:pPr>
              <w:pStyle w:val="105"/>
              <w:spacing w:before="3"/>
              <w:jc w:val="center"/>
              <w:rPr>
                <w:color w:val="000000" w:themeColor="text1"/>
                <w:sz w:val="21"/>
                <w:szCs w:val="21"/>
                <w:highlight w:val="none"/>
                <w14:textFill>
                  <w14:solidFill>
                    <w14:schemeClr w14:val="tx1"/>
                  </w14:solidFill>
                </w14:textFill>
              </w:rPr>
            </w:pPr>
          </w:p>
        </w:tc>
        <w:tc>
          <w:tcPr>
            <w:tcW w:w="4732" w:type="dxa"/>
            <w:vMerge w:val="restart"/>
            <w:tcBorders>
              <w:top w:val="single" w:color="000000" w:sz="4" w:space="0"/>
              <w:left w:val="single" w:color="000000" w:sz="4" w:space="0"/>
              <w:right w:val="single" w:color="000000" w:sz="4" w:space="0"/>
            </w:tcBorders>
          </w:tcPr>
          <w:p>
            <w:pPr>
              <w:pStyle w:val="105"/>
              <w:ind w:right="184"/>
              <w:jc w:val="right"/>
              <w:rPr>
                <w:color w:val="000000" w:themeColor="text1"/>
                <w:sz w:val="21"/>
                <w:szCs w:val="21"/>
                <w:highlight w:val="none"/>
                <w14:textFill>
                  <w14:solidFill>
                    <w14:schemeClr w14:val="tx1"/>
                  </w14:solidFill>
                </w14:textFill>
              </w:rPr>
            </w:pPr>
          </w:p>
        </w:tc>
        <w:tc>
          <w:tcPr>
            <w:tcW w:w="1157" w:type="dxa"/>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761" w:type="dxa"/>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071" w:type="dxa"/>
            <w:tcBorders>
              <w:top w:val="single" w:color="000000"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jc w:val="center"/>
        </w:trPr>
        <w:tc>
          <w:tcPr>
            <w:tcW w:w="998" w:type="dxa"/>
            <w:vMerge w:val="continue"/>
            <w:tcBorders>
              <w:left w:val="single" w:color="000000" w:sz="4" w:space="0"/>
              <w:bottom w:val="single" w:color="000000" w:sz="4" w:space="0"/>
              <w:right w:val="single" w:color="000000" w:sz="4" w:space="0"/>
            </w:tcBorders>
          </w:tcPr>
          <w:p>
            <w:pPr>
              <w:pStyle w:val="105"/>
              <w:spacing w:before="3"/>
              <w:jc w:val="center"/>
              <w:rPr>
                <w:color w:val="000000" w:themeColor="text1"/>
                <w:sz w:val="21"/>
                <w:szCs w:val="21"/>
                <w:highlight w:val="none"/>
                <w14:textFill>
                  <w14:solidFill>
                    <w14:schemeClr w14:val="tx1"/>
                  </w14:solidFill>
                </w14:textFill>
              </w:rPr>
            </w:pPr>
          </w:p>
        </w:tc>
        <w:tc>
          <w:tcPr>
            <w:tcW w:w="4732" w:type="dxa"/>
            <w:vMerge w:val="continue"/>
            <w:tcBorders>
              <w:left w:val="single" w:color="000000" w:sz="4" w:space="0"/>
              <w:bottom w:val="single" w:color="000000" w:sz="4" w:space="0"/>
              <w:right w:val="single" w:color="000000" w:sz="4" w:space="0"/>
            </w:tcBorders>
          </w:tcPr>
          <w:p>
            <w:pPr>
              <w:pStyle w:val="105"/>
              <w:ind w:right="184"/>
              <w:jc w:val="right"/>
              <w:rPr>
                <w:color w:val="000000" w:themeColor="text1"/>
                <w:sz w:val="21"/>
                <w:szCs w:val="21"/>
                <w:highlight w:val="none"/>
                <w14:textFill>
                  <w14:solidFill>
                    <w14:schemeClr w14:val="tx1"/>
                  </w14:solidFill>
                </w14:textFill>
              </w:rPr>
            </w:pPr>
          </w:p>
        </w:tc>
        <w:tc>
          <w:tcPr>
            <w:tcW w:w="1157"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7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94" w:hRule="atLeast"/>
          <w:jc w:val="center"/>
        </w:trPr>
        <w:tc>
          <w:tcPr>
            <w:tcW w:w="998" w:type="dxa"/>
            <w:vMerge w:val="restart"/>
            <w:tcBorders>
              <w:top w:val="single" w:color="000000" w:sz="4" w:space="0"/>
              <w:left w:val="single" w:color="000000" w:sz="4" w:space="0"/>
              <w:right w:val="single" w:color="000000" w:sz="4" w:space="0"/>
            </w:tcBorders>
          </w:tcPr>
          <w:p>
            <w:pPr>
              <w:pStyle w:val="105"/>
              <w:spacing w:before="3"/>
              <w:jc w:val="center"/>
              <w:rPr>
                <w:color w:val="000000" w:themeColor="text1"/>
                <w:sz w:val="21"/>
                <w:szCs w:val="21"/>
                <w:highlight w:val="none"/>
                <w14:textFill>
                  <w14:solidFill>
                    <w14:schemeClr w14:val="tx1"/>
                  </w14:solidFill>
                </w14:textFill>
              </w:rPr>
            </w:pPr>
          </w:p>
        </w:tc>
        <w:tc>
          <w:tcPr>
            <w:tcW w:w="4732" w:type="dxa"/>
            <w:vMerge w:val="restart"/>
            <w:tcBorders>
              <w:top w:val="single" w:color="000000" w:sz="4" w:space="0"/>
              <w:left w:val="single" w:color="000000" w:sz="4" w:space="0"/>
              <w:right w:val="single" w:color="000000" w:sz="4" w:space="0"/>
            </w:tcBorders>
          </w:tcPr>
          <w:p>
            <w:pPr>
              <w:pStyle w:val="105"/>
              <w:spacing w:before="3"/>
              <w:rPr>
                <w:color w:val="000000" w:themeColor="text1"/>
                <w:sz w:val="21"/>
                <w:szCs w:val="21"/>
                <w:highlight w:val="none"/>
                <w14:textFill>
                  <w14:solidFill>
                    <w14:schemeClr w14:val="tx1"/>
                  </w14:solidFill>
                </w14:textFill>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70" w:hRule="atLeast"/>
          <w:jc w:val="center"/>
        </w:trPr>
        <w:tc>
          <w:tcPr>
            <w:tcW w:w="998" w:type="dxa"/>
            <w:vMerge w:val="continue"/>
            <w:tcBorders>
              <w:left w:val="single" w:color="000000" w:sz="4" w:space="0"/>
              <w:bottom w:val="single" w:color="auto" w:sz="4" w:space="0"/>
              <w:right w:val="single" w:color="000000" w:sz="4" w:space="0"/>
            </w:tcBorders>
          </w:tcPr>
          <w:p>
            <w:pPr>
              <w:pStyle w:val="105"/>
              <w:spacing w:before="3"/>
              <w:rPr>
                <w:color w:val="000000" w:themeColor="text1"/>
                <w:sz w:val="21"/>
                <w:szCs w:val="21"/>
                <w:highlight w:val="none"/>
                <w14:textFill>
                  <w14:solidFill>
                    <w14:schemeClr w14:val="tx1"/>
                  </w14:solidFill>
                </w14:textFill>
              </w:rPr>
            </w:pPr>
          </w:p>
        </w:tc>
        <w:tc>
          <w:tcPr>
            <w:tcW w:w="4732" w:type="dxa"/>
            <w:vMerge w:val="continue"/>
            <w:tcBorders>
              <w:left w:val="single" w:color="000000" w:sz="4" w:space="0"/>
              <w:bottom w:val="single" w:color="auto" w:sz="4" w:space="0"/>
              <w:right w:val="single" w:color="000000" w:sz="4" w:space="0"/>
            </w:tcBorders>
          </w:tcPr>
          <w:p>
            <w:pPr>
              <w:pStyle w:val="105"/>
              <w:spacing w:before="3"/>
              <w:rPr>
                <w:color w:val="000000" w:themeColor="text1"/>
                <w:sz w:val="21"/>
                <w:szCs w:val="21"/>
                <w:highlight w:val="none"/>
                <w14:textFill>
                  <w14:solidFill>
                    <w14:schemeClr w14:val="tx1"/>
                  </w14:solidFill>
                </w14:textFill>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70" w:hRule="atLeast"/>
          <w:jc w:val="center"/>
        </w:trPr>
        <w:tc>
          <w:tcPr>
            <w:tcW w:w="998" w:type="dxa"/>
            <w:tcBorders>
              <w:top w:val="single" w:color="auto" w:sz="4" w:space="0"/>
              <w:left w:val="single" w:color="000000" w:sz="4" w:space="0"/>
              <w:right w:val="single" w:color="000000" w:sz="4" w:space="0"/>
            </w:tcBorders>
          </w:tcPr>
          <w:p>
            <w:pPr>
              <w:pStyle w:val="105"/>
              <w:spacing w:before="3"/>
              <w:rPr>
                <w:color w:val="000000" w:themeColor="text1"/>
                <w:sz w:val="21"/>
                <w:szCs w:val="21"/>
                <w:highlight w:val="none"/>
                <w14:textFill>
                  <w14:solidFill>
                    <w14:schemeClr w14:val="tx1"/>
                  </w14:solidFill>
                </w14:textFill>
              </w:rPr>
            </w:pPr>
          </w:p>
        </w:tc>
        <w:tc>
          <w:tcPr>
            <w:tcW w:w="4732" w:type="dxa"/>
            <w:tcBorders>
              <w:top w:val="single" w:color="auto" w:sz="4" w:space="0"/>
              <w:left w:val="single" w:color="000000" w:sz="4" w:space="0"/>
              <w:right w:val="single" w:color="000000" w:sz="4" w:space="0"/>
            </w:tcBorders>
          </w:tcPr>
          <w:p>
            <w:pPr>
              <w:pStyle w:val="105"/>
              <w:spacing w:before="3"/>
              <w:rPr>
                <w:color w:val="000000" w:themeColor="text1"/>
                <w:sz w:val="21"/>
                <w:szCs w:val="21"/>
                <w:highlight w:val="none"/>
                <w14:textFill>
                  <w14:solidFill>
                    <w14:schemeClr w14:val="tx1"/>
                  </w14:solidFill>
                </w14:textFill>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70" w:hRule="atLeast"/>
          <w:jc w:val="center"/>
        </w:trPr>
        <w:tc>
          <w:tcPr>
            <w:tcW w:w="998" w:type="dxa"/>
            <w:tcBorders>
              <w:left w:val="single" w:color="000000" w:sz="4" w:space="0"/>
              <w:bottom w:val="single" w:color="000000" w:sz="4" w:space="0"/>
              <w:right w:val="single" w:color="000000" w:sz="4" w:space="0"/>
            </w:tcBorders>
          </w:tcPr>
          <w:p>
            <w:pPr>
              <w:pStyle w:val="105"/>
              <w:spacing w:before="3"/>
              <w:rPr>
                <w:color w:val="000000" w:themeColor="text1"/>
                <w:sz w:val="21"/>
                <w:szCs w:val="21"/>
                <w:highlight w:val="none"/>
                <w14:textFill>
                  <w14:solidFill>
                    <w14:schemeClr w14:val="tx1"/>
                  </w14:solidFill>
                </w14:textFill>
              </w:rPr>
            </w:pPr>
          </w:p>
        </w:tc>
        <w:tc>
          <w:tcPr>
            <w:tcW w:w="4732" w:type="dxa"/>
            <w:tcBorders>
              <w:left w:val="single" w:color="000000" w:sz="4" w:space="0"/>
              <w:bottom w:val="single" w:color="000000" w:sz="4" w:space="0"/>
              <w:right w:val="single" w:color="000000" w:sz="4" w:space="0"/>
            </w:tcBorders>
          </w:tcPr>
          <w:p>
            <w:pPr>
              <w:pStyle w:val="105"/>
              <w:spacing w:before="3"/>
              <w:rPr>
                <w:color w:val="000000" w:themeColor="text1"/>
                <w:sz w:val="21"/>
                <w:szCs w:val="21"/>
                <w:highlight w:val="none"/>
                <w14:textFill>
                  <w14:solidFill>
                    <w14:schemeClr w14:val="tx1"/>
                  </w14:solidFill>
                </w14:textFill>
              </w:rPr>
            </w:pPr>
          </w:p>
        </w:tc>
        <w:tc>
          <w:tcPr>
            <w:tcW w:w="1157" w:type="dxa"/>
            <w:tcBorders>
              <w:top w:val="single" w:color="auto" w:sz="4" w:space="0"/>
              <w:left w:val="single" w:color="000000" w:sz="4" w:space="0"/>
              <w:bottom w:val="single" w:color="000000"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4761" w:type="dxa"/>
            <w:tcBorders>
              <w:top w:val="single" w:color="auto" w:sz="4" w:space="0"/>
              <w:left w:val="single" w:color="auto" w:sz="4" w:space="0"/>
              <w:bottom w:val="single" w:color="000000"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071" w:type="dxa"/>
            <w:tcBorders>
              <w:top w:val="single" w:color="auto" w:sz="4" w:space="0"/>
              <w:left w:val="single" w:color="auto" w:sz="4" w:space="0"/>
              <w:bottom w:val="single" w:color="000000" w:sz="4" w:space="0"/>
              <w:right w:val="single" w:color="000000"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7"/>
              <w:jc w:val="center"/>
              <w:rPr>
                <w:rFonts w:ascii="宋体" w:hAnsi="宋体" w:eastAsia="宋体" w:cs="宋体"/>
                <w:color w:val="000000" w:themeColor="text1"/>
                <w:sz w:val="21"/>
                <w:szCs w:val="21"/>
                <w:highlight w:val="none"/>
                <w14:textFill>
                  <w14:solidFill>
                    <w14:schemeClr w14:val="tx1"/>
                  </w14:solidFill>
                </w14:textFill>
              </w:rPr>
            </w:pPr>
          </w:p>
        </w:tc>
      </w:tr>
    </w:tbl>
    <w:p>
      <w:pPr>
        <w:ind w:firstLine="840" w:firstLineChars="400"/>
        <w:rPr>
          <w:color w:val="000000" w:themeColor="text1"/>
          <w:sz w:val="21"/>
          <w:szCs w:val="21"/>
          <w:highlight w:val="none"/>
          <w14:textFill>
            <w14:solidFill>
              <w14:schemeClr w14:val="tx1"/>
            </w14:solidFill>
          </w14:textFill>
        </w:rPr>
      </w:pPr>
    </w:p>
    <w:p>
      <w:pPr>
        <w:outlineLvl w:val="9"/>
        <w:rPr>
          <w:rFonts w:ascii="黑体" w:hAnsi="黑体" w:eastAsia="黑体"/>
          <w:b w:val="0"/>
          <w:color w:val="000000" w:themeColor="text1"/>
          <w:sz w:val="21"/>
          <w:szCs w:val="21"/>
          <w:highlight w:val="none"/>
          <w14:textFill>
            <w14:solidFill>
              <w14:schemeClr w14:val="tx1"/>
            </w14:solidFill>
          </w14:textFill>
        </w:rPr>
      </w:pPr>
      <w:bookmarkStart w:id="1261" w:name="_Toc106654239"/>
      <w:bookmarkStart w:id="1262" w:name="_Toc15486"/>
      <w:bookmarkStart w:id="1263" w:name="_Toc106719353"/>
      <w:r>
        <w:rPr>
          <w:rFonts w:hint="eastAsia"/>
          <w:color w:val="000000" w:themeColor="text1"/>
          <w:sz w:val="21"/>
          <w:szCs w:val="21"/>
          <w:highlight w:val="none"/>
          <w14:textFill>
            <w14:solidFill>
              <w14:schemeClr w14:val="tx1"/>
            </w14:solidFill>
          </w14:textFill>
        </w:rPr>
        <w:t>招标人盖章或签字：                          招标代理机构盖章或签字：                   监标人（公证机构）盖章或签字：</w:t>
      </w:r>
      <w:bookmarkEnd w:id="1261"/>
      <w:bookmarkEnd w:id="1262"/>
      <w:bookmarkEnd w:id="1263"/>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notePr>
            <w:numFmt w:val="decimalEnclosedCircleChinese"/>
            <w:numRestart w:val="eachPage"/>
          </w:footnotePr>
          <w:pgSz w:w="16838" w:h="11906" w:orient="landscape"/>
          <w:pgMar w:top="1418" w:right="1276" w:bottom="1559" w:left="1559" w:header="851" w:footer="992" w:gutter="0"/>
          <w:cols w:space="720" w:num="1"/>
          <w:docGrid w:type="lines" w:linePitch="312" w:charSpace="0"/>
        </w:sectPr>
      </w:pPr>
    </w:p>
    <w:bookmarkEnd w:id="1244"/>
    <w:bookmarkEnd w:id="1245"/>
    <w:bookmarkEnd w:id="1246"/>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bookmarkStart w:id="1264" w:name="_Toc18668"/>
      <w:bookmarkStart w:id="1265" w:name="_Toc31684"/>
      <w:bookmarkStart w:id="1266" w:name="_Toc8241"/>
      <w:bookmarkStart w:id="1267" w:name="_Toc2887"/>
      <w:bookmarkStart w:id="1268" w:name="_Toc15147"/>
      <w:bookmarkStart w:id="1269" w:name="_Toc26003"/>
      <w:bookmarkStart w:id="1270" w:name="_Toc27325"/>
      <w:bookmarkStart w:id="1271" w:name="_Toc6719"/>
      <w:bookmarkStart w:id="1272" w:name="_Toc30040"/>
      <w:bookmarkStart w:id="1273" w:name="_Toc10419"/>
      <w:bookmarkStart w:id="1274" w:name="_Toc30501"/>
      <w:bookmarkStart w:id="1275" w:name="_Toc32519"/>
      <w:bookmarkStart w:id="1276" w:name="_Toc822"/>
      <w:bookmarkStart w:id="1277" w:name="_Toc959"/>
      <w:bookmarkStart w:id="1278" w:name="_Toc30943"/>
      <w:bookmarkStart w:id="1279" w:name="_Toc15764"/>
      <w:bookmarkStart w:id="1280" w:name="_Toc9101"/>
      <w:bookmarkStart w:id="1281" w:name="_Toc52137781"/>
      <w:bookmarkStart w:id="1282" w:name="_Toc106719354"/>
      <w:r>
        <w:rPr>
          <w:rFonts w:hint="eastAsia" w:ascii="黑体" w:hAnsi="黑体" w:eastAsia="黑体" w:cs="Times New Roman"/>
          <w:color w:val="000000" w:themeColor="text1"/>
          <w:szCs w:val="21"/>
          <w:highlight w:val="none"/>
          <w14:textFill>
            <w14:solidFill>
              <w14:schemeClr w14:val="tx1"/>
            </w14:solidFill>
          </w14:textFill>
        </w:rPr>
        <w:t>附件2-</w:t>
      </w:r>
      <w:r>
        <w:rPr>
          <w:rFonts w:hint="eastAsia" w:ascii="黑体" w:hAnsi="黑体" w:eastAsia="黑体" w:cs="Times New Roman"/>
          <w:color w:val="000000" w:themeColor="text1"/>
          <w:szCs w:val="21"/>
          <w:highlight w:val="none"/>
          <w:lang w:val="en-US" w:eastAsia="zh-CN"/>
          <w14:textFill>
            <w14:solidFill>
              <w14:schemeClr w14:val="tx1"/>
            </w14:solidFill>
          </w14:textFill>
        </w:rPr>
        <w:t>2</w:t>
      </w:r>
      <w:r>
        <w:rPr>
          <w:rFonts w:hint="eastAsia" w:ascii="黑体" w:hAnsi="黑体" w:eastAsia="黑体" w:cs="Times New Roman"/>
          <w:color w:val="000000" w:themeColor="text1"/>
          <w:szCs w:val="21"/>
          <w:highlight w:val="none"/>
          <w14:textFill>
            <w14:solidFill>
              <w14:schemeClr w14:val="tx1"/>
            </w14:solidFill>
          </w14:textFill>
        </w:rPr>
        <w:t>：</w:t>
      </w:r>
      <w:r>
        <w:rPr>
          <w:rFonts w:hint="eastAsia" w:ascii="黑体" w:hAnsi="黑体" w:eastAsia="黑体" w:cs="Times New Roman"/>
          <w:color w:val="000000" w:themeColor="text1"/>
          <w:szCs w:val="21"/>
          <w:highlight w:val="none"/>
          <w:lang w:eastAsia="zh-CN"/>
          <w14:textFill>
            <w14:solidFill>
              <w14:schemeClr w14:val="tx1"/>
            </w14:solidFill>
          </w14:textFill>
        </w:rPr>
        <w:t>中标</w:t>
      </w:r>
      <w:r>
        <w:rPr>
          <w:rFonts w:hint="eastAsia" w:ascii="黑体" w:hAnsi="黑体" w:eastAsia="黑体" w:cs="Times New Roman"/>
          <w:color w:val="000000" w:themeColor="text1"/>
          <w:szCs w:val="21"/>
          <w:highlight w:val="none"/>
          <w14:textFill>
            <w14:solidFill>
              <w14:schemeClr w14:val="tx1"/>
            </w14:solidFill>
          </w14:textFill>
        </w:rPr>
        <w:t>候选人公示（格式）</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lang w:eastAsia="zh-CN"/>
          <w14:textFill>
            <w14:solidFill>
              <w14:schemeClr w14:val="tx1"/>
            </w14:solidFill>
          </w14:textFill>
        </w:rPr>
        <w:t>中标</w:t>
      </w:r>
      <w:r>
        <w:rPr>
          <w:rFonts w:hint="eastAsia" w:ascii="黑体" w:hAnsi="黑体" w:eastAsia="黑体" w:cs="Times New Roman"/>
          <w:b/>
          <w:color w:val="000000" w:themeColor="text1"/>
          <w:sz w:val="28"/>
          <w:szCs w:val="28"/>
          <w:highlight w:val="none"/>
          <w14:textFill>
            <w14:solidFill>
              <w14:schemeClr w14:val="tx1"/>
            </w14:solidFill>
          </w14:textFill>
        </w:rPr>
        <w:t>候选人公示</w:t>
      </w:r>
      <w:r>
        <w:rPr>
          <w:rFonts w:ascii="黑体" w:hAnsi="黑体" w:eastAsia="黑体" w:cs="Times New Roman"/>
          <w:b/>
          <w:color w:val="000000" w:themeColor="text1"/>
          <w:sz w:val="28"/>
          <w:szCs w:val="28"/>
          <w:highlight w:val="none"/>
          <w14:textFill>
            <w14:solidFill>
              <w14:schemeClr w14:val="tx1"/>
            </w14:solidFill>
          </w14:textFill>
        </w:rPr>
        <w:t xml:space="preserve"> </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招标编号为</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的</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工程建设项目，该工程</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勘察</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招标于</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日依法公开开标后，评标委员会按照招标文件规定的评标标准和方法进行了评审，</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清标小组、定标委员会按照定标方案规定方法、规则、标准和程序完成了清标和定标工作。招标人</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根据评标报告</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清标报告以及定标报告</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，现将</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评标结果、定标结果以及有关情况</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公示如下：</w:t>
      </w:r>
      <w:r>
        <w:rPr>
          <w:rFonts w:cs="Times New Roman" w:asciiTheme="minorEastAsia" w:hAnsiTheme="minorEastAsia" w:eastAsiaTheme="minorEastAsia"/>
          <w:color w:val="000000" w:themeColor="text1"/>
          <w:sz w:val="21"/>
          <w:szCs w:val="21"/>
          <w:highlight w:val="none"/>
          <w14:textFill>
            <w14:solidFill>
              <w14:schemeClr w14:val="tx1"/>
            </w14:solidFill>
          </w14:textFill>
        </w:rPr>
        <w:t xml:space="preserve"> </w:t>
      </w:r>
    </w:p>
    <w:p>
      <w:pPr>
        <w:numPr>
          <w:ilvl w:val="0"/>
          <w:numId w:val="0"/>
        </w:numPr>
        <w:adjustRightInd/>
        <w:spacing w:line="360" w:lineRule="auto"/>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一</w:t>
      </w:r>
      <w:r>
        <w:rPr>
          <w:rFonts w:hint="eastAsia" w:ascii="宋体" w:hAnsi="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评标结果</w:t>
      </w:r>
    </w:p>
    <w:p>
      <w:pPr>
        <w:adjustRightInd/>
        <w:spacing w:line="360" w:lineRule="auto"/>
        <w:ind w:firstLine="426"/>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1.1资格审查不合格结论情况表</w:t>
      </w:r>
    </w:p>
    <w:tbl>
      <w:tblPr>
        <w:tblStyle w:val="41"/>
        <w:tblW w:w="9260" w:type="dxa"/>
        <w:tblInd w:w="108" w:type="dxa"/>
        <w:tblLayout w:type="fixed"/>
        <w:tblCellMar>
          <w:top w:w="0" w:type="dxa"/>
          <w:left w:w="108" w:type="dxa"/>
          <w:bottom w:w="0" w:type="dxa"/>
          <w:right w:w="108" w:type="dxa"/>
        </w:tblCellMar>
      </w:tblPr>
      <w:tblGrid>
        <w:gridCol w:w="885"/>
        <w:gridCol w:w="3323"/>
        <w:gridCol w:w="5052"/>
      </w:tblGrid>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投标人名称</w:t>
            </w:r>
          </w:p>
        </w:tc>
        <w:tc>
          <w:tcPr>
            <w:tcW w:w="5052"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资格审查</w:t>
            </w:r>
            <w:r>
              <w:rPr>
                <w:rFonts w:hint="eastAsia" w:ascii="宋体" w:hAnsi="Times New Roman"/>
                <w:color w:val="000000" w:themeColor="text1"/>
                <w:sz w:val="21"/>
                <w:szCs w:val="21"/>
                <w:highlight w:val="none"/>
                <w:lang w:val="en-US" w:eastAsia="zh-CN"/>
                <w14:textFill>
                  <w14:solidFill>
                    <w14:schemeClr w14:val="tx1"/>
                  </w14:solidFill>
                </w14:textFill>
              </w:rPr>
              <w:t>不合格原因及依据</w:t>
            </w:r>
          </w:p>
        </w:tc>
      </w:tr>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ascii="宋体" w:hAnsi="Times New Roman"/>
                <w:color w:val="000000" w:themeColor="text1"/>
                <w:sz w:val="21"/>
                <w:szCs w:val="21"/>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Times New Roman"/>
                <w:color w:val="000000" w:themeColor="text1"/>
                <w:sz w:val="21"/>
                <w:szCs w:val="21"/>
                <w:highlight w:val="none"/>
                <w14:textFill>
                  <w14:solidFill>
                    <w14:schemeClr w14:val="tx1"/>
                  </w14:solidFill>
                </w14:textFill>
              </w:rPr>
            </w:pPr>
          </w:p>
        </w:tc>
        <w:tc>
          <w:tcPr>
            <w:tcW w:w="50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Times New Roman"/>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Times New Roman" w:eastAsia="宋体"/>
                <w:color w:val="000000" w:themeColor="text1"/>
                <w:sz w:val="21"/>
                <w:szCs w:val="21"/>
                <w:highlight w:val="none"/>
                <w:lang w:eastAsia="zh-CN"/>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Times New Roman" w:eastAsia="宋体"/>
                <w:color w:val="000000" w:themeColor="text1"/>
                <w:sz w:val="21"/>
                <w:szCs w:val="21"/>
                <w:highlight w:val="none"/>
                <w:lang w:eastAsia="zh-CN"/>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50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Times New Roman" w:eastAsia="宋体"/>
                <w:color w:val="000000" w:themeColor="text1"/>
                <w:sz w:val="21"/>
                <w:szCs w:val="21"/>
                <w:highlight w:val="none"/>
                <w:lang w:eastAsia="zh-CN"/>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r>
    </w:tbl>
    <w:p>
      <w:pPr>
        <w:adjustRightInd/>
        <w:spacing w:line="312" w:lineRule="auto"/>
        <w:ind w:left="42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2未入围投标人名单</w:t>
      </w:r>
    </w:p>
    <w:tbl>
      <w:tblPr>
        <w:tblStyle w:val="41"/>
        <w:tblW w:w="9271" w:type="dxa"/>
        <w:tblInd w:w="108" w:type="dxa"/>
        <w:tblLayout w:type="fixed"/>
        <w:tblCellMar>
          <w:top w:w="0" w:type="dxa"/>
          <w:left w:w="108" w:type="dxa"/>
          <w:bottom w:w="0" w:type="dxa"/>
          <w:right w:w="108" w:type="dxa"/>
        </w:tblCellMar>
      </w:tblPr>
      <w:tblGrid>
        <w:gridCol w:w="885"/>
        <w:gridCol w:w="3323"/>
        <w:gridCol w:w="5063"/>
      </w:tblGrid>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序号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投标人名称</w:t>
            </w:r>
          </w:p>
        </w:tc>
        <w:tc>
          <w:tcPr>
            <w:tcW w:w="506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Times New Roman"/>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14:textFill>
                  <w14:solidFill>
                    <w14:schemeClr w14:val="tx1"/>
                  </w14:solidFill>
                </w14:textFill>
              </w:rPr>
              <w:t>未入围原因</w:t>
            </w:r>
          </w:p>
        </w:tc>
      </w:tr>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ascii="宋体"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p>
        </w:tc>
        <w:tc>
          <w:tcPr>
            <w:tcW w:w="506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ascii="宋体" w:hAnsi="Times New Roman"/>
                <w:color w:val="000000" w:themeColor="text1"/>
                <w:sz w:val="15"/>
                <w:szCs w:val="15"/>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506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Times New Roman"/>
                <w:color w:val="000000" w:themeColor="text1"/>
                <w:sz w:val="15"/>
                <w:szCs w:val="15"/>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r>
    </w:tbl>
    <w:p>
      <w:pPr>
        <w:spacing w:line="360" w:lineRule="auto"/>
        <w:ind w:firstLine="424" w:firstLineChars="202"/>
        <w:jc w:val="left"/>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推荐的定标候选人</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名单</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及主要投标内容</w:t>
      </w:r>
    </w:p>
    <w:tbl>
      <w:tblPr>
        <w:tblStyle w:val="41"/>
        <w:tblW w:w="9613" w:type="dxa"/>
        <w:jc w:val="center"/>
        <w:tblInd w:w="0" w:type="dxa"/>
        <w:tblLayout w:type="fixed"/>
        <w:tblCellMar>
          <w:top w:w="0" w:type="dxa"/>
          <w:left w:w="108" w:type="dxa"/>
          <w:bottom w:w="0" w:type="dxa"/>
          <w:right w:w="108" w:type="dxa"/>
        </w:tblCellMar>
      </w:tblPr>
      <w:tblGrid>
        <w:gridCol w:w="1533"/>
        <w:gridCol w:w="1503"/>
        <w:gridCol w:w="1134"/>
        <w:gridCol w:w="708"/>
        <w:gridCol w:w="1276"/>
        <w:gridCol w:w="1276"/>
        <w:gridCol w:w="850"/>
        <w:gridCol w:w="1333"/>
      </w:tblGrid>
      <w:tr>
        <w:tblPrEx>
          <w:tblLayout w:type="fixed"/>
          <w:tblCellMar>
            <w:top w:w="0" w:type="dxa"/>
            <w:left w:w="108" w:type="dxa"/>
            <w:bottom w:w="0" w:type="dxa"/>
            <w:right w:w="108" w:type="dxa"/>
          </w:tblCellMar>
        </w:tblPrEx>
        <w:trPr>
          <w:trHeight w:val="1920" w:hRule="atLeast"/>
          <w:jc w:val="center"/>
        </w:trPr>
        <w:tc>
          <w:tcPr>
            <w:tcW w:w="1533"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ind w:firstLine="315" w:firstLineChars="1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投标的主</w:t>
            </w:r>
          </w:p>
          <w:p>
            <w:pPr>
              <w:spacing w:line="320" w:lineRule="exact"/>
              <w:ind w:firstLine="525" w:firstLineChars="2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要内容</w:t>
            </w:r>
          </w:p>
          <w:p>
            <w:pPr>
              <w:spacing w:line="320" w:lineRule="exact"/>
              <w:rPr>
                <w:rFonts w:ascii="宋体" w:hAnsi="宋体"/>
                <w:color w:val="000000" w:themeColor="text1"/>
                <w:sz w:val="21"/>
                <w:szCs w:val="21"/>
                <w:highlight w:val="none"/>
                <w14:textFill>
                  <w14:solidFill>
                    <w14:schemeClr w14:val="tx1"/>
                  </w14:solidFill>
                </w14:textFill>
              </w:rPr>
            </w:pPr>
          </w:p>
          <w:p>
            <w:pPr>
              <w:spacing w:line="32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定标</w:t>
            </w:r>
          </w:p>
          <w:p>
            <w:pPr>
              <w:spacing w:line="32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候选人</w:t>
            </w:r>
          </w:p>
          <w:p>
            <w:pPr>
              <w:spacing w:line="320" w:lineRule="exac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w:t>
            </w:r>
          </w:p>
        </w:tc>
        <w:tc>
          <w:tcPr>
            <w:tcW w:w="1503" w:type="dxa"/>
            <w:tcBorders>
              <w:top w:val="single" w:color="auto" w:sz="4" w:space="0"/>
              <w:left w:val="nil"/>
              <w:right w:val="single" w:color="auto" w:sz="4" w:space="0"/>
            </w:tcBorders>
            <w:vAlign w:val="center"/>
          </w:tcPr>
          <w:p>
            <w:pPr>
              <w:spacing w:line="32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勘察费报价</w:t>
            </w:r>
          </w:p>
        </w:tc>
        <w:tc>
          <w:tcPr>
            <w:tcW w:w="1134" w:type="dxa"/>
            <w:tcBorders>
              <w:top w:val="single" w:color="auto" w:sz="4" w:space="0"/>
              <w:left w:val="nil"/>
              <w:right w:val="single" w:color="auto" w:sz="4" w:space="0"/>
            </w:tcBorders>
            <w:vAlign w:val="center"/>
          </w:tcPr>
          <w:p>
            <w:pPr>
              <w:spacing w:line="32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勘察服务期限</w:t>
            </w:r>
          </w:p>
        </w:tc>
        <w:tc>
          <w:tcPr>
            <w:tcW w:w="708" w:type="dxa"/>
            <w:tcBorders>
              <w:top w:val="single" w:color="auto" w:sz="4" w:space="0"/>
              <w:left w:val="nil"/>
              <w:right w:val="single" w:color="auto" w:sz="4" w:space="0"/>
            </w:tcBorders>
            <w:vAlign w:val="center"/>
          </w:tcPr>
          <w:p>
            <w:pPr>
              <w:spacing w:line="32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1276" w:type="dxa"/>
            <w:tcBorders>
              <w:top w:val="single" w:color="auto" w:sz="4" w:space="0"/>
              <w:left w:val="nil"/>
              <w:right w:val="single" w:color="auto" w:sz="4" w:space="0"/>
            </w:tcBorders>
            <w:vAlign w:val="center"/>
          </w:tcPr>
          <w:p>
            <w:pPr>
              <w:spacing w:line="32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项目勘察负责人</w:t>
            </w:r>
          </w:p>
        </w:tc>
        <w:tc>
          <w:tcPr>
            <w:tcW w:w="1276" w:type="dxa"/>
            <w:tcBorders>
              <w:top w:val="single" w:color="auto" w:sz="4" w:space="0"/>
              <w:left w:val="nil"/>
              <w:right w:val="single" w:color="auto" w:sz="4" w:space="0"/>
            </w:tcBorders>
            <w:vAlign w:val="center"/>
          </w:tcPr>
          <w:p>
            <w:pPr>
              <w:spacing w:line="32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项目负责人类似工程业绩（如有时）</w:t>
            </w:r>
          </w:p>
        </w:tc>
        <w:tc>
          <w:tcPr>
            <w:tcW w:w="850" w:type="dxa"/>
            <w:tcBorders>
              <w:top w:val="single" w:color="auto" w:sz="4" w:space="0"/>
              <w:left w:val="nil"/>
              <w:right w:val="single" w:color="auto" w:sz="4" w:space="0"/>
            </w:tcBorders>
            <w:vAlign w:val="center"/>
          </w:tcPr>
          <w:p>
            <w:pPr>
              <w:spacing w:line="32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注册证书编号编号</w:t>
            </w:r>
          </w:p>
        </w:tc>
        <w:tc>
          <w:tcPr>
            <w:tcW w:w="1333" w:type="dxa"/>
            <w:tcBorders>
              <w:top w:val="single" w:color="auto" w:sz="4" w:space="0"/>
              <w:left w:val="nil"/>
              <w:right w:val="single" w:color="auto" w:sz="4" w:space="0"/>
            </w:tcBorders>
            <w:vAlign w:val="center"/>
          </w:tcPr>
          <w:p>
            <w:pPr>
              <w:spacing w:line="32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候选人类似工程业绩（如有时）</w:t>
            </w:r>
          </w:p>
        </w:tc>
      </w:tr>
      <w:tr>
        <w:tblPrEx>
          <w:tblLayout w:type="fixed"/>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503"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ascii="宋体" w:hAnsi="宋体"/>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150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ascii="宋体" w:hAnsi="宋体"/>
                <w:color w:val="000000" w:themeColor="text1"/>
                <w:sz w:val="21"/>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r>
    </w:tbl>
    <w:p>
      <w:pPr>
        <w:numPr>
          <w:ilvl w:val="0"/>
          <w:numId w:val="0"/>
        </w:numPr>
        <w:adjustRightInd/>
        <w:spacing w:line="360" w:lineRule="auto"/>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r>
        <w:rPr>
          <w:rFonts w:hint="eastAsia" w:ascii="宋体" w:hAnsi="宋体" w:eastAsia="宋体" w:cs="宋体"/>
          <w:color w:val="000000" w:themeColor="text1"/>
          <w:kern w:val="2"/>
          <w:sz w:val="21"/>
          <w:szCs w:val="21"/>
          <w:highlight w:val="none"/>
          <w14:textFill>
            <w14:solidFill>
              <w14:schemeClr w14:val="tx1"/>
            </w14:solidFill>
          </w14:textFill>
        </w:rPr>
        <w:t>否决其投标</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以及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未被推荐为定标候选人的</w:t>
      </w:r>
      <w:r>
        <w:rPr>
          <w:rFonts w:hint="eastAsia" w:ascii="宋体" w:hAnsi="宋体" w:eastAsia="宋体" w:cs="宋体"/>
          <w:color w:val="000000" w:themeColor="text1"/>
          <w:kern w:val="2"/>
          <w:sz w:val="21"/>
          <w:szCs w:val="21"/>
          <w:highlight w:val="none"/>
          <w14:textFill>
            <w14:solidFill>
              <w14:schemeClr w14:val="tx1"/>
            </w14:solidFill>
          </w14:textFill>
        </w:rPr>
        <w:t>投标人及原因：</w:t>
      </w:r>
    </w:p>
    <w:tbl>
      <w:tblPr>
        <w:tblStyle w:val="41"/>
        <w:tblW w:w="9078" w:type="dxa"/>
        <w:tblInd w:w="108" w:type="dxa"/>
        <w:tblLayout w:type="fixed"/>
        <w:tblCellMar>
          <w:top w:w="0" w:type="dxa"/>
          <w:left w:w="108" w:type="dxa"/>
          <w:bottom w:w="0" w:type="dxa"/>
          <w:right w:w="108" w:type="dxa"/>
        </w:tblCellMar>
      </w:tblPr>
      <w:tblGrid>
        <w:gridCol w:w="885"/>
        <w:gridCol w:w="2718"/>
        <w:gridCol w:w="5475"/>
      </w:tblGrid>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序号</w:t>
            </w:r>
            <w:r>
              <w:rPr>
                <w:rFonts w:ascii="Times New Roman" w:hAnsi="Times New Roman"/>
                <w:color w:val="000000" w:themeColor="text1"/>
                <w:kern w:val="2"/>
                <w:sz w:val="21"/>
                <w:szCs w:val="21"/>
                <w:highlight w:val="none"/>
                <w14:textFill>
                  <w14:solidFill>
                    <w14:schemeClr w14:val="tx1"/>
                  </w14:solidFill>
                </w14:textFill>
              </w:rPr>
              <w:t> </w:t>
            </w:r>
          </w:p>
        </w:tc>
        <w:tc>
          <w:tcPr>
            <w:tcW w:w="2718"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投标人名称</w:t>
            </w:r>
          </w:p>
        </w:tc>
        <w:tc>
          <w:tcPr>
            <w:tcW w:w="5475"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lang w:val="en-US" w:eastAsia="zh-CN" w:bidi="ar-SA"/>
                <w14:textFill>
                  <w14:solidFill>
                    <w14:schemeClr w14:val="tx1"/>
                  </w14:solidFill>
                </w14:textFill>
              </w:rPr>
              <w:t>否决其投标以及未被推荐为定标候选人的原因</w:t>
            </w:r>
            <w:r>
              <w:rPr>
                <w:rFonts w:hint="eastAsia" w:hAnsi="Times New Roman"/>
                <w:color w:val="000000" w:themeColor="text1"/>
                <w:kern w:val="2"/>
                <w:sz w:val="21"/>
                <w:szCs w:val="21"/>
                <w:highlight w:val="none"/>
                <w:lang w:val="en-US" w:eastAsia="zh-CN"/>
                <w14:textFill>
                  <w14:solidFill>
                    <w14:schemeClr w14:val="tx1"/>
                  </w14:solidFill>
                </w14:textFill>
              </w:rPr>
              <w:t>及依据</w:t>
            </w:r>
          </w:p>
        </w:tc>
      </w:tr>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Ansi="Times New Roman"/>
                <w:color w:val="000000" w:themeColor="text1"/>
                <w:kern w:val="2"/>
                <w:sz w:val="21"/>
                <w:szCs w:val="21"/>
                <w:highlight w:val="none"/>
                <w14:textFill>
                  <w14:solidFill>
                    <w14:schemeClr w14:val="tx1"/>
                  </w14:solidFill>
                </w14:textFill>
              </w:rPr>
            </w:pPr>
          </w:p>
        </w:tc>
        <w:tc>
          <w:tcPr>
            <w:tcW w:w="27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Ansi="Times New Roman"/>
                <w:color w:val="000000" w:themeColor="text1"/>
                <w:kern w:val="2"/>
                <w:sz w:val="21"/>
                <w:szCs w:val="21"/>
                <w:highlight w:val="none"/>
                <w14:textFill>
                  <w14:solidFill>
                    <w14:schemeClr w14:val="tx1"/>
                  </w14:solidFill>
                </w14:textFill>
              </w:rPr>
            </w:pPr>
          </w:p>
        </w:tc>
        <w:tc>
          <w:tcPr>
            <w:tcW w:w="547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Ansi="Times New Roman"/>
                <w:color w:val="000000" w:themeColor="text1"/>
                <w:kern w:val="2"/>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int="eastAsia" w:hAnsi="Times New Roman" w:eastAsia="宋体"/>
                <w:color w:val="000000" w:themeColor="text1"/>
                <w:kern w:val="2"/>
                <w:sz w:val="21"/>
                <w:szCs w:val="21"/>
                <w:highlight w:val="none"/>
                <w:lang w:eastAsia="zh-CN"/>
                <w14:textFill>
                  <w14:solidFill>
                    <w14:schemeClr w14:val="tx1"/>
                  </w14:solidFill>
                </w14:textFill>
              </w:rPr>
            </w:pPr>
            <w:r>
              <w:rPr>
                <w:rFonts w:hint="eastAsia" w:hAnsi="Times New Roman"/>
                <w:color w:val="000000" w:themeColor="text1"/>
                <w:kern w:val="2"/>
                <w:sz w:val="21"/>
                <w:szCs w:val="21"/>
                <w:highlight w:val="none"/>
                <w:lang w:eastAsia="zh-CN"/>
                <w14:textFill>
                  <w14:solidFill>
                    <w14:schemeClr w14:val="tx1"/>
                  </w14:solidFill>
                </w14:textFill>
              </w:rPr>
              <w:t>……</w:t>
            </w:r>
          </w:p>
        </w:tc>
        <w:tc>
          <w:tcPr>
            <w:tcW w:w="27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hAnsi="Times New Roman" w:eastAsia="宋体"/>
                <w:color w:val="000000" w:themeColor="text1"/>
                <w:kern w:val="2"/>
                <w:sz w:val="21"/>
                <w:szCs w:val="21"/>
                <w:highlight w:val="none"/>
                <w:lang w:eastAsia="zh-CN"/>
                <w14:textFill>
                  <w14:solidFill>
                    <w14:schemeClr w14:val="tx1"/>
                  </w14:solidFill>
                </w14:textFill>
              </w:rPr>
            </w:pPr>
            <w:r>
              <w:rPr>
                <w:rFonts w:hint="eastAsia" w:hAnsi="Times New Roman"/>
                <w:color w:val="000000" w:themeColor="text1"/>
                <w:kern w:val="2"/>
                <w:sz w:val="21"/>
                <w:szCs w:val="21"/>
                <w:highlight w:val="none"/>
                <w:lang w:eastAsia="zh-CN"/>
                <w14:textFill>
                  <w14:solidFill>
                    <w14:schemeClr w14:val="tx1"/>
                  </w14:solidFill>
                </w14:textFill>
              </w:rPr>
              <w:t>……</w:t>
            </w:r>
          </w:p>
        </w:tc>
        <w:tc>
          <w:tcPr>
            <w:tcW w:w="547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hAnsi="Times New Roman" w:eastAsia="宋体"/>
                <w:color w:val="000000" w:themeColor="text1"/>
                <w:kern w:val="2"/>
                <w:sz w:val="21"/>
                <w:szCs w:val="21"/>
                <w:highlight w:val="none"/>
                <w:lang w:eastAsia="zh-CN"/>
                <w14:textFill>
                  <w14:solidFill>
                    <w14:schemeClr w14:val="tx1"/>
                  </w14:solidFill>
                </w14:textFill>
              </w:rPr>
            </w:pPr>
            <w:r>
              <w:rPr>
                <w:rFonts w:hint="eastAsia" w:hAnsi="Times New Roman"/>
                <w:color w:val="000000" w:themeColor="text1"/>
                <w:kern w:val="2"/>
                <w:sz w:val="21"/>
                <w:szCs w:val="21"/>
                <w:highlight w:val="none"/>
                <w:lang w:eastAsia="zh-CN"/>
                <w14:textFill>
                  <w14:solidFill>
                    <w14:schemeClr w14:val="tx1"/>
                  </w14:solidFill>
                </w14:textFill>
              </w:rPr>
              <w:t>……</w:t>
            </w:r>
          </w:p>
        </w:tc>
      </w:tr>
    </w:tbl>
    <w:p>
      <w:pPr>
        <w:numPr>
          <w:ilvl w:val="0"/>
          <w:numId w:val="0"/>
        </w:numPr>
        <w:adjustRightInd/>
        <w:spacing w:line="360"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pPr>
        <w:adjustRightInd/>
        <w:snapToGrid/>
        <w:spacing w:line="360" w:lineRule="auto"/>
        <w:ind w:firstLine="420" w:firstLineChars="200"/>
        <w:textAlignment w:val="auto"/>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评标委员会成员名单：</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2"/>
        </w:numPr>
        <w:adjustRightIn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定标结果</w:t>
      </w:r>
    </w:p>
    <w:p>
      <w:pPr>
        <w:widowControl/>
        <w:numPr>
          <w:ilvl w:val="0"/>
          <w:numId w:val="0"/>
        </w:numPr>
        <w:adjustRightInd/>
        <w:spacing w:after="0"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2.1定标候选人综合得分（由高至低排序）、中标候选人名单</w:t>
      </w:r>
    </w:p>
    <w:tbl>
      <w:tblPr>
        <w:tblStyle w:val="41"/>
        <w:tblW w:w="9140" w:type="dxa"/>
        <w:jc w:val="center"/>
        <w:tblInd w:w="0" w:type="dxa"/>
        <w:tblLayout w:type="fixed"/>
        <w:tblCellMar>
          <w:top w:w="0" w:type="dxa"/>
          <w:left w:w="108" w:type="dxa"/>
          <w:bottom w:w="0" w:type="dxa"/>
          <w:right w:w="108" w:type="dxa"/>
        </w:tblCellMar>
      </w:tblPr>
      <w:tblGrid>
        <w:gridCol w:w="1177"/>
        <w:gridCol w:w="4434"/>
        <w:gridCol w:w="1633"/>
        <w:gridCol w:w="1896"/>
      </w:tblGrid>
      <w:tr>
        <w:tblPrEx>
          <w:tblLayout w:type="fixed"/>
          <w:tblCellMar>
            <w:top w:w="0" w:type="dxa"/>
            <w:left w:w="108" w:type="dxa"/>
            <w:bottom w:w="0" w:type="dxa"/>
            <w:right w:w="108" w:type="dxa"/>
          </w:tblCellMar>
        </w:tblPrEx>
        <w:trPr>
          <w:trHeight w:val="556"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 </w:t>
            </w:r>
          </w:p>
        </w:tc>
        <w:tc>
          <w:tcPr>
            <w:tcW w:w="4434"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定标候选人</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63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综合得分</w:t>
            </w:r>
          </w:p>
        </w:tc>
        <w:tc>
          <w:tcPr>
            <w:tcW w:w="189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是否为中标候选人</w:t>
            </w:r>
          </w:p>
        </w:tc>
      </w:tr>
      <w:tr>
        <w:tblPrEx>
          <w:tblLayout w:type="fixed"/>
          <w:tblCellMar>
            <w:top w:w="0" w:type="dxa"/>
            <w:left w:w="108" w:type="dxa"/>
            <w:bottom w:w="0" w:type="dxa"/>
            <w:right w:w="108" w:type="dxa"/>
          </w:tblCellMar>
        </w:tblPrEx>
        <w:trPr>
          <w:trHeight w:val="556"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43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3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56"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443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Times New Roman"/>
                <w:color w:val="000000" w:themeColor="text1"/>
                <w:sz w:val="21"/>
                <w:szCs w:val="21"/>
                <w:highlight w:val="none"/>
                <w:lang w:eastAsia="zh-CN"/>
                <w14:textFill>
                  <w14:solidFill>
                    <w14:schemeClr w14:val="tx1"/>
                  </w14:solidFill>
                </w14:textFill>
              </w:rPr>
              <w:t>……</w:t>
            </w:r>
          </w:p>
        </w:tc>
        <w:tc>
          <w:tcPr>
            <w:tcW w:w="163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9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widowControl w:val="0"/>
        <w:numPr>
          <w:ilvl w:val="0"/>
          <w:numId w:val="0"/>
        </w:numPr>
        <w:snapToGrid w:val="0"/>
        <w:spacing w:after="0" w:line="360" w:lineRule="auto"/>
        <w:ind w:left="0" w:firstLine="420" w:firstLineChars="200"/>
        <w:jc w:val="both"/>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2.2</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报价评审标准（</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如有</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 xml:space="preserve"> </w:t>
      </w:r>
    </w:p>
    <w:p>
      <w:pPr>
        <w:widowControl w:val="0"/>
        <w:numPr>
          <w:ilvl w:val="0"/>
          <w:numId w:val="0"/>
        </w:numPr>
        <w:snapToGrid w:val="0"/>
        <w:spacing w:after="0" w:line="360" w:lineRule="auto"/>
        <w:ind w:left="0" w:firstLine="420" w:firstLineChars="200"/>
        <w:jc w:val="both"/>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2.3</w:t>
      </w:r>
      <w:r>
        <w:rPr>
          <w:rFonts w:hint="eastAsia" w:ascii="宋体" w:hAnsi="宋体" w:cs="宋体"/>
          <w:color w:val="000000" w:themeColor="text1"/>
          <w:sz w:val="21"/>
          <w:szCs w:val="21"/>
          <w:highlight w:val="none"/>
          <w:u w:val="none"/>
          <w:lang w:val="en-US" w:eastAsia="zh-CN"/>
          <w14:textFill>
            <w14:solidFill>
              <w14:schemeClr w14:val="tx1"/>
            </w14:solidFill>
          </w14:textFill>
        </w:rPr>
        <w:t>随机抽取确定的定标方法</w:t>
      </w:r>
      <w:r>
        <w:rPr>
          <w:rFonts w:hint="eastAsia" w:ascii="宋体" w:hAnsi="宋体" w:cs="宋体"/>
          <w:color w:val="000000" w:themeColor="text1"/>
          <w:position w:val="-2"/>
          <w:sz w:val="21"/>
          <w:szCs w:val="21"/>
          <w:highlight w:val="none"/>
          <w:u w:val="none"/>
          <w:vertAlign w:val="superscript"/>
          <w:lang w:val="en-US" w:eastAsia="zh-CN"/>
          <w14:textFill>
            <w14:solidFill>
              <w14:schemeClr w14:val="tx1"/>
            </w14:solidFill>
          </w14:textFill>
        </w:rPr>
        <w:footnoteReference w:id="38"/>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 xml:space="preserve">  </w:t>
      </w:r>
    </w:p>
    <w:p>
      <w:pPr>
        <w:snapToGrid w:val="0"/>
        <w:spacing w:line="360" w:lineRule="auto"/>
        <w:ind w:firstLine="420" w:firstLineChars="200"/>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2.</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4</w:t>
      </w:r>
      <w:r>
        <w:rPr>
          <w:rFonts w:hint="eastAsia" w:cs="宋体"/>
          <w:color w:val="000000" w:themeColor="text1"/>
          <w:sz w:val="21"/>
          <w:szCs w:val="21"/>
          <w:highlight w:val="none"/>
          <w:u w:val="none"/>
          <w:lang w:val="en-US" w:eastAsia="zh-CN"/>
          <w14:textFill>
            <w14:solidFill>
              <w14:schemeClr w14:val="tx1"/>
            </w14:solidFill>
          </w14:textFill>
        </w:rPr>
        <w:t>定标委员会推荐的中标人：</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 xml:space="preserve">                              </w:t>
      </w:r>
    </w:p>
    <w:p>
      <w:pPr>
        <w:snapToGrid w:val="0"/>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三</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、公示时间：</w:t>
      </w:r>
      <w:r>
        <w:rPr>
          <w:rFonts w:cs="Times New Roman" w:asciiTheme="minorEastAsia" w:hAnsiTheme="minorEastAsia" w:eastAsiaTheme="minorEastAsia"/>
          <w:b/>
          <w:bCs/>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日至</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日。投标人或其他利害关系人对</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公示内容</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有异议的，</w:t>
      </w:r>
      <w:r>
        <w:rPr>
          <w:rFonts w:hint="eastAsia" w:cs="宋体"/>
          <w:color w:val="000000" w:themeColor="text1"/>
          <w:sz w:val="21"/>
          <w:szCs w:val="21"/>
          <w:highlight w:val="none"/>
          <w14:textFill>
            <w14:solidFill>
              <w14:schemeClr w14:val="tx1"/>
            </w14:solidFill>
          </w14:textFill>
        </w:rPr>
        <w:t>应当在公示期间</w:t>
      </w:r>
      <w:r>
        <w:rPr>
          <w:rFonts w:ascii="宋体" w:hAnsi="宋体" w:cs="宋体"/>
          <w:color w:val="000000" w:themeColor="text1"/>
          <w:kern w:val="1"/>
          <w:sz w:val="21"/>
          <w:szCs w:val="21"/>
          <w:highlight w:val="none"/>
          <w14:textFill>
            <w14:solidFill>
              <w14:schemeClr w14:val="tx1"/>
            </w14:solidFill>
          </w14:textFill>
        </w:rPr>
        <w:t>通过</w:t>
      </w:r>
      <w:r>
        <w:rPr>
          <w:rFonts w:hint="eastAsia" w:ascii="宋体" w:hAnsi="宋体" w:cs="宋体"/>
          <w:color w:val="000000" w:themeColor="text1"/>
          <w:kern w:val="1"/>
          <w:sz w:val="21"/>
          <w:szCs w:val="21"/>
          <w:highlight w:val="none"/>
          <w:lang w:eastAsia="zh-CN"/>
          <w14:textFill>
            <w14:solidFill>
              <w14:schemeClr w14:val="tx1"/>
            </w14:solidFill>
          </w14:textFill>
        </w:rPr>
        <w:t>公共资源电子交易平台</w:t>
      </w:r>
      <w:r>
        <w:rPr>
          <w:rFonts w:hint="eastAsia" w:cs="宋体"/>
          <w:color w:val="000000" w:themeColor="text1"/>
          <w:sz w:val="21"/>
          <w:szCs w:val="21"/>
          <w:highlight w:val="none"/>
          <w14:textFill>
            <w14:solidFill>
              <w14:schemeClr w14:val="tx1"/>
            </w14:solidFill>
          </w14:textFill>
        </w:rPr>
        <w:t>向招标人提出</w:t>
      </w:r>
      <w:r>
        <w:rPr>
          <w:rFonts w:hint="eastAsia" w:cs="Times New Roman" w:asciiTheme="minorEastAsia" w:hAnsiTheme="minorEastAsia" w:eastAsiaTheme="minorEastAsia"/>
          <w:color w:val="000000" w:themeColor="text1"/>
          <w:spacing w:val="-3"/>
          <w:sz w:val="21"/>
          <w:szCs w:val="21"/>
          <w:highlight w:val="none"/>
          <w14:textFill>
            <w14:solidFill>
              <w14:schemeClr w14:val="tx1"/>
            </w14:solidFill>
          </w14:textFill>
        </w:rPr>
        <w:t>。</w:t>
      </w:r>
      <w:r>
        <w:rPr>
          <w:rFonts w:cs="Times New Roman" w:asciiTheme="minorEastAsia" w:hAnsiTheme="minorEastAsia" w:eastAsiaTheme="minorEastAsia"/>
          <w:color w:val="000000" w:themeColor="text1"/>
          <w:sz w:val="21"/>
          <w:szCs w:val="21"/>
          <w:highlight w:val="none"/>
          <w14:textFill>
            <w14:solidFill>
              <w14:schemeClr w14:val="tx1"/>
            </w14:solidFill>
          </w14:textFill>
        </w:rPr>
        <w:t xml:space="preserve"> </w:t>
      </w:r>
    </w:p>
    <w:p>
      <w:pPr>
        <w:snapToGrid w:val="0"/>
        <w:spacing w:line="360" w:lineRule="auto"/>
        <w:ind w:firstLine="539"/>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shd w:val="clear" w:color="auto" w:fill="FFFFFF"/>
          <w:lang w:eastAsia="zh-CN"/>
          <w14:textFill>
            <w14:solidFill>
              <w14:schemeClr w14:val="tx1"/>
            </w14:solidFill>
          </w14:textFill>
        </w:rPr>
        <w:t>四</w:t>
      </w:r>
      <w:r>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、异议的渠道和方式：</w:t>
      </w:r>
    </w:p>
    <w:p>
      <w:pPr>
        <w:snapToGrid w:val="0"/>
        <w:spacing w:line="360" w:lineRule="auto"/>
        <w:ind w:firstLine="539"/>
        <w:rPr>
          <w:rFonts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pPr>
      <w:r>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招标人名称：</w:t>
      </w:r>
      <w:r>
        <w:rPr>
          <w:rFonts w:hint="eastAsia"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w:t>
      </w:r>
    </w:p>
    <w:p>
      <w:pPr>
        <w:snapToGrid w:val="0"/>
        <w:spacing w:line="360" w:lineRule="auto"/>
        <w:ind w:firstLine="539"/>
        <w:rPr>
          <w:rFonts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招标人地址：</w:t>
      </w:r>
      <w:r>
        <w:rPr>
          <w:rFonts w:hint="eastAsia"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w:t>
      </w:r>
    </w:p>
    <w:p>
      <w:pPr>
        <w:snapToGrid w:val="0"/>
        <w:spacing w:line="360" w:lineRule="auto"/>
        <w:ind w:firstLine="539"/>
        <w:rPr>
          <w:rFonts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招标人联系方式：</w:t>
      </w:r>
      <w:r>
        <w:rPr>
          <w:rFonts w:hint="eastAsia" w:cs="Times New Roman" w:asciiTheme="minorEastAsia" w:hAnsiTheme="minorEastAsia" w:eastAsia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highlight w:val="none"/>
          <w:shd w:val="clear" w:color="auto" w:fill="FFFFFF"/>
          <w14:textFill>
            <w14:solidFill>
              <w14:schemeClr w14:val="tx1"/>
            </w14:solidFill>
          </w14:textFill>
        </w:rPr>
        <w:t>。</w:t>
      </w:r>
    </w:p>
    <w:p>
      <w:pPr>
        <w:snapToGrid w:val="0"/>
        <w:spacing w:line="360" w:lineRule="auto"/>
        <w:ind w:firstLine="539"/>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pPr>
        <w:spacing w:line="360" w:lineRule="auto"/>
        <w:ind w:firstLine="424" w:firstLineChars="202"/>
        <w:rPr>
          <w:rFonts w:eastAsia="宋体" w:cs="Times New Roman"/>
          <w:color w:val="000000" w:themeColor="text1"/>
          <w:sz w:val="21"/>
          <w:szCs w:val="21"/>
          <w:highlight w:val="none"/>
          <w:u w:val="single"/>
          <w14:textFill>
            <w14:solidFill>
              <w14:schemeClr w14:val="tx1"/>
            </w14:solidFill>
          </w14:textFill>
        </w:rPr>
      </w:pPr>
      <w:r>
        <w:rPr>
          <w:rFonts w:hint="eastAsia" w:eastAsia="宋体" w:cs="Times New Roman"/>
          <w:color w:val="000000" w:themeColor="text1"/>
          <w:sz w:val="21"/>
          <w:szCs w:val="21"/>
          <w:highlight w:val="none"/>
          <w14:textFill>
            <w14:solidFill>
              <w14:schemeClr w14:val="tx1"/>
            </w14:solidFill>
          </w14:textFill>
        </w:rPr>
        <w:t>招标人：</w:t>
      </w:r>
      <w:r>
        <w:rPr>
          <w:rFonts w:hint="eastAsia" w:eastAsia="宋体" w:cs="Times New Roman"/>
          <w:color w:val="000000" w:themeColor="text1"/>
          <w:sz w:val="21"/>
          <w:szCs w:val="21"/>
          <w:highlight w:val="none"/>
          <w:u w:val="single"/>
          <w14:textFill>
            <w14:solidFill>
              <w14:schemeClr w14:val="tx1"/>
            </w14:solidFill>
          </w14:textFill>
        </w:rPr>
        <w:t xml:space="preserve">               （盖单位公章）</w:t>
      </w:r>
      <w:r>
        <w:rPr>
          <w:rFonts w:hint="eastAsia" w:eastAsia="宋体" w:cs="Times New Roman"/>
          <w:color w:val="000000" w:themeColor="text1"/>
          <w:sz w:val="21"/>
          <w:szCs w:val="21"/>
          <w:highlight w:val="none"/>
          <w14:textFill>
            <w14:solidFill>
              <w14:schemeClr w14:val="tx1"/>
            </w14:solidFill>
          </w14:textFill>
        </w:rPr>
        <w:t xml:space="preserve">    招标代理机构：</w:t>
      </w:r>
      <w:r>
        <w:rPr>
          <w:rFonts w:hint="eastAsia" w:eastAsia="宋体" w:cs="Times New Roman"/>
          <w:color w:val="000000" w:themeColor="text1"/>
          <w:sz w:val="21"/>
          <w:szCs w:val="21"/>
          <w:highlight w:val="none"/>
          <w:u w:val="single"/>
          <w14:textFill>
            <w14:solidFill>
              <w14:schemeClr w14:val="tx1"/>
            </w14:solidFill>
          </w14:textFill>
        </w:rPr>
        <w:t xml:space="preserve">            （盖单位公章）</w:t>
      </w:r>
    </w:p>
    <w:p>
      <w:pPr>
        <w:snapToGrid w:val="0"/>
        <w:spacing w:line="360" w:lineRule="auto"/>
        <w:ind w:firstLine="420" w:firstLineChars="200"/>
        <w:jc w:val="left"/>
        <w:outlineLvl w:val="9"/>
        <w:rPr>
          <w:rFonts w:hint="eastAsia" w:eastAsia="宋体" w:cs="Times New Roman"/>
          <w:color w:val="000000" w:themeColor="text1"/>
          <w:sz w:val="21"/>
          <w:szCs w:val="21"/>
          <w:highlight w:val="none"/>
          <w14:textFill>
            <w14:solidFill>
              <w14:schemeClr w14:val="tx1"/>
            </w14:solidFill>
          </w14:textFill>
        </w:rPr>
      </w:pPr>
      <w:bookmarkStart w:id="1283" w:name="_Toc16354"/>
      <w:bookmarkStart w:id="1284" w:name="_Toc4198"/>
      <w:r>
        <w:rPr>
          <w:rFonts w:hint="eastAsia" w:eastAsia="宋体" w:cs="Times New Roman"/>
          <w:color w:val="000000" w:themeColor="text1"/>
          <w:sz w:val="21"/>
          <w:szCs w:val="21"/>
          <w:highlight w:val="none"/>
          <w14:textFill>
            <w14:solidFill>
              <w14:schemeClr w14:val="tx1"/>
            </w14:solidFill>
          </w14:textFill>
        </w:rPr>
        <w:t>法定代表人或                             法定代表人或</w:t>
      </w:r>
      <w:bookmarkEnd w:id="1283"/>
      <w:bookmarkEnd w:id="1284"/>
    </w:p>
    <w:p>
      <w:pPr>
        <w:snapToGrid w:val="0"/>
        <w:spacing w:line="360" w:lineRule="auto"/>
        <w:ind w:firstLine="420" w:firstLineChars="200"/>
        <w:jc w:val="left"/>
        <w:outlineLvl w:val="9"/>
        <w:rPr>
          <w:rFonts w:ascii="黑体" w:hAnsi="黑体" w:eastAsia="黑体" w:cs="Times New Roman"/>
          <w:color w:val="000000" w:themeColor="text1"/>
          <w:sz w:val="21"/>
          <w:szCs w:val="21"/>
          <w:highlight w:val="none"/>
          <w14:textFill>
            <w14:solidFill>
              <w14:schemeClr w14:val="tx1"/>
            </w14:solidFill>
          </w14:textFill>
        </w:rPr>
      </w:pPr>
      <w:bookmarkStart w:id="1285" w:name="_Toc3964"/>
      <w:bookmarkStart w:id="1286" w:name="_Toc27277"/>
      <w:r>
        <w:rPr>
          <w:rFonts w:hint="eastAsia" w:eastAsia="宋体" w:cs="Times New Roman"/>
          <w:color w:val="000000" w:themeColor="text1"/>
          <w:sz w:val="21"/>
          <w:szCs w:val="21"/>
          <w:highlight w:val="none"/>
          <w14:textFill>
            <w14:solidFill>
              <w14:schemeClr w14:val="tx1"/>
            </w14:solidFill>
          </w14:textFill>
        </w:rPr>
        <w:t>其委托代理人：</w:t>
      </w:r>
      <w:r>
        <w:rPr>
          <w:rFonts w:hint="eastAsia" w:eastAsia="宋体" w:cs="Times New Roman"/>
          <w:color w:val="000000" w:themeColor="text1"/>
          <w:sz w:val="21"/>
          <w:szCs w:val="21"/>
          <w:highlight w:val="none"/>
          <w:u w:val="single"/>
          <w14:textFill>
            <w14:solidFill>
              <w14:schemeClr w14:val="tx1"/>
            </w14:solidFill>
          </w14:textFill>
        </w:rPr>
        <w:t xml:space="preserve">          （盖章或签字）</w:t>
      </w:r>
      <w:r>
        <w:rPr>
          <w:rFonts w:hint="eastAsia" w:eastAsia="宋体" w:cs="Times New Roman"/>
          <w:color w:val="000000" w:themeColor="text1"/>
          <w:sz w:val="21"/>
          <w:szCs w:val="21"/>
          <w:highlight w:val="none"/>
          <w14:textFill>
            <w14:solidFill>
              <w14:schemeClr w14:val="tx1"/>
            </w14:solidFill>
          </w14:textFill>
        </w:rPr>
        <w:t xml:space="preserve">   其委托代理人：</w:t>
      </w:r>
      <w:r>
        <w:rPr>
          <w:rFonts w:hint="eastAsia" w:eastAsia="宋体" w:cs="Times New Roman"/>
          <w:color w:val="000000" w:themeColor="text1"/>
          <w:sz w:val="21"/>
          <w:szCs w:val="21"/>
          <w:highlight w:val="none"/>
          <w:u w:val="single"/>
          <w14:textFill>
            <w14:solidFill>
              <w14:schemeClr w14:val="tx1"/>
            </w14:solidFill>
          </w14:textFill>
        </w:rPr>
        <w:t xml:space="preserve">            （盖章或签字）</w:t>
      </w:r>
      <w:bookmarkEnd w:id="1281"/>
      <w:bookmarkEnd w:id="1282"/>
      <w:bookmarkEnd w:id="1285"/>
      <w:bookmarkEnd w:id="1286"/>
    </w:p>
    <w:p>
      <w:pPr>
        <w:widowControl/>
        <w:snapToGrid w:val="0"/>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p>
    <w:p>
      <w:pPr>
        <w:widowControl/>
        <w:snapToGrid w:val="0"/>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p>
    <w:p>
      <w:pPr>
        <w:snapToGrid w:val="0"/>
        <w:spacing w:line="420" w:lineRule="atLeast"/>
        <w:jc w:val="left"/>
        <w:outlineLvl w:val="2"/>
        <w:rPr>
          <w:rFonts w:hint="eastAsia" w:ascii="黑体" w:hAnsi="黑体" w:eastAsia="黑体" w:cs="Times New Roman"/>
          <w:color w:val="000000" w:themeColor="text1"/>
          <w:szCs w:val="21"/>
          <w:highlight w:val="none"/>
          <w14:textFill>
            <w14:solidFill>
              <w14:schemeClr w14:val="tx1"/>
            </w14:solidFill>
          </w14:textFill>
        </w:rPr>
      </w:pPr>
      <w:bookmarkStart w:id="1287" w:name="_Toc52137782"/>
      <w:bookmarkStart w:id="1288" w:name="_Toc106719355"/>
      <w:r>
        <w:rPr>
          <w:rFonts w:hint="eastAsia" w:ascii="黑体" w:hAnsi="黑体" w:eastAsia="黑体" w:cs="Times New Roman"/>
          <w:color w:val="000000" w:themeColor="text1"/>
          <w:szCs w:val="21"/>
          <w:highlight w:val="none"/>
          <w14:textFill>
            <w14:solidFill>
              <w14:schemeClr w14:val="tx1"/>
            </w14:solidFill>
          </w14:textFill>
        </w:rPr>
        <w:br w:type="page"/>
      </w: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bookmarkStart w:id="1289" w:name="_Toc32734"/>
      <w:bookmarkStart w:id="1290" w:name="_Toc818"/>
      <w:bookmarkStart w:id="1291" w:name="_Toc10126"/>
      <w:bookmarkStart w:id="1292" w:name="_Toc30729"/>
      <w:bookmarkStart w:id="1293" w:name="_Toc10028"/>
      <w:bookmarkStart w:id="1294" w:name="_Toc16272"/>
      <w:bookmarkStart w:id="1295" w:name="_Toc26148"/>
      <w:bookmarkStart w:id="1296" w:name="_Toc9359"/>
      <w:bookmarkStart w:id="1297" w:name="_Toc3338"/>
      <w:bookmarkStart w:id="1298" w:name="_Toc22990"/>
      <w:bookmarkStart w:id="1299" w:name="_Toc25032"/>
      <w:bookmarkStart w:id="1300" w:name="_Toc17851"/>
      <w:r>
        <w:rPr>
          <w:rFonts w:hint="eastAsia" w:ascii="黑体" w:hAnsi="黑体" w:eastAsia="黑体" w:cs="Times New Roman"/>
          <w:color w:val="000000" w:themeColor="text1"/>
          <w:szCs w:val="21"/>
          <w:highlight w:val="none"/>
          <w14:textFill>
            <w14:solidFill>
              <w14:schemeClr w14:val="tx1"/>
            </w14:solidFill>
          </w14:textFill>
        </w:rPr>
        <w:t>附件2-</w:t>
      </w:r>
      <w:r>
        <w:rPr>
          <w:rFonts w:hint="eastAsia" w:ascii="黑体" w:hAnsi="黑体" w:eastAsia="黑体" w:cs="Times New Roman"/>
          <w:color w:val="000000" w:themeColor="text1"/>
          <w:szCs w:val="21"/>
          <w:highlight w:val="none"/>
          <w:lang w:val="en-US" w:eastAsia="zh-CN"/>
          <w14:textFill>
            <w14:solidFill>
              <w14:schemeClr w14:val="tx1"/>
            </w14:solidFill>
          </w14:textFill>
        </w:rPr>
        <w:t>3</w:t>
      </w:r>
      <w:r>
        <w:rPr>
          <w:rFonts w:hint="eastAsia" w:ascii="黑体" w:hAnsi="黑体" w:eastAsia="黑体" w:cs="Times New Roman"/>
          <w:color w:val="000000" w:themeColor="text1"/>
          <w:szCs w:val="21"/>
          <w:highlight w:val="none"/>
          <w14:textFill>
            <w14:solidFill>
              <w14:schemeClr w14:val="tx1"/>
            </w14:solidFill>
          </w14:textFill>
        </w:rPr>
        <w:t>：中标结果公布（格式）</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pPr>
        <w:jc w:val="center"/>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中标结果公布</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工程建设项目勘察招标，</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招标人根据</w:t>
      </w:r>
      <w:r>
        <w:rPr>
          <w:rFonts w:hint="eastAsia" w:ascii="宋体" w:hAnsi="宋体" w:eastAsia="宋体" w:cs="Times New Roman"/>
          <w:color w:val="000000" w:themeColor="text1"/>
          <w:sz w:val="21"/>
          <w:szCs w:val="21"/>
          <w:highlight w:val="none"/>
          <w14:textFill>
            <w14:solidFill>
              <w14:schemeClr w14:val="tx1"/>
            </w14:solidFill>
          </w14:textFill>
        </w:rPr>
        <w:t>定标委员会</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的中标人推荐结果</w:t>
      </w:r>
      <w:r>
        <w:rPr>
          <w:rFonts w:hint="eastAsia" w:ascii="宋体" w:hAnsi="宋体" w:eastAsia="宋体" w:cs="Times New Roman"/>
          <w:color w:val="000000" w:themeColor="text1"/>
          <w:sz w:val="21"/>
          <w:szCs w:val="21"/>
          <w:highlight w:val="none"/>
          <w14:textFill>
            <w14:solidFill>
              <w14:schemeClr w14:val="tx1"/>
            </w14:solidFill>
          </w14:textFill>
        </w:rPr>
        <w:t>确定了中标人，</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现将</w:t>
      </w:r>
      <w:r>
        <w:rPr>
          <w:rFonts w:hint="eastAsia" w:ascii="宋体" w:hAnsi="宋体" w:eastAsia="宋体" w:cs="Times New Roman"/>
          <w:color w:val="000000" w:themeColor="text1"/>
          <w:sz w:val="21"/>
          <w:szCs w:val="21"/>
          <w:highlight w:val="none"/>
          <w14:textFill>
            <w14:solidFill>
              <w14:schemeClr w14:val="tx1"/>
            </w14:solidFill>
          </w14:textFill>
        </w:rPr>
        <w:t>中标人有关情况公布如下</w:t>
      </w:r>
      <w:r>
        <w:rPr>
          <w:rFonts w:hint="eastAsia" w:ascii="宋体" w:hAnsi="宋体"/>
          <w:color w:val="000000" w:themeColor="text1"/>
          <w:sz w:val="21"/>
          <w:szCs w:val="21"/>
          <w:highlight w:val="none"/>
          <w14:textFill>
            <w14:solidFill>
              <w14:schemeClr w14:val="tx1"/>
            </w14:solidFill>
          </w14:textFill>
        </w:rPr>
        <w:t>：</w:t>
      </w:r>
    </w:p>
    <w:tbl>
      <w:tblPr>
        <w:tblStyle w:val="41"/>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835"/>
        <w:gridCol w:w="170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812"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中标人</w:t>
            </w:r>
          </w:p>
        </w:tc>
        <w:tc>
          <w:tcPr>
            <w:tcW w:w="7310" w:type="dxa"/>
            <w:gridSpan w:val="3"/>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812"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勘察费报价</w:t>
            </w:r>
          </w:p>
        </w:tc>
        <w:tc>
          <w:tcPr>
            <w:tcW w:w="2835"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701"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勘察服务期限</w:t>
            </w:r>
          </w:p>
        </w:tc>
        <w:tc>
          <w:tcPr>
            <w:tcW w:w="2774"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1812"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项目勘察负责人及注册证书编号</w:t>
            </w:r>
          </w:p>
        </w:tc>
        <w:tc>
          <w:tcPr>
            <w:tcW w:w="2835" w:type="dxa"/>
            <w:vAlign w:val="center"/>
          </w:tcPr>
          <w:p>
            <w:pPr>
              <w:autoSpaceDE w:val="0"/>
              <w:autoSpaceDN w:val="0"/>
              <w:spacing w:line="276" w:lineRule="auto"/>
              <w:jc w:val="left"/>
              <w:rPr>
                <w:rFonts w:ascii="宋体" w:hAnsi="宋体"/>
                <w:color w:val="000000" w:themeColor="text1"/>
                <w:sz w:val="21"/>
                <w:szCs w:val="21"/>
                <w:highlight w:val="none"/>
                <w14:textFill>
                  <w14:solidFill>
                    <w14:schemeClr w14:val="tx1"/>
                  </w14:solidFill>
                </w14:textFill>
              </w:rPr>
            </w:pPr>
          </w:p>
        </w:tc>
        <w:tc>
          <w:tcPr>
            <w:tcW w:w="1701"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2774" w:type="dxa"/>
            <w:vAlign w:val="center"/>
          </w:tcPr>
          <w:p>
            <w:pPr>
              <w:autoSpaceDE w:val="0"/>
              <w:autoSpaceDN w:val="0"/>
              <w:spacing w:line="276" w:lineRule="auto"/>
              <w:jc w:val="left"/>
              <w:rPr>
                <w:rFonts w:ascii="宋体" w:hAnsi="宋体"/>
                <w:color w:val="000000" w:themeColor="text1"/>
                <w:sz w:val="21"/>
                <w:szCs w:val="21"/>
                <w:highlight w:val="none"/>
                <w14:textFill>
                  <w14:solidFill>
                    <w14:schemeClr w14:val="tx1"/>
                  </w14:solidFill>
                </w14:textFill>
              </w:rPr>
            </w:pPr>
          </w:p>
        </w:tc>
      </w:tr>
    </w:tbl>
    <w:p>
      <w:pPr>
        <w:spacing w:line="440" w:lineRule="exact"/>
        <w:ind w:left="-270" w:leftChars="-135" w:right="-270" w:rightChars="-135" w:firstLine="480" w:firstLineChars="200"/>
        <w:rPr>
          <w:rFonts w:ascii="宋体" w:hAnsi="宋体"/>
          <w:color w:val="000000" w:themeColor="text1"/>
          <w:sz w:val="24"/>
          <w:highlight w:val="none"/>
          <w14:textFill>
            <w14:solidFill>
              <w14:schemeClr w14:val="tx1"/>
            </w14:solidFill>
          </w14:textFill>
        </w:rPr>
      </w:pPr>
    </w:p>
    <w:p>
      <w:pPr>
        <w:spacing w:line="440" w:lineRule="exact"/>
        <w:ind w:left="-270" w:leftChars="-135" w:right="-270" w:rightChars="-135"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440" w:lineRule="exact"/>
        <w:ind w:left="-270" w:leftChars="-135" w:right="-270" w:rightChars="-135"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招标人地址：</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440" w:lineRule="exact"/>
        <w:ind w:firstLine="105" w:firstLineChars="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招标人联系方式：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440" w:lineRule="exact"/>
        <w:ind w:firstLine="283" w:firstLineChars="118"/>
        <w:jc w:val="left"/>
        <w:rPr>
          <w:rFonts w:ascii="宋体" w:hAnsi="宋体"/>
          <w:color w:val="000000" w:themeColor="text1"/>
          <w:sz w:val="24"/>
          <w:highlight w:val="none"/>
          <w:u w:val="single"/>
          <w14:textFill>
            <w14:solidFill>
              <w14:schemeClr w14:val="tx1"/>
            </w14:solidFill>
          </w14:textFill>
        </w:rPr>
      </w:pPr>
    </w:p>
    <w:p>
      <w:pPr>
        <w:spacing w:line="440" w:lineRule="exact"/>
        <w:jc w:val="left"/>
        <w:rPr>
          <w:rFonts w:ascii="宋体" w:hAnsi="宋体"/>
          <w:color w:val="000000" w:themeColor="text1"/>
          <w:sz w:val="24"/>
          <w:highlight w:val="none"/>
          <w:u w:val="single"/>
          <w14:textFill>
            <w14:solidFill>
              <w14:schemeClr w14:val="tx1"/>
            </w14:solidFill>
          </w14:textFill>
        </w:rPr>
      </w:pPr>
    </w:p>
    <w:p>
      <w:pPr>
        <w:spacing w:line="360" w:lineRule="auto"/>
        <w:ind w:firstLine="424" w:firstLineChars="202"/>
        <w:rPr>
          <w:rFonts w:eastAsia="宋体" w:cs="Times New Roman"/>
          <w:color w:val="000000" w:themeColor="text1"/>
          <w:sz w:val="21"/>
          <w:szCs w:val="21"/>
          <w:highlight w:val="none"/>
          <w:u w:val="single"/>
          <w14:textFill>
            <w14:solidFill>
              <w14:schemeClr w14:val="tx1"/>
            </w14:solidFill>
          </w14:textFill>
        </w:rPr>
      </w:pPr>
      <w:r>
        <w:rPr>
          <w:rFonts w:hint="eastAsia" w:eastAsia="宋体" w:cs="Times New Roman"/>
          <w:color w:val="000000" w:themeColor="text1"/>
          <w:sz w:val="21"/>
          <w:szCs w:val="21"/>
          <w:highlight w:val="none"/>
          <w14:textFill>
            <w14:solidFill>
              <w14:schemeClr w14:val="tx1"/>
            </w14:solidFill>
          </w14:textFill>
        </w:rPr>
        <w:t>招标人：</w:t>
      </w:r>
      <w:r>
        <w:rPr>
          <w:rFonts w:hint="eastAsia" w:eastAsia="宋体" w:cs="Times New Roman"/>
          <w:color w:val="000000" w:themeColor="text1"/>
          <w:sz w:val="21"/>
          <w:szCs w:val="21"/>
          <w:highlight w:val="none"/>
          <w:u w:val="single"/>
          <w14:textFill>
            <w14:solidFill>
              <w14:schemeClr w14:val="tx1"/>
            </w14:solidFill>
          </w14:textFill>
        </w:rPr>
        <w:t xml:space="preserve">              （盖单位公章）</w:t>
      </w:r>
      <w:r>
        <w:rPr>
          <w:rFonts w:hint="eastAsia" w:eastAsia="宋体" w:cs="Times New Roman"/>
          <w:color w:val="000000" w:themeColor="text1"/>
          <w:sz w:val="21"/>
          <w:szCs w:val="21"/>
          <w:highlight w:val="none"/>
          <w14:textFill>
            <w14:solidFill>
              <w14:schemeClr w14:val="tx1"/>
            </w14:solidFill>
          </w14:textFill>
        </w:rPr>
        <w:t xml:space="preserve">    招标代理机构：</w:t>
      </w:r>
      <w:r>
        <w:rPr>
          <w:rFonts w:hint="eastAsia" w:eastAsia="宋体" w:cs="Times New Roman"/>
          <w:color w:val="000000" w:themeColor="text1"/>
          <w:sz w:val="21"/>
          <w:szCs w:val="21"/>
          <w:highlight w:val="none"/>
          <w:u w:val="single"/>
          <w14:textFill>
            <w14:solidFill>
              <w14:schemeClr w14:val="tx1"/>
            </w14:solidFill>
          </w14:textFill>
        </w:rPr>
        <w:t xml:space="preserve">          （盖单位公章）</w:t>
      </w:r>
    </w:p>
    <w:p>
      <w:pPr>
        <w:snapToGrid w:val="0"/>
        <w:spacing w:line="360" w:lineRule="auto"/>
        <w:ind w:firstLine="420" w:firstLineChars="200"/>
        <w:jc w:val="left"/>
        <w:outlineLvl w:val="9"/>
        <w:rPr>
          <w:rFonts w:hint="eastAsia" w:eastAsia="宋体" w:cs="Times New Roman"/>
          <w:color w:val="000000" w:themeColor="text1"/>
          <w:sz w:val="21"/>
          <w:szCs w:val="21"/>
          <w:highlight w:val="none"/>
          <w14:textFill>
            <w14:solidFill>
              <w14:schemeClr w14:val="tx1"/>
            </w14:solidFill>
          </w14:textFill>
        </w:rPr>
      </w:pPr>
      <w:r>
        <w:rPr>
          <w:rFonts w:hint="eastAsia" w:eastAsia="宋体" w:cs="Times New Roman"/>
          <w:color w:val="000000" w:themeColor="text1"/>
          <w:sz w:val="21"/>
          <w:szCs w:val="21"/>
          <w:highlight w:val="none"/>
          <w14:textFill>
            <w14:solidFill>
              <w14:schemeClr w14:val="tx1"/>
            </w14:solidFill>
          </w14:textFill>
        </w:rPr>
        <w:t>法定代表人或                            法定代表人或</w:t>
      </w:r>
    </w:p>
    <w:p>
      <w:pPr>
        <w:snapToGrid w:val="0"/>
        <w:spacing w:line="360" w:lineRule="auto"/>
        <w:ind w:firstLine="420" w:firstLineChars="200"/>
        <w:jc w:val="left"/>
        <w:outlineLvl w:val="9"/>
        <w:rPr>
          <w:rFonts w:ascii="黑体" w:hAnsi="黑体" w:eastAsia="黑体" w:cs="Times New Roman"/>
          <w:color w:val="000000" w:themeColor="text1"/>
          <w:sz w:val="21"/>
          <w:szCs w:val="21"/>
          <w:highlight w:val="none"/>
          <w14:textFill>
            <w14:solidFill>
              <w14:schemeClr w14:val="tx1"/>
            </w14:solidFill>
          </w14:textFill>
        </w:rPr>
      </w:pPr>
      <w:r>
        <w:rPr>
          <w:rFonts w:hint="eastAsia" w:eastAsia="宋体" w:cs="Times New Roman"/>
          <w:color w:val="000000" w:themeColor="text1"/>
          <w:sz w:val="21"/>
          <w:szCs w:val="21"/>
          <w:highlight w:val="none"/>
          <w14:textFill>
            <w14:solidFill>
              <w14:schemeClr w14:val="tx1"/>
            </w14:solidFill>
          </w14:textFill>
        </w:rPr>
        <w:t>其委托代理人：</w:t>
      </w:r>
      <w:r>
        <w:rPr>
          <w:rFonts w:hint="eastAsia" w:eastAsia="宋体" w:cs="Times New Roman"/>
          <w:color w:val="000000" w:themeColor="text1"/>
          <w:sz w:val="21"/>
          <w:szCs w:val="21"/>
          <w:highlight w:val="none"/>
          <w:u w:val="single"/>
          <w14:textFill>
            <w14:solidFill>
              <w14:schemeClr w14:val="tx1"/>
            </w14:solidFill>
          </w14:textFill>
        </w:rPr>
        <w:t xml:space="preserve">         （盖章或签字）</w:t>
      </w:r>
      <w:r>
        <w:rPr>
          <w:rFonts w:hint="eastAsia" w:eastAsia="宋体" w:cs="Times New Roman"/>
          <w:color w:val="000000" w:themeColor="text1"/>
          <w:sz w:val="21"/>
          <w:szCs w:val="21"/>
          <w:highlight w:val="none"/>
          <w14:textFill>
            <w14:solidFill>
              <w14:schemeClr w14:val="tx1"/>
            </w14:solidFill>
          </w14:textFill>
        </w:rPr>
        <w:t xml:space="preserve">   其委托代理人：</w:t>
      </w:r>
      <w:r>
        <w:rPr>
          <w:rFonts w:hint="eastAsia" w:eastAsia="宋体" w:cs="Times New Roman"/>
          <w:color w:val="000000" w:themeColor="text1"/>
          <w:sz w:val="21"/>
          <w:szCs w:val="21"/>
          <w:highlight w:val="none"/>
          <w:u w:val="single"/>
          <w14:textFill>
            <w14:solidFill>
              <w14:schemeClr w14:val="tx1"/>
            </w14:solidFill>
          </w14:textFill>
        </w:rPr>
        <w:t xml:space="preserve">           （盖章或签字）</w:t>
      </w: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p>
    <w:p>
      <w:pPr>
        <w:snapToGrid w:val="0"/>
        <w:spacing w:line="420" w:lineRule="atLeast"/>
        <w:jc w:val="left"/>
        <w:outlineLvl w:val="2"/>
        <w:rPr>
          <w:rFonts w:hint="eastAsia" w:ascii="黑体" w:hAnsi="黑体" w:eastAsia="黑体" w:cs="Times New Roman"/>
          <w:color w:val="000000" w:themeColor="text1"/>
          <w:szCs w:val="21"/>
          <w:highlight w:val="none"/>
          <w14:textFill>
            <w14:solidFill>
              <w14:schemeClr w14:val="tx1"/>
            </w14:solidFill>
          </w14:textFill>
        </w:rPr>
      </w:pPr>
      <w:bookmarkStart w:id="1301" w:name="_Toc106719356"/>
      <w:bookmarkStart w:id="1302" w:name="_Toc52137783"/>
      <w:r>
        <w:rPr>
          <w:rFonts w:hint="eastAsia" w:ascii="黑体" w:hAnsi="黑体" w:eastAsia="黑体" w:cs="Times New Roman"/>
          <w:color w:val="000000" w:themeColor="text1"/>
          <w:szCs w:val="21"/>
          <w:highlight w:val="none"/>
          <w14:textFill>
            <w14:solidFill>
              <w14:schemeClr w14:val="tx1"/>
            </w14:solidFill>
          </w14:textFill>
        </w:rPr>
        <w:br w:type="page"/>
      </w: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bookmarkStart w:id="1303" w:name="_Toc26141"/>
      <w:bookmarkStart w:id="1304" w:name="_Toc9068"/>
      <w:bookmarkStart w:id="1305" w:name="_Toc6315"/>
      <w:bookmarkStart w:id="1306" w:name="_Toc15578"/>
      <w:bookmarkStart w:id="1307" w:name="_Toc9284"/>
      <w:bookmarkStart w:id="1308" w:name="_Toc27676"/>
      <w:bookmarkStart w:id="1309" w:name="_Toc19546"/>
      <w:bookmarkStart w:id="1310" w:name="_Toc29341"/>
      <w:bookmarkStart w:id="1311" w:name="_Toc25824"/>
      <w:bookmarkStart w:id="1312" w:name="_Toc16208"/>
      <w:bookmarkStart w:id="1313" w:name="_Toc32436"/>
      <w:bookmarkStart w:id="1314" w:name="_Toc3750"/>
      <w:r>
        <w:rPr>
          <w:rFonts w:hint="eastAsia" w:ascii="黑体" w:hAnsi="黑体" w:eastAsia="黑体" w:cs="Times New Roman"/>
          <w:color w:val="000000" w:themeColor="text1"/>
          <w:szCs w:val="21"/>
          <w:highlight w:val="none"/>
          <w14:textFill>
            <w14:solidFill>
              <w14:schemeClr w14:val="tx1"/>
            </w14:solidFill>
          </w14:textFill>
        </w:rPr>
        <w:t>附件2-</w:t>
      </w:r>
      <w:r>
        <w:rPr>
          <w:rFonts w:hint="eastAsia" w:ascii="黑体" w:hAnsi="黑体" w:eastAsia="黑体" w:cs="Times New Roman"/>
          <w:color w:val="000000" w:themeColor="text1"/>
          <w:szCs w:val="21"/>
          <w:highlight w:val="none"/>
          <w:lang w:val="en-US" w:eastAsia="zh-CN"/>
          <w14:textFill>
            <w14:solidFill>
              <w14:schemeClr w14:val="tx1"/>
            </w14:solidFill>
          </w14:textFill>
        </w:rPr>
        <w:t>4</w:t>
      </w:r>
      <w:r>
        <w:rPr>
          <w:rFonts w:hint="eastAsia" w:ascii="黑体" w:hAnsi="黑体" w:eastAsia="黑体" w:cs="Times New Roman"/>
          <w:color w:val="000000" w:themeColor="text1"/>
          <w:szCs w:val="21"/>
          <w:highlight w:val="none"/>
          <w14:textFill>
            <w14:solidFill>
              <w14:schemeClr w14:val="tx1"/>
            </w14:solidFill>
          </w14:textFill>
        </w:rPr>
        <w:t>：中标通知书（格式）</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pPr>
        <w:pStyle w:val="57"/>
        <w:spacing w:beforeLines="100" w:afterLines="100"/>
        <w:jc w:val="center"/>
        <w:rPr>
          <w:rFonts w:hAnsi="黑体"/>
          <w:b/>
          <w:color w:val="000000" w:themeColor="text1"/>
          <w:sz w:val="28"/>
          <w:szCs w:val="28"/>
          <w:highlight w:val="none"/>
          <w14:textFill>
            <w14:solidFill>
              <w14:schemeClr w14:val="tx1"/>
            </w14:solidFill>
          </w14:textFill>
        </w:rPr>
      </w:pPr>
      <w:r>
        <w:rPr>
          <w:rFonts w:hint="eastAsia" w:hAnsi="黑体"/>
          <w:b/>
          <w:color w:val="000000" w:themeColor="text1"/>
          <w:sz w:val="28"/>
          <w:szCs w:val="28"/>
          <w:highlight w:val="none"/>
          <w14:textFill>
            <w14:solidFill>
              <w14:schemeClr w14:val="tx1"/>
            </w14:solidFill>
          </w14:textFill>
        </w:rPr>
        <w:t>中标通知书</w:t>
      </w:r>
    </w:p>
    <w:p>
      <w:pPr>
        <w:pStyle w:val="57"/>
        <w:spacing w:line="360" w:lineRule="auto"/>
        <w:rPr>
          <w:rFonts w:ascii="宋体" w:hAnsi="宋体" w:eastAsia="宋体"/>
          <w:b/>
          <w:color w:val="000000" w:themeColor="text1"/>
          <w:sz w:val="28"/>
          <w:szCs w:val="28"/>
          <w:highlight w:val="none"/>
          <w:u w:val="single"/>
          <w14:textFill>
            <w14:solidFill>
              <w14:schemeClr w14:val="tx1"/>
            </w14:solidFill>
          </w14:textFill>
        </w:rPr>
      </w:pP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（中标人名称）：</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你方于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（投标日期）所递交的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（项目名称）勘察投标文件已被我方接受，被确定为中标人。</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勘察服务期限：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项目勘察负责人：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，注册证书编号：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请你方在接到本通知书后的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日内到</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（指定地点）与我方签订勘察合同，并按招标文件第二章</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投标人须知正文</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w:t>
      </w:r>
      <w:r>
        <w:rPr>
          <w:rFonts w:hint="eastAsia" w:ascii="宋体" w:hAnsi="宋体" w:eastAsia="宋体" w:cs="Times New Roman"/>
          <w:color w:val="000000" w:themeColor="text1"/>
          <w:sz w:val="21"/>
          <w:szCs w:val="21"/>
          <w:highlight w:val="none"/>
          <w14:textFill>
            <w14:solidFill>
              <w14:schemeClr w14:val="tx1"/>
            </w14:solidFill>
          </w14:textFill>
        </w:rPr>
        <w:t>7.</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条规定向我方提交履约保证金。</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424" w:firstLineChars="20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特此通知。</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3968" w:firstLineChars="1890"/>
        <w:rPr>
          <w:rFonts w:ascii="宋体" w:hAnsi="宋体" w:eastAsia="宋体" w:cs="宋体"/>
          <w:color w:val="000000" w:themeColor="text1"/>
          <w:sz w:val="21"/>
          <w:szCs w:val="21"/>
          <w:highlight w:val="none"/>
          <w14:textFill>
            <w14:solidFill>
              <w14:schemeClr w14:val="tx1"/>
            </w14:solidFill>
          </w14:textFill>
        </w:rPr>
      </w:pPr>
    </w:p>
    <w:p>
      <w:pPr>
        <w:pStyle w:val="57"/>
        <w:spacing w:line="360" w:lineRule="auto"/>
        <w:ind w:firstLine="3968" w:firstLineChars="189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（盖单位章）</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3990" w:firstLineChars="19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（盖章或签字）</w:t>
      </w:r>
      <w:r>
        <w:rPr>
          <w:rFonts w:ascii="宋体" w:hAnsi="宋体" w:eastAsia="宋体" w:cs="宋体"/>
          <w:color w:val="000000" w:themeColor="text1"/>
          <w:sz w:val="21"/>
          <w:szCs w:val="21"/>
          <w:highlight w:val="none"/>
          <w14:textFill>
            <w14:solidFill>
              <w14:schemeClr w14:val="tx1"/>
            </w14:solidFill>
          </w14:textFill>
        </w:rPr>
        <w:t xml:space="preserve"> </w:t>
      </w:r>
    </w:p>
    <w:p>
      <w:pPr>
        <w:pStyle w:val="57"/>
        <w:spacing w:line="360" w:lineRule="auto"/>
        <w:ind w:firstLine="3968" w:firstLineChars="1890"/>
        <w:jc w:val="righ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pStyle w:val="57"/>
        <w:spacing w:line="360" w:lineRule="auto"/>
        <w:rPr>
          <w:rFonts w:ascii="宋体" w:hAnsi="宋体" w:eastAsia="宋体" w:cs="宋体"/>
          <w:color w:val="000000" w:themeColor="text1"/>
          <w:sz w:val="21"/>
          <w:szCs w:val="21"/>
          <w:highlight w:val="none"/>
          <w:u w:val="singl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bookmarkStart w:id="1315" w:name="_Toc106108818"/>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outlineLvl w:val="2"/>
        <w:rPr>
          <w:rFonts w:ascii="黑体" w:hAnsi="黑体" w:eastAsia="黑体" w:cs="Times New Roman"/>
          <w:color w:val="000000" w:themeColor="text1"/>
          <w:szCs w:val="21"/>
          <w:highlight w:val="none"/>
          <w14:textFill>
            <w14:solidFill>
              <w14:schemeClr w14:val="tx1"/>
            </w14:solidFill>
          </w14:textFill>
        </w:rPr>
      </w:pPr>
    </w:p>
    <w:bookmarkEnd w:id="1315"/>
    <w:p>
      <w:pPr>
        <w:pStyle w:val="15"/>
        <w:tabs>
          <w:tab w:val="left" w:pos="510"/>
          <w:tab w:val="left" w:pos="1000"/>
        </w:tabs>
        <w:snapToGrid w:val="0"/>
        <w:spacing w:afterLines="100" w:line="420" w:lineRule="atLeast"/>
        <w:ind w:firstLine="0"/>
        <w:rPr>
          <w:rFonts w:ascii="黑体" w:hAnsi="黑体" w:eastAsia="黑体"/>
          <w:color w:val="000000" w:themeColor="text1"/>
          <w:sz w:val="44"/>
          <w:szCs w:val="44"/>
          <w:highlight w:val="none"/>
          <w14:textFill>
            <w14:solidFill>
              <w14:schemeClr w14:val="tx1"/>
            </w14:solidFill>
          </w14:textFill>
        </w:rPr>
      </w:pPr>
    </w:p>
    <w:p>
      <w:pPr>
        <w:pStyle w:val="15"/>
        <w:tabs>
          <w:tab w:val="left" w:pos="510"/>
          <w:tab w:val="left" w:pos="1000"/>
        </w:tabs>
        <w:snapToGrid w:val="0"/>
        <w:spacing w:beforeLines="700" w:afterLines="100" w:line="420" w:lineRule="atLeast"/>
        <w:ind w:firstLine="0"/>
        <w:jc w:val="center"/>
        <w:outlineLvl w:val="1"/>
        <w:rPr>
          <w:rFonts w:ascii="黑体" w:hAnsi="黑体" w:eastAsia="黑体"/>
          <w:color w:val="000000" w:themeColor="text1"/>
          <w:sz w:val="44"/>
          <w:szCs w:val="44"/>
          <w:highlight w:val="none"/>
          <w14:textFill>
            <w14:solidFill>
              <w14:schemeClr w14:val="tx1"/>
            </w14:solidFill>
          </w14:textFill>
        </w:rPr>
      </w:pPr>
      <w:bookmarkStart w:id="1316" w:name="_Toc52137784"/>
      <w:bookmarkStart w:id="1317" w:name="_Toc8663"/>
      <w:bookmarkStart w:id="1318" w:name="_Toc8190"/>
      <w:bookmarkStart w:id="1319" w:name="_Toc10000"/>
      <w:bookmarkStart w:id="1320" w:name="_Toc23950"/>
      <w:bookmarkStart w:id="1321" w:name="_Toc29327"/>
      <w:bookmarkStart w:id="1322" w:name="_Toc5565"/>
      <w:bookmarkStart w:id="1323" w:name="_Toc6531"/>
      <w:bookmarkStart w:id="1324" w:name="_Toc16565"/>
      <w:bookmarkStart w:id="1325" w:name="_Toc6072"/>
      <w:bookmarkStart w:id="1326" w:name="_Toc9481"/>
      <w:bookmarkStart w:id="1327" w:name="_Toc3641"/>
      <w:bookmarkStart w:id="1328" w:name="_Toc106719357"/>
      <w:bookmarkStart w:id="1329" w:name="_Toc18531"/>
      <w:r>
        <w:rPr>
          <w:rFonts w:hint="eastAsia" w:ascii="黑体" w:hAnsi="黑体" w:eastAsia="黑体"/>
          <w:color w:val="000000" w:themeColor="text1"/>
          <w:sz w:val="44"/>
          <w:szCs w:val="44"/>
          <w:highlight w:val="none"/>
          <w14:textFill>
            <w14:solidFill>
              <w14:schemeClr w14:val="tx1"/>
            </w14:solidFill>
          </w14:textFill>
        </w:rPr>
        <w:t>第三章 评标办法</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jc w:val="center"/>
        <w:rPr>
          <w:rFonts w:ascii="宋体" w:hAnsi="宋体"/>
          <w:b/>
          <w:color w:val="000000" w:themeColor="text1"/>
          <w:sz w:val="32"/>
          <w:szCs w:val="32"/>
          <w:highlight w:val="none"/>
          <w14:textFill>
            <w14:solidFill>
              <w14:schemeClr w14:val="tx1"/>
            </w14:solidFill>
          </w14:textFill>
        </w:rPr>
      </w:pPr>
      <w:bookmarkStart w:id="1330" w:name="_Toc17344"/>
      <w:bookmarkStart w:id="1331" w:name="_Toc8415"/>
      <w:bookmarkStart w:id="1332" w:name="_Toc516753524"/>
      <w:bookmarkStart w:id="1333" w:name="_Toc393637021"/>
    </w:p>
    <w:bookmarkEnd w:id="1330"/>
    <w:bookmarkEnd w:id="1331"/>
    <w:bookmarkEnd w:id="1332"/>
    <w:bookmarkEnd w:id="1333"/>
    <w:p>
      <w:pPr>
        <w:pStyle w:val="6"/>
        <w:jc w:val="center"/>
        <w:rPr>
          <w:rFonts w:ascii="黑体" w:hAnsi="黑体" w:eastAsia="黑体"/>
          <w:b w:val="0"/>
          <w:color w:val="000000" w:themeColor="text1"/>
          <w:sz w:val="28"/>
          <w:szCs w:val="28"/>
          <w:highlight w:val="none"/>
          <w14:textFill>
            <w14:solidFill>
              <w14:schemeClr w14:val="tx1"/>
            </w14:solidFill>
          </w14:textFill>
        </w:rPr>
      </w:pPr>
      <w:bookmarkStart w:id="1334" w:name="_Toc22875"/>
      <w:bookmarkStart w:id="1335" w:name="_Toc393637026"/>
      <w:bookmarkStart w:id="1336" w:name="_Toc12116"/>
      <w:bookmarkStart w:id="1337" w:name="_Toc5259"/>
      <w:bookmarkStart w:id="1338" w:name="_Toc31141"/>
      <w:bookmarkStart w:id="1339" w:name="_Toc27627"/>
      <w:bookmarkStart w:id="1340" w:name="_Toc106719363"/>
      <w:bookmarkStart w:id="1341" w:name="_Toc8107"/>
      <w:bookmarkStart w:id="1342" w:name="_Toc52137796"/>
      <w:bookmarkStart w:id="1343" w:name="_Toc24030"/>
      <w:bookmarkStart w:id="1344" w:name="_Toc25837"/>
      <w:bookmarkStart w:id="1345" w:name="_Toc20394"/>
      <w:bookmarkStart w:id="1346" w:name="_Toc28569"/>
      <w:bookmarkStart w:id="1347" w:name="_Toc516753529"/>
      <w:bookmarkStart w:id="1348" w:name="_Toc9748"/>
      <w:bookmarkStart w:id="1349" w:name="_Toc31964"/>
      <w:bookmarkStart w:id="1350" w:name="_Toc745"/>
      <w:bookmarkStart w:id="1351" w:name="_Toc6233"/>
      <w:r>
        <w:rPr>
          <w:rFonts w:hint="eastAsia" w:ascii="黑体" w:hAnsi="黑体" w:eastAsia="黑体"/>
          <w:b w:val="0"/>
          <w:color w:val="000000" w:themeColor="text1"/>
          <w:sz w:val="28"/>
          <w:szCs w:val="28"/>
          <w:highlight w:val="none"/>
          <w14:textFill>
            <w14:solidFill>
              <w14:schemeClr w14:val="tx1"/>
            </w14:solidFill>
          </w14:textFill>
        </w:rPr>
        <w:t>第</w:t>
      </w:r>
      <w:r>
        <w:rPr>
          <w:rFonts w:hint="eastAsia" w:ascii="黑体" w:hAnsi="黑体" w:eastAsia="黑体"/>
          <w:b w:val="0"/>
          <w:color w:val="000000" w:themeColor="text1"/>
          <w:sz w:val="28"/>
          <w:szCs w:val="28"/>
          <w:highlight w:val="none"/>
          <w:lang w:val="en-US" w:eastAsia="zh-CN"/>
          <w14:textFill>
            <w14:solidFill>
              <w14:schemeClr w14:val="tx1"/>
            </w14:solidFill>
          </w14:textFill>
        </w:rPr>
        <w:t>三章</w:t>
      </w:r>
      <w:r>
        <w:rPr>
          <w:rFonts w:hint="eastAsia" w:ascii="黑体" w:hAnsi="黑体" w:eastAsia="黑体"/>
          <w:b w:val="0"/>
          <w:color w:val="000000" w:themeColor="text1"/>
          <w:sz w:val="28"/>
          <w:szCs w:val="28"/>
          <w:highlight w:val="none"/>
          <w14:textFill>
            <w14:solidFill>
              <w14:schemeClr w14:val="tx1"/>
            </w14:solidFill>
          </w14:textFill>
        </w:rPr>
        <w:t xml:space="preserve"> 评标办法</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pPr>
        <w:pStyle w:val="6"/>
        <w:keepNext/>
        <w:keepLines/>
        <w:pageBreakBefore w:val="0"/>
        <w:widowControl w:val="0"/>
        <w:kinsoku/>
        <w:wordWrap/>
        <w:overflowPunct/>
        <w:topLinePunct w:val="0"/>
        <w:autoSpaceDE/>
        <w:autoSpaceDN/>
        <w:bidi w:val="0"/>
        <w:adjustRightInd w:val="0"/>
        <w:snapToGrid/>
        <w:spacing w:beforeLines="50" w:after="0" w:line="360" w:lineRule="auto"/>
        <w:textAlignment w:val="baseline"/>
        <w:rPr>
          <w:rFonts w:ascii="黑体" w:hAnsi="黑体" w:eastAsia="黑体"/>
          <w:b w:val="0"/>
          <w:color w:val="000000" w:themeColor="text1"/>
          <w:sz w:val="21"/>
          <w:szCs w:val="21"/>
          <w:highlight w:val="none"/>
          <w14:textFill>
            <w14:solidFill>
              <w14:schemeClr w14:val="tx1"/>
            </w14:solidFill>
          </w14:textFill>
        </w:rPr>
      </w:pPr>
      <w:bookmarkStart w:id="1352" w:name="_Toc106719364"/>
      <w:bookmarkStart w:id="1353" w:name="_Toc9041"/>
      <w:bookmarkStart w:id="1354" w:name="_Toc24056"/>
      <w:bookmarkStart w:id="1355" w:name="_Toc9319"/>
      <w:bookmarkStart w:id="1356" w:name="_Toc3272"/>
      <w:bookmarkStart w:id="1357" w:name="_Toc8061"/>
      <w:bookmarkStart w:id="1358" w:name="_Toc5653"/>
      <w:bookmarkStart w:id="1359" w:name="_Toc52137797"/>
      <w:bookmarkStart w:id="1360" w:name="_Toc22310"/>
      <w:bookmarkStart w:id="1361" w:name="_Toc21279"/>
      <w:bookmarkStart w:id="1362" w:name="_Toc12214"/>
      <w:bookmarkStart w:id="1363" w:name="_Toc999"/>
      <w:bookmarkStart w:id="1364" w:name="_Toc27739"/>
      <w:bookmarkStart w:id="1365" w:name="_Toc12564"/>
      <w:r>
        <w:rPr>
          <w:rFonts w:hint="eastAsia" w:ascii="黑体" w:hAnsi="黑体" w:eastAsia="黑体"/>
          <w:b w:val="0"/>
          <w:color w:val="000000" w:themeColor="text1"/>
          <w:sz w:val="21"/>
          <w:szCs w:val="21"/>
          <w:highlight w:val="none"/>
          <w14:textFill>
            <w14:solidFill>
              <w14:schemeClr w14:val="tx1"/>
            </w14:solidFill>
          </w14:textFill>
        </w:rPr>
        <w:t>评标办法前附表</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tbl>
      <w:tblPr>
        <w:tblStyle w:val="4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276"/>
        <w:gridCol w:w="155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710" w:type="dxa"/>
            <w:tcBorders>
              <w:top w:val="single" w:color="auto" w:sz="8" w:space="0"/>
              <w:left w:val="single" w:color="auto" w:sz="8" w:space="0"/>
              <w:bottom w:val="single" w:color="auto" w:sz="8" w:space="0"/>
            </w:tcBorders>
            <w:vAlign w:val="center"/>
          </w:tcPr>
          <w:p>
            <w:pPr>
              <w:pStyle w:val="15"/>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项号</w:t>
            </w:r>
          </w:p>
        </w:tc>
        <w:tc>
          <w:tcPr>
            <w:tcW w:w="850" w:type="dxa"/>
            <w:tcBorders>
              <w:top w:val="single" w:color="auto" w:sz="8" w:space="0"/>
              <w:bottom w:val="single" w:color="auto" w:sz="8" w:space="0"/>
            </w:tcBorders>
            <w:vAlign w:val="center"/>
          </w:tcPr>
          <w:p>
            <w:pPr>
              <w:pStyle w:val="15"/>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条款号</w:t>
            </w:r>
          </w:p>
        </w:tc>
        <w:tc>
          <w:tcPr>
            <w:tcW w:w="1276" w:type="dxa"/>
            <w:tcBorders>
              <w:top w:val="single" w:color="auto" w:sz="4" w:space="0"/>
              <w:bottom w:val="single" w:color="auto" w:sz="4" w:space="0"/>
              <w:right w:val="single" w:color="auto" w:sz="4" w:space="0"/>
            </w:tcBorders>
            <w:vAlign w:val="center"/>
          </w:tcPr>
          <w:p>
            <w:pPr>
              <w:pStyle w:val="15"/>
              <w:snapToGrid w:val="0"/>
              <w:spacing w:line="380" w:lineRule="exact"/>
              <w:ind w:firstLine="0"/>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条款名称</w:t>
            </w:r>
          </w:p>
        </w:tc>
        <w:tc>
          <w:tcPr>
            <w:tcW w:w="6804" w:type="dxa"/>
            <w:gridSpan w:val="2"/>
            <w:tcBorders>
              <w:top w:val="single" w:color="auto" w:sz="4" w:space="0"/>
              <w:left w:val="single" w:color="auto" w:sz="4" w:space="0"/>
              <w:bottom w:val="single" w:color="auto" w:sz="4" w:space="0"/>
              <w:right w:val="single" w:color="auto" w:sz="8" w:space="0"/>
            </w:tcBorders>
            <w:vAlign w:val="center"/>
          </w:tcPr>
          <w:p>
            <w:pPr>
              <w:pStyle w:val="15"/>
              <w:snapToGrid w:val="0"/>
              <w:spacing w:line="380" w:lineRule="exact"/>
              <w:jc w:val="center"/>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trPr>
        <w:tc>
          <w:tcPr>
            <w:tcW w:w="710" w:type="dxa"/>
            <w:tcBorders>
              <w:top w:val="single" w:color="auto" w:sz="8" w:space="0"/>
              <w:left w:val="single" w:color="auto" w:sz="8" w:space="0"/>
              <w:bottom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p>
        </w:tc>
        <w:tc>
          <w:tcPr>
            <w:tcW w:w="850" w:type="dxa"/>
            <w:tcBorders>
              <w:top w:val="single" w:color="auto" w:sz="8" w:space="0"/>
              <w:bottom w:val="single" w:color="auto" w:sz="8" w:space="0"/>
            </w:tcBorders>
            <w:vAlign w:val="center"/>
          </w:tcPr>
          <w:p>
            <w:pPr>
              <w:pStyle w:val="15"/>
              <w:snapToGrid w:val="0"/>
              <w:spacing w:line="380" w:lineRule="exact"/>
              <w:ind w:firstLine="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3.1</w:t>
            </w:r>
          </w:p>
        </w:tc>
        <w:tc>
          <w:tcPr>
            <w:tcW w:w="1276" w:type="dxa"/>
            <w:tcBorders>
              <w:top w:val="single" w:color="auto" w:sz="4" w:space="0"/>
              <w:bottom w:val="single" w:color="auto" w:sz="4" w:space="0"/>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组建评标委员会</w:t>
            </w:r>
          </w:p>
        </w:tc>
        <w:tc>
          <w:tcPr>
            <w:tcW w:w="6804" w:type="dxa"/>
            <w:gridSpan w:val="2"/>
            <w:tcBorders>
              <w:top w:val="single" w:color="auto" w:sz="4" w:space="0"/>
              <w:left w:val="single" w:color="auto" w:sz="4" w:space="0"/>
              <w:bottom w:val="single" w:color="auto" w:sz="4" w:space="0"/>
              <w:right w:val="single" w:color="auto" w:sz="8" w:space="0"/>
            </w:tcBorders>
          </w:tcPr>
          <w:p>
            <w:pPr>
              <w:pStyle w:val="57"/>
              <w:spacing w:line="380" w:lineRule="exact"/>
              <w:ind w:firstLine="457" w:firstLineChars="218"/>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评标委员会由</w:t>
            </w:r>
            <w:r>
              <w:rPr>
                <w:rFonts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人技术类专家构成。</w:t>
            </w:r>
          </w:p>
          <w:p>
            <w:pPr>
              <w:pStyle w:val="15"/>
              <w:snapToGrid w:val="0"/>
              <w:spacing w:line="380" w:lineRule="exact"/>
              <w:ind w:firstLine="457" w:firstLineChars="218"/>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评标专家确定方式：评标委员会由招标人从福建省综合性评标专家库中随机抽取勘察专业评标专家组成，成员人数为5人（含）以上单数，评标委员会</w:t>
            </w:r>
            <w:r>
              <w:rPr>
                <w:rFonts w:hint="eastAsia" w:ascii="宋体" w:hAnsi="宋体" w:eastAsia="宋体"/>
                <w:color w:val="000000" w:themeColor="text1"/>
                <w:szCs w:val="21"/>
                <w:highlight w:val="none"/>
                <w:lang w:eastAsia="zh-CN"/>
                <w14:textFill>
                  <w14:solidFill>
                    <w14:schemeClr w14:val="tx1"/>
                  </w14:solidFill>
                </w14:textFill>
              </w:rPr>
              <w:t>负责人</w:t>
            </w:r>
            <w:r>
              <w:rPr>
                <w:rFonts w:hint="eastAsia" w:ascii="宋体" w:hAnsi="宋体" w:eastAsia="宋体"/>
                <w:color w:val="000000" w:themeColor="text1"/>
                <w:szCs w:val="21"/>
                <w:highlight w:val="none"/>
                <w14:textFill>
                  <w14:solidFill>
                    <w14:schemeClr w14:val="tx1"/>
                  </w14:solidFill>
                </w14:textFill>
              </w:rPr>
              <w:t>应有国家注册土木工程师（岩土）担任，且评标委员会成员为国家注册土木工程师（岩土）人数不少于1/3。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710" w:type="dxa"/>
            <w:tcBorders>
              <w:top w:val="single" w:color="auto" w:sz="8" w:space="0"/>
              <w:left w:val="single" w:color="auto" w:sz="8" w:space="0"/>
              <w:bottom w:val="single" w:color="auto" w:sz="8" w:space="0"/>
            </w:tcBorders>
            <w:vAlign w:val="center"/>
          </w:tcPr>
          <w:p>
            <w:pPr>
              <w:pStyle w:val="15"/>
              <w:snapToGrid w:val="0"/>
              <w:spacing w:line="380" w:lineRule="exact"/>
              <w:ind w:firstLine="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2</w:t>
            </w:r>
          </w:p>
        </w:tc>
        <w:tc>
          <w:tcPr>
            <w:tcW w:w="850" w:type="dxa"/>
            <w:tcBorders>
              <w:top w:val="single" w:color="auto" w:sz="8" w:space="0"/>
              <w:bottom w:val="single" w:color="auto" w:sz="8" w:space="0"/>
            </w:tcBorders>
            <w:vAlign w:val="center"/>
          </w:tcPr>
          <w:p>
            <w:pPr>
              <w:pStyle w:val="15"/>
              <w:snapToGrid w:val="0"/>
              <w:spacing w:line="380" w:lineRule="exact"/>
              <w:ind w:firstLine="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5.1.2</w:t>
            </w:r>
          </w:p>
        </w:tc>
        <w:tc>
          <w:tcPr>
            <w:tcW w:w="1276" w:type="dxa"/>
            <w:tcBorders>
              <w:top w:val="single" w:color="auto" w:sz="4" w:space="0"/>
              <w:bottom w:val="single" w:color="auto" w:sz="4" w:space="0"/>
              <w:right w:val="single" w:color="auto" w:sz="4" w:space="0"/>
            </w:tcBorders>
            <w:vAlign w:val="center"/>
          </w:tcPr>
          <w:p>
            <w:pPr>
              <w:pStyle w:val="15"/>
              <w:snapToGrid w:val="0"/>
              <w:spacing w:line="380" w:lineRule="exact"/>
              <w:ind w:firstLine="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资格审查标准</w:t>
            </w:r>
          </w:p>
        </w:tc>
        <w:tc>
          <w:tcPr>
            <w:tcW w:w="6804" w:type="dxa"/>
            <w:gridSpan w:val="2"/>
            <w:tcBorders>
              <w:top w:val="single" w:color="auto" w:sz="4" w:space="0"/>
              <w:left w:val="single" w:color="auto" w:sz="4" w:space="0"/>
              <w:bottom w:val="single" w:color="auto" w:sz="4" w:space="0"/>
              <w:right w:val="single" w:color="auto" w:sz="8" w:space="0"/>
            </w:tcBorders>
            <w:vAlign w:val="top"/>
          </w:tcPr>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（1）资格审查文件按照招标文件规定的格式填写，内容完整，关键字迹清晰可辨认</w:t>
            </w:r>
            <w:r>
              <w:rPr>
                <w:rStyle w:val="49"/>
                <w:rFonts w:ascii="宋体" w:hAnsi="宋体"/>
                <w:color w:val="000000" w:themeColor="text1"/>
                <w:sz w:val="21"/>
                <w:szCs w:val="21"/>
                <w:highlight w:val="none"/>
                <w14:textFill>
                  <w14:solidFill>
                    <w14:schemeClr w14:val="tx1"/>
                  </w14:solidFill>
                </w14:textFill>
              </w:rPr>
              <w:footnoteReference w:id="39"/>
            </w:r>
            <w:r>
              <w:rPr>
                <w:rFonts w:hint="eastAsia" w:ascii="宋体" w:hAnsi="宋体"/>
                <w:color w:val="000000" w:themeColor="text1"/>
                <w:sz w:val="21"/>
                <w:szCs w:val="21"/>
                <w:highlight w:val="none"/>
                <w14:textFill>
                  <w14:solidFill>
                    <w14:schemeClr w14:val="tx1"/>
                  </w14:solidFill>
                </w14:textFill>
              </w:rPr>
              <w:t>；</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（2）资格审查文件按规定盖章（签字）和签署；</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（3）由投标人法定代表人委托代理人签署的，随资格审查文件提供了合法、有效的授权委托书；</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（4）投标人具备合格有效营业执照、勘察资质证书；投标人名称与营业执照、勘察资质证书一致；</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（5）投标人的资质等级符合第二章投标人须知前附表第11项规定；</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（6）投标人拟派项目人员配置的类型、数量和条件符合第二章投标人须知前附表第11项的最低标准；</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（7）投标人的类似项目勘察业绩满足第二章投标人须知前附表第11项规定；</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（8）投标人的信用满足第二章投标人须知前附表第11项规定；</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（9）投标人以联合体形式申请投标，符合第二章投标人须知正文第1.5.3款规定，并附上联合体协议书，联合体协议书符合招标文件规定；</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（10）投标人未存在第二章投标人须知正文第1.5.4款规定的任一情形；</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（11）投标人设立的土工试验室满足第二章投标人须知前附表第11项规定；</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（12）采用邀请招标方式的，投标人是招标人确定邀请参加投标的被邀请者；</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（13）投标人未出现以他人的名义投标、串通投标、以行贿手段谋取中标或者以其他弄虚作假方式投标的；未出现反映资格审查文件个性特征的内容出现明显雷同的（若出现，相关投标均无效）；</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w:t>
            </w:r>
            <w:r>
              <w:rPr>
                <w:rFonts w:hint="eastAsia" w:ascii="宋体" w:hAnsi="宋体"/>
                <w:color w:val="000000" w:themeColor="text1"/>
                <w:sz w:val="21"/>
                <w:szCs w:val="21"/>
                <w:highlight w:val="none"/>
                <w:lang w:val="en-US" w:eastAsia="zh-CN"/>
                <w14:textFill>
                  <w14:solidFill>
                    <w14:schemeClr w14:val="tx1"/>
                  </w14:solidFill>
                </w14:textFill>
              </w:rPr>
              <w:t>评标委员会</w:t>
            </w:r>
            <w:r>
              <w:rPr>
                <w:rFonts w:hint="eastAsia" w:ascii="宋体" w:hAnsi="宋体"/>
                <w:color w:val="000000" w:themeColor="text1"/>
                <w:sz w:val="21"/>
                <w:szCs w:val="21"/>
                <w:highlight w:val="none"/>
                <w14:textFill>
                  <w14:solidFill>
                    <w14:schemeClr w14:val="tx1"/>
                  </w14:solidFill>
                </w14:textFill>
              </w:rPr>
              <w:t>要求投标人对资格审查文件进行澄清或说明的，投标人的澄清或说明符合正文第</w:t>
            </w:r>
            <w:r>
              <w:rPr>
                <w:rFonts w:hint="eastAsia" w:ascii="宋体" w:hAnsi="宋体"/>
                <w:color w:val="000000" w:themeColor="text1"/>
                <w:sz w:val="21"/>
                <w:szCs w:val="21"/>
                <w:highlight w:val="none"/>
                <w:lang w:eastAsia="zh-CN"/>
                <w14:textFill>
                  <w14:solidFill>
                    <w14:schemeClr w14:val="tx1"/>
                  </w14:solidFill>
                </w14:textFill>
              </w:rPr>
              <w:t>5</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条规定；</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（15）未存在投标人须知第4.1.3款第（1）目或第（2）目规定的情形；</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（16）未采用除本单位企业</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以外的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（如本单位法定代表人或其他单位的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）加密投标文件；</w:t>
            </w:r>
          </w:p>
          <w:p>
            <w:pPr>
              <w:snapToGrid w:val="0"/>
              <w:spacing w:line="38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（17）资格审查文件记录的计算机硬件信息中，未存在一条及以上的计算机的网卡MAC地址、CPU序列号、数据存储设备序列号空值；</w:t>
            </w:r>
          </w:p>
          <w:p>
            <w:pPr>
              <w:pStyle w:val="15"/>
              <w:snapToGrid w:val="0"/>
              <w:spacing w:line="380" w:lineRule="exact"/>
              <w:ind w:firstLine="457" w:firstLineChars="218"/>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（18）资格审查文件未附有</w:t>
            </w:r>
            <w:r>
              <w:rPr>
                <w:rFonts w:hint="eastAsia" w:ascii="宋体" w:hAnsi="宋体" w:eastAsia="宋体"/>
                <w:color w:val="000000" w:themeColor="text1"/>
                <w:szCs w:val="21"/>
                <w:highlight w:val="none"/>
                <w:lang w:eastAsia="zh-CN"/>
                <w14:textFill>
                  <w14:solidFill>
                    <w14:schemeClr w14:val="tx1"/>
                  </w14:solidFill>
                </w14:textFill>
              </w:rPr>
              <w:t>评标委员会</w:t>
            </w:r>
            <w:r>
              <w:rPr>
                <w:rFonts w:hint="eastAsia" w:ascii="宋体" w:hAnsi="宋体" w:eastAsia="宋体"/>
                <w:color w:val="000000" w:themeColor="text1"/>
                <w:szCs w:val="21"/>
                <w:highlight w:val="none"/>
                <w14:textFill>
                  <w14:solidFill>
                    <w14:schemeClr w14:val="tx1"/>
                  </w14:solidFill>
                </w14:textFill>
              </w:rPr>
              <w:t>不能接受的条件或资料。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trPr>
        <w:tc>
          <w:tcPr>
            <w:tcW w:w="710" w:type="dxa"/>
            <w:tcBorders>
              <w:top w:val="single" w:color="auto" w:sz="8" w:space="0"/>
              <w:left w:val="single" w:color="auto" w:sz="8" w:space="0"/>
              <w:bottom w:val="single" w:color="auto" w:sz="8" w:space="0"/>
            </w:tcBorders>
            <w:vAlign w:val="center"/>
          </w:tcPr>
          <w:p>
            <w:pPr>
              <w:pStyle w:val="15"/>
              <w:snapToGrid w:val="0"/>
              <w:spacing w:line="380" w:lineRule="exact"/>
              <w:ind w:firstLine="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3</w:t>
            </w:r>
          </w:p>
        </w:tc>
        <w:tc>
          <w:tcPr>
            <w:tcW w:w="850" w:type="dxa"/>
            <w:tcBorders>
              <w:top w:val="single" w:color="auto" w:sz="8" w:space="0"/>
              <w:bottom w:val="single" w:color="auto" w:sz="8" w:space="0"/>
            </w:tcBorders>
            <w:vAlign w:val="center"/>
          </w:tcPr>
          <w:p>
            <w:pPr>
              <w:pStyle w:val="15"/>
              <w:snapToGrid w:val="0"/>
              <w:spacing w:line="380" w:lineRule="exact"/>
              <w:ind w:firstLine="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5.2.1</w:t>
            </w:r>
          </w:p>
          <w:p>
            <w:pPr>
              <w:pStyle w:val="15"/>
              <w:snapToGrid w:val="0"/>
              <w:spacing w:line="380" w:lineRule="exact"/>
              <w:ind w:firstLine="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6.3.1</w:t>
            </w:r>
          </w:p>
        </w:tc>
        <w:tc>
          <w:tcPr>
            <w:tcW w:w="1276" w:type="dxa"/>
            <w:tcBorders>
              <w:top w:val="single" w:color="auto" w:sz="4" w:space="0"/>
              <w:bottom w:val="single" w:color="auto" w:sz="4" w:space="0"/>
              <w:right w:val="single" w:color="auto" w:sz="4" w:space="0"/>
            </w:tcBorders>
            <w:vAlign w:val="center"/>
          </w:tcPr>
          <w:p>
            <w:pPr>
              <w:pStyle w:val="15"/>
              <w:snapToGrid w:val="0"/>
              <w:spacing w:line="380" w:lineRule="exact"/>
              <w:ind w:firstLine="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投标文件（含资格</w:t>
            </w:r>
            <w:r>
              <w:rPr>
                <w:rFonts w:hint="eastAsia" w:ascii="宋体" w:hAnsi="宋体" w:eastAsia="宋体"/>
                <w:color w:val="000000" w:themeColor="text1"/>
                <w:highlight w:val="none"/>
                <w14:textFill>
                  <w14:solidFill>
                    <w14:schemeClr w14:val="tx1"/>
                  </w14:solidFill>
                </w14:textFill>
              </w:rPr>
              <w:t>文件</w:t>
            </w:r>
            <w:r>
              <w:rPr>
                <w:rFonts w:hint="eastAsia" w:ascii="宋体" w:hAnsi="宋体" w:eastAsia="宋体"/>
                <w:color w:val="000000" w:themeColor="text1"/>
                <w:highlight w:val="none"/>
                <w:lang w:val="en-US"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的澄清、说明和补正</w:t>
            </w:r>
          </w:p>
        </w:tc>
        <w:tc>
          <w:tcPr>
            <w:tcW w:w="6804" w:type="dxa"/>
            <w:gridSpan w:val="2"/>
            <w:tcBorders>
              <w:top w:val="single" w:color="auto" w:sz="4" w:space="0"/>
              <w:left w:val="single" w:color="auto" w:sz="4" w:space="0"/>
              <w:bottom w:val="single" w:color="auto" w:sz="4" w:space="0"/>
              <w:right w:val="single" w:color="auto" w:sz="8" w:space="0"/>
            </w:tcBorders>
            <w:vAlign w:val="center"/>
          </w:tcPr>
          <w:p>
            <w:pPr>
              <w:pStyle w:val="15"/>
              <w:snapToGrid w:val="0"/>
              <w:spacing w:line="380" w:lineRule="exact"/>
              <w:ind w:firstLine="0" w:firstLineChars="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评标委员会通过电子交易平台发出通</w:t>
            </w:r>
            <w:r>
              <w:rPr>
                <w:rFonts w:hint="eastAsia" w:ascii="宋体" w:hAnsi="宋体"/>
                <w:color w:val="000000" w:themeColor="text1"/>
                <w:sz w:val="21"/>
                <w:szCs w:val="21"/>
                <w:highlight w:val="none"/>
                <w:lang w:val="en-US" w:eastAsia="zh-CN"/>
                <w14:textFill>
                  <w14:solidFill>
                    <w14:schemeClr w14:val="tx1"/>
                  </w14:solidFill>
                </w14:textFill>
              </w:rPr>
              <w:t>知</w:t>
            </w:r>
            <w:r>
              <w:rPr>
                <w:rFonts w:hint="eastAsia" w:ascii="宋体" w:hAnsi="宋体"/>
                <w:color w:val="000000" w:themeColor="text1"/>
                <w:sz w:val="21"/>
                <w:szCs w:val="21"/>
                <w:highlight w:val="none"/>
                <w14:textFill>
                  <w14:solidFill>
                    <w14:schemeClr w14:val="tx1"/>
                  </w14:solidFill>
                </w14:textFill>
              </w:rPr>
              <w:t>后</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710" w:type="dxa"/>
            <w:tcBorders>
              <w:top w:val="single" w:color="auto" w:sz="8" w:space="0"/>
              <w:left w:val="single" w:color="auto" w:sz="8" w:space="0"/>
              <w:bottom w:val="single" w:color="auto" w:sz="8" w:space="0"/>
            </w:tcBorders>
            <w:vAlign w:val="center"/>
          </w:tcPr>
          <w:p>
            <w:pPr>
              <w:pStyle w:val="15"/>
              <w:snapToGrid w:val="0"/>
              <w:spacing w:line="380" w:lineRule="exact"/>
              <w:ind w:firstLine="0" w:firstLineChars="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4</w:t>
            </w:r>
          </w:p>
        </w:tc>
        <w:tc>
          <w:tcPr>
            <w:tcW w:w="850" w:type="dxa"/>
            <w:tcBorders>
              <w:top w:val="single" w:color="auto" w:sz="8" w:space="0"/>
              <w:bottom w:val="single" w:color="auto" w:sz="8" w:space="0"/>
            </w:tcBorders>
            <w:vAlign w:val="center"/>
          </w:tcPr>
          <w:p>
            <w:pPr>
              <w:pStyle w:val="15"/>
              <w:snapToGrid w:val="0"/>
              <w:spacing w:line="380" w:lineRule="exact"/>
              <w:ind w:firstLine="0" w:firstLineChars="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w:t>
            </w:r>
          </w:p>
        </w:tc>
        <w:tc>
          <w:tcPr>
            <w:tcW w:w="1276" w:type="dxa"/>
            <w:tcBorders>
              <w:top w:val="single" w:color="auto" w:sz="4" w:space="0"/>
              <w:bottom w:val="single" w:color="auto" w:sz="4" w:space="0"/>
              <w:right w:val="single" w:color="auto" w:sz="4" w:space="0"/>
            </w:tcBorders>
            <w:vAlign w:val="center"/>
          </w:tcPr>
          <w:p>
            <w:pPr>
              <w:pStyle w:val="15"/>
              <w:snapToGrid w:val="0"/>
              <w:spacing w:line="380" w:lineRule="exact"/>
              <w:ind w:firstLine="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符合性检查和响应性评审</w:t>
            </w:r>
          </w:p>
          <w:p>
            <w:pPr>
              <w:pStyle w:val="15"/>
              <w:snapToGrid w:val="0"/>
              <w:spacing w:line="380" w:lineRule="exact"/>
              <w:ind w:firstLine="0" w:firstLineChars="0"/>
              <w:jc w:val="center"/>
              <w:rPr>
                <w:rFonts w:hint="eastAsia" w:ascii="宋体" w:hAnsi="宋体" w:eastAsia="宋体"/>
                <w:color w:val="000000" w:themeColor="text1"/>
                <w:highlight w:val="none"/>
                <w14:textFill>
                  <w14:solidFill>
                    <w14:schemeClr w14:val="tx1"/>
                  </w14:solidFill>
                </w14:textFill>
              </w:rPr>
            </w:pPr>
          </w:p>
        </w:tc>
        <w:tc>
          <w:tcPr>
            <w:tcW w:w="6804" w:type="dxa"/>
            <w:gridSpan w:val="2"/>
            <w:tcBorders>
              <w:top w:val="single" w:color="auto" w:sz="4" w:space="0"/>
              <w:left w:val="single" w:color="auto" w:sz="4" w:space="0"/>
              <w:bottom w:val="single" w:color="auto" w:sz="4" w:space="0"/>
              <w:right w:val="single" w:color="auto" w:sz="8" w:space="0"/>
            </w:tcBorders>
            <w:vAlign w:val="top"/>
          </w:tcPr>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（1）投标文件按照招标文件规定的格式填写，内容完整，关键字迹清晰可辨认</w:t>
            </w:r>
            <w:r>
              <w:rPr>
                <w:rStyle w:val="49"/>
                <w:rFonts w:ascii="宋体" w:hAnsi="宋体"/>
                <w:color w:val="000000" w:themeColor="text1"/>
                <w:sz w:val="21"/>
                <w:szCs w:val="21"/>
                <w:highlight w:val="none"/>
                <w14:textFill>
                  <w14:solidFill>
                    <w14:schemeClr w14:val="tx1"/>
                  </w14:solidFill>
                </w14:textFill>
              </w:rPr>
              <w:footnoteReference w:id="40"/>
            </w:r>
            <w:r>
              <w:rPr>
                <w:rFonts w:hint="eastAsia" w:ascii="宋体" w:hAnsi="宋体"/>
                <w:color w:val="000000" w:themeColor="text1"/>
                <w:sz w:val="21"/>
                <w:szCs w:val="21"/>
                <w:highlight w:val="none"/>
                <w14:textFill>
                  <w14:solidFill>
                    <w14:schemeClr w14:val="tx1"/>
                  </w14:solidFill>
                </w14:textFill>
              </w:rPr>
              <w:t>；</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（2）投标文件按规定盖章（签字）和签署；</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（3）由投标人法定代表人委托代理人签署的，随投标文件提供了合法、有效的授权委托书（与资格审查文件一致的可以不再提交）；</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（4）投标保证金符合招标文件规定；</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（5）投标文件中标明的投标人名称或者组织结构与资格审查时一致，拟担任本勘察项目负责人与资格审查时一致；</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（6）勘察服务期限未超过招标文件规定的期限；</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（7）勘察质量标准符合招标文件规定；</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（8）勘察费的投标报价金额（允许的浮动幅度值范围）未超过招标人公布的勘察费最高投标报价限价（允许的浮动幅度值范围）；投标人按招标文件要求对勘察费的全部费用做出完整报价；</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（9）投标有效期满足招标文件要求；</w:t>
            </w:r>
          </w:p>
          <w:p>
            <w:pPr>
              <w:pStyle w:val="57"/>
              <w:spacing w:line="380" w:lineRule="exact"/>
              <w:ind w:firstLine="457" w:firstLineChars="218"/>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（10）采用暗标形式的，投标文件中不得体现投标人名称、具体人名，不得体现投标人承担过的工程项目名称，不得体现其他可以判定投标人的标识或文字；</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（11）投标人不得递交两份或者多份内容不同的投标文件，但按照招标文件规定</w:t>
            </w:r>
            <w:r>
              <w:rPr>
                <w:rFonts w:hint="eastAsia" w:ascii="宋体" w:hAnsi="宋体"/>
                <w:color w:val="000000" w:themeColor="text1"/>
                <w:sz w:val="21"/>
                <w:szCs w:val="21"/>
                <w:highlight w:val="none"/>
                <w:lang w:eastAsia="zh-CN"/>
                <w14:textFill>
                  <w14:solidFill>
                    <w14:schemeClr w14:val="tx1"/>
                  </w14:solidFill>
                </w14:textFill>
              </w:rPr>
              <w:t>递交备选</w:t>
            </w:r>
            <w:r>
              <w:rPr>
                <w:rFonts w:hint="eastAsia" w:ascii="宋体" w:hAnsi="宋体"/>
                <w:color w:val="000000" w:themeColor="text1"/>
                <w:sz w:val="21"/>
                <w:szCs w:val="21"/>
                <w:highlight w:val="none"/>
                <w14:textFill>
                  <w14:solidFill>
                    <w14:schemeClr w14:val="tx1"/>
                  </w14:solidFill>
                </w14:textFill>
              </w:rPr>
              <w:t>投标方案的除外；</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（12）投标人未出现以他人的名义投标、串通投标、以行贿手段谋取中标或者以其他弄虚作假方式投标的；未出现反映投标文件个性特征的内容出现明显雷同的（若出现，相关投标均无效）；</w:t>
            </w:r>
          </w:p>
          <w:p>
            <w:pPr>
              <w:snapToGrid w:val="0"/>
              <w:spacing w:line="380" w:lineRule="exact"/>
              <w:ind w:firstLine="457" w:firstLineChars="218"/>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（13）评标委员会要求投标人对投标文件进行澄清和补正的，投标人的澄清和补正符合正文第</w:t>
            </w:r>
            <w:r>
              <w:rPr>
                <w:rFonts w:hint="eastAsia" w:ascii="宋体" w:hAnsi="宋体"/>
                <w:color w:val="000000" w:themeColor="text1"/>
                <w:sz w:val="21"/>
                <w:szCs w:val="21"/>
                <w:highlight w:val="none"/>
                <w:lang w:eastAsia="zh-CN"/>
                <w14:textFill>
                  <w14:solidFill>
                    <w14:schemeClr w14:val="tx1"/>
                  </w14:solidFill>
                </w14:textFill>
              </w:rPr>
              <w:t>6</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条规定；</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（14）未存在投标人须知第4.1.3款第（1）目或第（2）目或第（3）目规定的情形；</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（15）未采用除本单位企业</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以外的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（如本单位法定代表人或其他单位的</w:t>
            </w:r>
            <w:r>
              <w:rPr>
                <w:rFonts w:hint="eastAsia" w:ascii="宋体" w:hAnsi="宋体"/>
                <w:color w:val="000000" w:themeColor="text1"/>
                <w:sz w:val="21"/>
                <w:szCs w:val="21"/>
                <w:highlight w:val="none"/>
                <w:lang w:eastAsia="zh-CN"/>
                <w14:textFill>
                  <w14:solidFill>
                    <w14:schemeClr w14:val="tx1"/>
                  </w14:solidFill>
                </w14:textFill>
              </w:rPr>
              <w:t>CA证书</w:t>
            </w:r>
            <w:r>
              <w:rPr>
                <w:rFonts w:hint="eastAsia" w:ascii="宋体" w:hAnsi="宋体"/>
                <w:color w:val="000000" w:themeColor="text1"/>
                <w:sz w:val="21"/>
                <w:szCs w:val="21"/>
                <w:highlight w:val="none"/>
                <w14:textFill>
                  <w14:solidFill>
                    <w14:schemeClr w14:val="tx1"/>
                  </w14:solidFill>
                </w14:textFill>
              </w:rPr>
              <w:t>）加密投标文件；</w:t>
            </w:r>
          </w:p>
          <w:p>
            <w:pPr>
              <w:snapToGrid w:val="0"/>
              <w:spacing w:line="380" w:lineRule="exact"/>
              <w:ind w:firstLine="457" w:firstLineChars="218"/>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（16）投标文件记录的计算机硬件信息中，未存在一条及以上的计算机的网卡MAC地址、CPU序列号、数据存储设备序列号空值；</w:t>
            </w:r>
          </w:p>
          <w:p>
            <w:pPr>
              <w:snapToGrid w:val="0"/>
              <w:spacing w:line="380" w:lineRule="exact"/>
              <w:ind w:firstLine="457" w:firstLineChars="218"/>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（17）投标文件未附有评标委员会不能接受的条件或资料。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710" w:type="dxa"/>
            <w:vMerge w:val="restart"/>
            <w:tcBorders>
              <w:top w:val="single" w:color="auto" w:sz="8" w:space="0"/>
              <w:left w:val="single" w:color="auto" w:sz="8" w:space="0"/>
            </w:tcBorders>
            <w:vAlign w:val="center"/>
          </w:tcPr>
          <w:p>
            <w:pPr>
              <w:pStyle w:val="15"/>
              <w:snapToGrid w:val="0"/>
              <w:spacing w:line="380" w:lineRule="exact"/>
              <w:ind w:firstLine="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w:t>
            </w:r>
          </w:p>
        </w:tc>
        <w:tc>
          <w:tcPr>
            <w:tcW w:w="850" w:type="dxa"/>
            <w:vMerge w:val="restart"/>
            <w:tcBorders>
              <w:top w:val="single" w:color="auto" w:sz="8" w:space="0"/>
            </w:tcBorders>
            <w:vAlign w:val="center"/>
          </w:tcPr>
          <w:p>
            <w:pPr>
              <w:pStyle w:val="15"/>
              <w:snapToGrid w:val="0"/>
              <w:spacing w:line="380" w:lineRule="exact"/>
              <w:ind w:firstLine="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7</w:t>
            </w:r>
          </w:p>
        </w:tc>
        <w:tc>
          <w:tcPr>
            <w:tcW w:w="1276" w:type="dxa"/>
            <w:vMerge w:val="restart"/>
            <w:tcBorders>
              <w:top w:val="single" w:color="auto" w:sz="4" w:space="0"/>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技术文件详细评审标准</w:t>
            </w:r>
          </w:p>
        </w:tc>
        <w:tc>
          <w:tcPr>
            <w:tcW w:w="1559"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评审子目</w:t>
            </w:r>
          </w:p>
        </w:tc>
        <w:tc>
          <w:tcPr>
            <w:tcW w:w="5245" w:type="dxa"/>
            <w:tcBorders>
              <w:top w:val="single" w:color="auto" w:sz="4" w:space="0"/>
              <w:left w:val="single" w:color="auto" w:sz="4" w:space="0"/>
              <w:bottom w:val="single" w:color="auto" w:sz="4" w:space="0"/>
              <w:right w:val="single" w:color="auto" w:sz="8" w:space="0"/>
            </w:tcBorders>
          </w:tcPr>
          <w:p>
            <w:pPr>
              <w:snapToGrid w:val="0"/>
              <w:spacing w:line="380" w:lineRule="exact"/>
              <w:ind w:firstLine="457" w:firstLineChars="218"/>
              <w:jc w:val="center"/>
              <w:rPr>
                <w:rFonts w:ascii="宋体" w:hAns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评审内容和标准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left"/>
              <w:rPr>
                <w:rFonts w:ascii="宋体" w:hAnsi="宋体" w:cs="Arial"/>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勘察布孔方案和技术要求</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能够按照招标文件要求进行布设，满足相关规范要求；能结合拟建项目所处位置和性质特征进行优化布置。</w:t>
            </w:r>
          </w:p>
          <w:p>
            <w:pPr>
              <w:autoSpaceDE w:val="0"/>
              <w:autoSpaceDN w:val="0"/>
              <w:spacing w:line="380" w:lineRule="exact"/>
              <w:jc w:val="left"/>
              <w:rPr>
                <w:rFonts w:ascii="宋体" w:hAnsi="宋体" w:cs="Arial"/>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满足招标文件规定要求的提出对地质调查、勘探与取样、原位测试、工程物探、室内试验等工作技术要求并合理优化。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2" w:firstLineChars="6"/>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质量保证措施</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质量保证措施包括建立质量保证体系、编制勘察纲要质量控制措施、现场技术交底（含测量、钻探、取样、原位测试、物探等）工作提出质量保证措施、室内试验质量保证措施、内业资料整理及分析评价质量保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2" w:firstLineChars="6"/>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安全保证措施</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安全保证措施包括安全、职业健康管理体系、安全组织措施、安全技术措施、作业安全应急预案、文明施工保证措施等。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进度保证措施</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所制定的工期进度计划、进度内部保证措施和进度外部保证措施应满足项目要求。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0"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勘察实施工作组织</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所提出的勘察项目人员组成和投入的仪器设备应满足项目要求。</w:t>
            </w:r>
          </w:p>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对现场勘察包括调查钻探、取样、原位测试、工程物探等工作组织实施应满足项目要求。</w:t>
            </w:r>
          </w:p>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3</w:t>
            </w:r>
            <w:r>
              <w:rPr>
                <w:rFonts w:hint="eastAsia" w:asci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对室内试验工作组织实施应满足项目要求。</w:t>
            </w:r>
          </w:p>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4</w:t>
            </w:r>
            <w:r>
              <w:rPr>
                <w:rFonts w:hint="eastAsia" w:ascii="宋体"/>
                <w:color w:val="000000" w:themeColor="text1"/>
                <w:sz w:val="21"/>
                <w:szCs w:val="21"/>
                <w:highlight w:val="none"/>
                <w:lang w:val="en-US"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内业资料整理、综合分析、和报告编制组织实施应满足项目要求。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勘察工作服务</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提出在工程设计、施工过程中配合工程实施所提供的服务内容、响应时间包括配合与响应业主单位在整个项目建设过程中服务承诺、配合设计单位对工程设计阶段提出服务内容以及在施工过程中配合各有关参建单位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创新</w:t>
            </w:r>
            <w:r>
              <w:rPr>
                <w:rFonts w:hint="eastAsia" w:ascii="宋体"/>
                <w:color w:val="000000" w:themeColor="text1"/>
                <w:sz w:val="21"/>
                <w:szCs w:val="21"/>
                <w:highlight w:val="none"/>
                <w14:textFill>
                  <w14:solidFill>
                    <w14:schemeClr w14:val="tx1"/>
                  </w14:solidFill>
                </w14:textFill>
              </w:rPr>
              <w:t>勘察工作</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投标人根据项目实际情况提出项目勘察工作中</w:t>
            </w:r>
            <w:r>
              <w:rPr>
                <w:rFonts w:hint="eastAsia" w:ascii="宋体" w:hAnsi="宋体" w:cs="Arial"/>
                <w:color w:val="000000" w:themeColor="text1"/>
                <w:sz w:val="21"/>
                <w:szCs w:val="21"/>
                <w:highlight w:val="none"/>
                <w14:textFill>
                  <w14:solidFill>
                    <w14:schemeClr w14:val="tx1"/>
                  </w14:solidFill>
                </w14:textFill>
              </w:rPr>
              <w:t>创新思路的</w:t>
            </w:r>
            <w:r>
              <w:rPr>
                <w:rFonts w:hint="eastAsia" w:ascii="宋体"/>
                <w:color w:val="000000" w:themeColor="text1"/>
                <w:sz w:val="21"/>
                <w:szCs w:val="21"/>
                <w:highlight w:val="none"/>
                <w14:textFill>
                  <w14:solidFill>
                    <w14:schemeClr w14:val="tx1"/>
                  </w14:solidFill>
                </w14:textFill>
              </w:rPr>
              <w:t>科学性、可行性程度进行评审。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atLeast"/>
        </w:trPr>
        <w:tc>
          <w:tcPr>
            <w:tcW w:w="710" w:type="dxa"/>
            <w:vMerge w:val="continue"/>
            <w:tcBorders>
              <w:left w:val="single" w:color="auto" w:sz="8"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0" w:type="dxa"/>
            <w:vMerge w:val="continue"/>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276" w:type="dxa"/>
            <w:vMerge w:val="continue"/>
            <w:tcBorders>
              <w:right w:val="single" w:color="auto" w:sz="4" w:space="0"/>
            </w:tcBorders>
            <w:vAlign w:val="center"/>
          </w:tcPr>
          <w:p>
            <w:pPr>
              <w:pStyle w:val="15"/>
              <w:snapToGrid w:val="0"/>
              <w:spacing w:line="38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right w:val="single" w:color="auto" w:sz="4" w:space="0"/>
            </w:tcBorders>
            <w:vAlign w:val="center"/>
          </w:tcPr>
          <w:p>
            <w:pPr>
              <w:spacing w:line="380" w:lineRule="exact"/>
              <w:jc w:val="center"/>
              <w:rPr>
                <w:rFonts w:ascii="宋体" w:hAnsi="宋体" w:cs="Arial"/>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w:t>
            </w:r>
          </w:p>
        </w:tc>
        <w:tc>
          <w:tcPr>
            <w:tcW w:w="5245" w:type="dxa"/>
            <w:tcBorders>
              <w:top w:val="single" w:color="auto" w:sz="4" w:space="0"/>
              <w:left w:val="single" w:color="auto" w:sz="4" w:space="0"/>
              <w:right w:val="single" w:color="auto" w:sz="8" w:space="0"/>
            </w:tcBorders>
            <w:vAlign w:val="center"/>
          </w:tcPr>
          <w:p>
            <w:pPr>
              <w:autoSpaceDE w:val="0"/>
              <w:autoSpaceDN w:val="0"/>
              <w:spacing w:line="380" w:lineRule="exact"/>
              <w:jc w:val="center"/>
              <w:rPr>
                <w:rFonts w:ascii="宋体"/>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14:textFill>
                  <w14:solidFill>
                    <w14:schemeClr w14:val="tx1"/>
                  </w14:solidFill>
                </w14:textFill>
              </w:rPr>
              <w:t>……</w:t>
            </w:r>
          </w:p>
        </w:tc>
      </w:tr>
    </w:tbl>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366" w:name="_Toc106719365"/>
      <w:bookmarkStart w:id="1367" w:name="_Toc5213779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Lines="50" w:afterLines="50" w:line="360" w:lineRule="auto"/>
        <w:rPr>
          <w:rFonts w:hint="eastAsia" w:ascii="黑体" w:hAnsi="黑体" w:eastAsia="黑体"/>
          <w:b w:val="0"/>
          <w:color w:val="000000" w:themeColor="text1"/>
          <w:sz w:val="28"/>
          <w:szCs w:val="28"/>
          <w:highlight w:val="none"/>
          <w14:textFill>
            <w14:solidFill>
              <w14:schemeClr w14:val="tx1"/>
            </w14:solidFill>
          </w14:textFill>
        </w:rPr>
      </w:pPr>
      <w:r>
        <w:rPr>
          <w:rFonts w:hint="eastAsia" w:ascii="黑体" w:hAnsi="黑体" w:eastAsia="黑体"/>
          <w:b w:val="0"/>
          <w:color w:val="000000" w:themeColor="text1"/>
          <w:sz w:val="28"/>
          <w:szCs w:val="28"/>
          <w:highlight w:val="none"/>
          <w14:textFill>
            <w14:solidFill>
              <w14:schemeClr w14:val="tx1"/>
            </w14:solidFill>
          </w14:textFill>
        </w:rPr>
        <w:br w:type="page"/>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368" w:name="_Toc4478"/>
      <w:bookmarkStart w:id="1369" w:name="_Toc23805"/>
      <w:bookmarkStart w:id="1370" w:name="_Toc13613"/>
      <w:bookmarkStart w:id="1371" w:name="_Toc12530"/>
      <w:bookmarkStart w:id="1372" w:name="_Toc21978"/>
      <w:bookmarkStart w:id="1373" w:name="_Toc22123"/>
      <w:bookmarkStart w:id="1374" w:name="_Toc13573"/>
      <w:bookmarkStart w:id="1375" w:name="_Toc25423"/>
      <w:bookmarkStart w:id="1376" w:name="_Toc10203"/>
      <w:bookmarkStart w:id="1377" w:name="_Toc10838"/>
      <w:bookmarkStart w:id="1378" w:name="OLE_LINK1"/>
      <w:bookmarkStart w:id="1379" w:name="_Toc5014"/>
      <w:bookmarkStart w:id="1380" w:name="_Toc31317"/>
      <w:r>
        <w:rPr>
          <w:rFonts w:hint="eastAsia" w:ascii="黑体" w:hAnsi="黑体" w:eastAsia="黑体"/>
          <w:b w:val="0"/>
          <w:color w:val="000000" w:themeColor="text1"/>
          <w:sz w:val="28"/>
          <w:szCs w:val="28"/>
          <w:highlight w:val="none"/>
          <w14:textFill>
            <w14:solidFill>
              <w14:schemeClr w14:val="tx1"/>
            </w14:solidFill>
          </w14:textFill>
        </w:rPr>
        <w:t>评标办法正文</w:t>
      </w:r>
      <w:bookmarkEnd w:id="1366"/>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381" w:name="_Toc19725"/>
      <w:bookmarkStart w:id="1382" w:name="_Toc106719366"/>
      <w:bookmarkStart w:id="1383" w:name="_Toc17267"/>
      <w:bookmarkStart w:id="1384" w:name="_Toc15091"/>
      <w:bookmarkStart w:id="1385" w:name="_Toc29192"/>
      <w:bookmarkStart w:id="1386" w:name="_Toc8722"/>
      <w:bookmarkStart w:id="1387" w:name="_Toc21608"/>
      <w:bookmarkStart w:id="1388" w:name="_Toc20919"/>
      <w:bookmarkStart w:id="1389" w:name="_Toc21903"/>
      <w:bookmarkStart w:id="1390" w:name="_Toc20557"/>
      <w:bookmarkStart w:id="1391" w:name="_Toc23175"/>
      <w:bookmarkStart w:id="1392" w:name="_Toc28060"/>
      <w:bookmarkStart w:id="1393" w:name="_Toc27568"/>
      <w:r>
        <w:rPr>
          <w:rFonts w:hint="eastAsia" w:ascii="黑体" w:hAnsi="黑体" w:eastAsia="黑体"/>
          <w:b w:val="0"/>
          <w:color w:val="000000" w:themeColor="text1"/>
          <w:sz w:val="28"/>
          <w:szCs w:val="28"/>
          <w:highlight w:val="none"/>
          <w14:textFill>
            <w14:solidFill>
              <w14:schemeClr w14:val="tx1"/>
            </w14:solidFill>
          </w14:textFill>
        </w:rPr>
        <w:t>1.评标方法</w:t>
      </w:r>
      <w:bookmarkEnd w:id="1367"/>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cs="宋体"/>
          <w:color w:val="000000" w:themeColor="text1"/>
          <w:sz w:val="21"/>
          <w:szCs w:val="21"/>
          <w:highlight w:val="none"/>
          <w14:textFill>
            <w14:solidFill>
              <w14:schemeClr w14:val="tx1"/>
            </w14:solidFill>
          </w14:textFill>
        </w:rPr>
        <w:t>本次评标采用“定性评审法”。</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u w:val="none"/>
          <w14:textFill>
            <w14:solidFill>
              <w14:schemeClr w14:val="tx1"/>
            </w14:solidFill>
          </w14:textFill>
        </w:rPr>
        <w:t>评标委员会由招标人组建，负责资格审查、确定入围投标人、对入围投标人的投标文件进行定性评审，将未被否决投标且注册人员满足其所持资质证书对应的资质标准要求的入围投标人确定为定标候选人，并为后续建设单位定标、签订合同提供技术咨询意见。</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kern w:val="1"/>
          <w:sz w:val="21"/>
          <w:szCs w:val="21"/>
          <w:highlight w:val="none"/>
          <w14:textFill>
            <w14:solidFill>
              <w14:schemeClr w14:val="tx1"/>
            </w14:solidFill>
          </w14:textFill>
        </w:rPr>
        <w:t>评</w:t>
      </w:r>
      <w:r>
        <w:rPr>
          <w:rFonts w:hint="eastAsia" w:ascii="宋体" w:hAnsi="宋体" w:cs="宋体"/>
          <w:color w:val="000000" w:themeColor="text1"/>
          <w:kern w:val="1"/>
          <w:sz w:val="21"/>
          <w:szCs w:val="21"/>
          <w:highlight w:val="none"/>
          <w:lang w:val="en-US" w:eastAsia="zh-CN"/>
          <w14:textFill>
            <w14:solidFill>
              <w14:schemeClr w14:val="tx1"/>
            </w14:solidFill>
          </w14:textFill>
        </w:rPr>
        <w:t>标</w:t>
      </w:r>
      <w:r>
        <w:rPr>
          <w:rFonts w:hint="eastAsia" w:ascii="宋体" w:hAnsi="宋体" w:cs="宋体"/>
          <w:color w:val="000000" w:themeColor="text1"/>
          <w:kern w:val="1"/>
          <w:sz w:val="21"/>
          <w:szCs w:val="21"/>
          <w:highlight w:val="none"/>
          <w14:textFill>
            <w14:solidFill>
              <w14:schemeClr w14:val="tx1"/>
            </w14:solidFill>
          </w14:textFill>
        </w:rPr>
        <w:t>工作规则</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1.评标采用保密方式进行。公开开标后，凡属于对投标文件的审查、澄清、评价和比较的有关资料及有关定标候选人的推荐情况、与评标有关的其他任何情况均应严格保密，都不应向投标人或与该过程无公务关系的其他人泄露。</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2.在投标文件的评审和比较、定标候选人推荐过程中，投标人任何试图影响或干扰招标人和评标委员会的评标活动，都可能导致其投标被拒绝。</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3.对技术文件的评审采用暗标式评审，即电子评标系统对各投标人的技术文件进行匿名编号后，交给评标委员会进行评审，技术文件评审汇总意见提交后电子评标系统自动解密对应各编号的投标人。</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4.评标应严格按照招标文件中规定的评标办法进行，除了有关法律、法规以及国家标准中规定的强制性条文外，不得引用招标文件规定以外的办法进行评审。</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5.招标文件条款存在含义不清或者相互矛盾的，评标委员会应当针对相应条款作出有利于相应投标人的结论。</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6.评标报告应当由评标委员会全体成员签字（电子签名）。评委的评审意见不一致时，应以投票形式进行表决，并按照少数服从多数的原则处理。评审结束后，评标委员会应当对否决投标或不采信投标人说明的情况在评标报告中作详细说明。</w:t>
      </w:r>
    </w:p>
    <w:p>
      <w:pPr>
        <w:keepNext w:val="0"/>
        <w:keepLines w:val="0"/>
        <w:pageBreakBefore w:val="0"/>
        <w:widowControl w:val="0"/>
        <w:tabs>
          <w:tab w:val="left" w:pos="510"/>
        </w:tabs>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7.评标过程中，评标委员会成员有回避事由、擅离职守或者因健康等原因不能继续评标的，招标人有权更换。被更换的评标委员会成员作出的评审结论无效，由更换后的评标委员会成员重新进行评审。</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394" w:name="_Toc26909"/>
      <w:bookmarkStart w:id="1395" w:name="_Toc21418"/>
      <w:bookmarkStart w:id="1396" w:name="_Toc106719367"/>
      <w:bookmarkStart w:id="1397" w:name="_Toc22187"/>
      <w:bookmarkStart w:id="1398" w:name="_Toc5039"/>
      <w:bookmarkStart w:id="1399" w:name="_Toc15084"/>
      <w:bookmarkStart w:id="1400" w:name="_Toc12464"/>
      <w:bookmarkStart w:id="1401" w:name="_Toc519"/>
      <w:bookmarkStart w:id="1402" w:name="_Toc30392"/>
      <w:bookmarkStart w:id="1403" w:name="_Toc12540"/>
      <w:bookmarkStart w:id="1404" w:name="_Toc11591"/>
      <w:bookmarkStart w:id="1405" w:name="_Toc2244"/>
      <w:bookmarkStart w:id="1406" w:name="_Toc52137802"/>
      <w:bookmarkStart w:id="1407" w:name="_Toc15344"/>
      <w:bookmarkStart w:id="1408" w:name="_Toc52137800"/>
      <w:r>
        <w:rPr>
          <w:rFonts w:hint="eastAsia" w:ascii="黑体" w:hAnsi="黑体" w:eastAsia="黑体"/>
          <w:b w:val="0"/>
          <w:color w:val="000000" w:themeColor="text1"/>
          <w:sz w:val="28"/>
          <w:szCs w:val="28"/>
          <w:highlight w:val="none"/>
          <w14:textFill>
            <w14:solidFill>
              <w14:schemeClr w14:val="tx1"/>
            </w14:solidFill>
          </w14:textFill>
        </w:rPr>
        <w:t>2.评标程序</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pPr>
        <w:keepNext w:val="0"/>
        <w:keepLines w:val="0"/>
        <w:pageBreakBefore w:val="0"/>
        <w:widowControl w:val="0"/>
        <w:tabs>
          <w:tab w:val="left" w:pos="510"/>
          <w:tab w:val="left" w:pos="2800"/>
        </w:tabs>
        <w:kinsoku/>
        <w:wordWrap/>
        <w:overflowPunct/>
        <w:topLinePunct w:val="0"/>
        <w:autoSpaceDE/>
        <w:autoSpaceDN/>
        <w:bidi w:val="0"/>
        <w:adjustRightInd/>
        <w:snapToGrid/>
        <w:spacing w:line="360" w:lineRule="auto"/>
        <w:ind w:firstLine="422" w:firstLineChars="201"/>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本招标项目评标将按以下程序进行：</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bidi="ar-SA"/>
          <w14:textFill>
            <w14:solidFill>
              <w14:schemeClr w14:val="tx1"/>
            </w14:solidFill>
          </w14:textFill>
        </w:rPr>
        <w:t>2.1.</w:t>
      </w:r>
      <w:r>
        <w:rPr>
          <w:rFonts w:hint="eastAsia" w:ascii="宋体" w:hAnsi="宋体" w:eastAsia="宋体" w:cs="Times New Roman"/>
          <w:color w:val="000000" w:themeColor="text1"/>
          <w:sz w:val="21"/>
          <w:szCs w:val="21"/>
          <w:highlight w:val="none"/>
          <w14:textFill>
            <w14:solidFill>
              <w14:schemeClr w14:val="tx1"/>
            </w14:solidFill>
          </w14:textFill>
        </w:rPr>
        <w:t>组建评标委员会</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bidi="ar-SA"/>
          <w14:textFill>
            <w14:solidFill>
              <w14:schemeClr w14:val="tx1"/>
            </w14:solidFill>
          </w14:textFill>
        </w:rPr>
        <w:t>2.2.</w:t>
      </w:r>
      <w:r>
        <w:rPr>
          <w:rFonts w:hint="eastAsia" w:ascii="宋体" w:hAnsi="宋体" w:eastAsia="宋体" w:cs="Times New Roman"/>
          <w:color w:val="000000" w:themeColor="text1"/>
          <w:sz w:val="21"/>
          <w:szCs w:val="21"/>
          <w:highlight w:val="none"/>
          <w14:textFill>
            <w14:solidFill>
              <w14:schemeClr w14:val="tx1"/>
            </w14:solidFill>
          </w14:textFill>
        </w:rPr>
        <w:t>评标前准备工作</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2.3.</w:t>
      </w:r>
      <w:r>
        <w:rPr>
          <w:rFonts w:hint="eastAsia" w:ascii="宋体" w:hAnsi="宋体" w:eastAsia="宋体" w:cs="Times New Roman"/>
          <w:color w:val="000000" w:themeColor="text1"/>
          <w:sz w:val="21"/>
          <w:szCs w:val="21"/>
          <w:highlight w:val="none"/>
          <w14:textFill>
            <w14:solidFill>
              <w14:schemeClr w14:val="tx1"/>
            </w14:solidFill>
          </w14:textFill>
        </w:rPr>
        <w:t>资格审查及确定入围投标人</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（1）</w:t>
      </w:r>
      <w:r>
        <w:rPr>
          <w:rFonts w:hint="eastAsia" w:ascii="宋体" w:hAnsi="宋体" w:cs="Times New Roman"/>
          <w:color w:val="000000" w:themeColor="text1"/>
          <w:sz w:val="21"/>
          <w:szCs w:val="21"/>
          <w:highlight w:val="none"/>
          <w:lang w:val="en-US" w:eastAsia="zh-CN"/>
          <w14:textFill>
            <w14:solidFill>
              <w14:schemeClr w14:val="tx1"/>
            </w14:solidFill>
          </w14:textFill>
        </w:rPr>
        <w:t>资格审查</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kern w:val="0"/>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2</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kern w:val="0"/>
          <w:sz w:val="21"/>
          <w:szCs w:val="21"/>
          <w:highlight w:val="none"/>
          <w:lang w:val="en-US" w:eastAsia="zh-CN"/>
          <w14:textFill>
            <w14:solidFill>
              <w14:schemeClr w14:val="tx1"/>
            </w14:solidFill>
          </w14:textFill>
        </w:rPr>
        <w:t>资格审查</w:t>
      </w:r>
      <w:r>
        <w:rPr>
          <w:rFonts w:hint="eastAsia" w:ascii="宋体" w:hAnsi="宋体" w:cs="Times New Roman"/>
          <w:color w:val="000000" w:themeColor="text1"/>
          <w:kern w:val="0"/>
          <w:sz w:val="21"/>
          <w:szCs w:val="21"/>
          <w:highlight w:val="none"/>
          <w14:textFill>
            <w14:solidFill>
              <w14:schemeClr w14:val="tx1"/>
            </w14:solidFill>
          </w14:textFill>
        </w:rPr>
        <w:t>文件的澄清、说明和补正</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3</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cs="Times New Roman"/>
          <w:color w:val="000000" w:themeColor="text1"/>
          <w:sz w:val="21"/>
          <w:szCs w:val="21"/>
          <w:highlight w:val="none"/>
          <w14:textFill>
            <w14:solidFill>
              <w14:schemeClr w14:val="tx1"/>
            </w14:solidFill>
          </w14:textFill>
        </w:rPr>
        <w:t>确定入围投标人</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val="en-US" w:eastAsia="zh-CN"/>
          <w14:textFill>
            <w14:solidFill>
              <w14:schemeClr w14:val="tx1"/>
            </w14:solidFill>
          </w14:textFill>
        </w:rPr>
        <w:t>2.4.定性评审</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1</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符合性和响应性评审</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2</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详细评审</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3</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投标文件的澄清</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澄清</w:t>
      </w:r>
      <w:r>
        <w:rPr>
          <w:rFonts w:hint="eastAsia" w:ascii="宋体" w:hAnsi="宋体" w:cs="宋体"/>
          <w:b w:val="0"/>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val="0"/>
          <w:color w:val="000000" w:themeColor="text1"/>
          <w:sz w:val="21"/>
          <w:szCs w:val="21"/>
          <w:highlight w:val="none"/>
          <w14:textFill>
            <w14:solidFill>
              <w14:schemeClr w14:val="tx1"/>
            </w14:solidFill>
          </w14:textFill>
        </w:rPr>
        <w:t>和补正</w:t>
      </w:r>
    </w:p>
    <w:p>
      <w:pPr>
        <w:keepNext w:val="0"/>
        <w:keepLines w:val="0"/>
        <w:pageBreakBefore w:val="0"/>
        <w:widowControl w:val="0"/>
        <w:numPr>
          <w:ilvl w:val="0"/>
          <w:numId w:val="0"/>
        </w:numPr>
        <w:tabs>
          <w:tab w:val="left" w:pos="510"/>
          <w:tab w:val="left" w:pos="2800"/>
        </w:tabs>
        <w:kinsoku/>
        <w:wordWrap/>
        <w:overflowPunct/>
        <w:topLinePunct w:val="0"/>
        <w:autoSpaceDE/>
        <w:autoSpaceDN/>
        <w:bidi w:val="0"/>
        <w:adjustRightInd/>
        <w:snapToGrid/>
        <w:spacing w:line="360" w:lineRule="auto"/>
        <w:ind w:left="0" w:firstLine="420" w:firstLineChars="200"/>
        <w:jc w:val="left"/>
        <w:textAlignment w:val="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cs="Times New Roman"/>
          <w:color w:val="000000" w:themeColor="text1"/>
          <w:sz w:val="21"/>
          <w:szCs w:val="21"/>
          <w:highlight w:val="none"/>
          <w:lang w:val="en-US" w:eastAsia="zh-CN" w:bidi="ar-SA"/>
          <w14:textFill>
            <w14:solidFill>
              <w14:schemeClr w14:val="tx1"/>
            </w14:solidFill>
          </w14:textFill>
        </w:rPr>
        <w:t>4</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推荐定标候选人</w:t>
      </w:r>
    </w:p>
    <w:p>
      <w:pPr>
        <w:keepNext/>
        <w:keepLines/>
        <w:widowControl w:val="0"/>
        <w:adjustRightInd w:val="0"/>
        <w:spacing w:before="260" w:beforeLines="50" w:after="260" w:afterLines="50" w:line="360" w:lineRule="auto"/>
        <w:jc w:val="both"/>
        <w:textAlignment w:val="baseline"/>
        <w:outlineLvl w:val="2"/>
        <w:rPr>
          <w:rFonts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1409" w:name="_Toc1897"/>
      <w:bookmarkStart w:id="1410" w:name="_Toc22934"/>
      <w:bookmarkStart w:id="1411" w:name="_Toc16378"/>
      <w:bookmarkStart w:id="1412" w:name="_Toc30861"/>
      <w:bookmarkStart w:id="1413" w:name="_Toc6540"/>
      <w:bookmarkStart w:id="1414" w:name="_Toc9640"/>
      <w:bookmarkStart w:id="1415" w:name="_Toc9191"/>
      <w:bookmarkStart w:id="1416" w:name="_Toc2424"/>
      <w:bookmarkStart w:id="1417" w:name="_Toc19808"/>
      <w:bookmarkStart w:id="1418" w:name="_Toc10863"/>
      <w:bookmarkStart w:id="1419" w:name="_Toc8683"/>
      <w:bookmarkStart w:id="1420" w:name="_Toc3176"/>
      <w:bookmarkStart w:id="1421" w:name="_Toc106719368"/>
      <w:bookmarkStart w:id="1422" w:name="_Toc52137804"/>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3.评标委员会的组建及职责</w:t>
      </w:r>
      <w:bookmarkEnd w:id="1409"/>
      <w:bookmarkEnd w:id="1410"/>
      <w:bookmarkEnd w:id="1411"/>
      <w:bookmarkEnd w:id="1412"/>
      <w:bookmarkEnd w:id="1413"/>
      <w:bookmarkEnd w:id="1414"/>
      <w:bookmarkEnd w:id="1415"/>
      <w:bookmarkEnd w:id="1416"/>
      <w:bookmarkEnd w:id="1417"/>
      <w:bookmarkEnd w:id="1418"/>
      <w:bookmarkEnd w:id="1419"/>
      <w:bookmarkEnd w:id="1420"/>
    </w:p>
    <w:bookmarkEnd w:id="1408"/>
    <w:bookmarkEnd w:id="1421"/>
    <w:bookmarkEnd w:id="1422"/>
    <w:p>
      <w:pPr>
        <w:tabs>
          <w:tab w:val="left" w:pos="567"/>
        </w:tabs>
        <w:adjustRightInd/>
        <w:spacing w:line="360" w:lineRule="auto"/>
        <w:ind w:firstLine="422" w:firstLineChars="201"/>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.1.招标人依法组建的评标委员会负责评标，具体确定方式见评标办法前附表第1项。</w:t>
      </w:r>
    </w:p>
    <w:p>
      <w:pPr>
        <w:pStyle w:val="19"/>
        <w:spacing w:after="0" w:line="360" w:lineRule="auto"/>
        <w:ind w:firstLine="424" w:firstLineChars="202"/>
        <w:jc w:val="left"/>
        <w:rPr>
          <w:rFonts w:ascii="宋体" w:hAnsi="宋体" w:cstheme="minorBidi"/>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w:t>
      </w:r>
      <w:r>
        <w:rPr>
          <w:rFonts w:ascii="宋体" w:hAnsi="宋体" w:cstheme="minorBidi"/>
          <w:color w:val="000000" w:themeColor="text1"/>
          <w:kern w:val="2"/>
          <w:sz w:val="21"/>
          <w:szCs w:val="21"/>
          <w:highlight w:val="none"/>
          <w14:textFill>
            <w14:solidFill>
              <w14:schemeClr w14:val="tx1"/>
            </w14:solidFill>
          </w14:textFill>
        </w:rPr>
        <w:t>评标委员会成员有下列情形之一的，应当回避：</w:t>
      </w:r>
    </w:p>
    <w:p>
      <w:pPr>
        <w:pStyle w:val="19"/>
        <w:spacing w:after="0" w:line="360" w:lineRule="auto"/>
        <w:ind w:firstLine="424" w:firstLineChars="202"/>
        <w:jc w:val="left"/>
        <w:rPr>
          <w:rFonts w:ascii="宋体" w:hAnsi="宋体" w:cstheme="minorBidi"/>
          <w:color w:val="000000" w:themeColor="text1"/>
          <w:kern w:val="2"/>
          <w:sz w:val="21"/>
          <w:szCs w:val="21"/>
          <w:highlight w:val="none"/>
          <w14:textFill>
            <w14:solidFill>
              <w14:schemeClr w14:val="tx1"/>
            </w14:solidFill>
          </w14:textFill>
        </w:rPr>
      </w:pPr>
      <w:r>
        <w:rPr>
          <w:rFonts w:ascii="宋体" w:hAnsi="宋体" w:cstheme="minorBidi"/>
          <w:color w:val="000000" w:themeColor="text1"/>
          <w:kern w:val="2"/>
          <w:sz w:val="21"/>
          <w:szCs w:val="21"/>
          <w:highlight w:val="none"/>
          <w14:textFill>
            <w14:solidFill>
              <w14:schemeClr w14:val="tx1"/>
            </w14:solidFill>
          </w14:textFill>
        </w:rPr>
        <w:t>（1）投标人或投标人主要负责人的近亲属；</w:t>
      </w:r>
    </w:p>
    <w:p>
      <w:pPr>
        <w:pStyle w:val="19"/>
        <w:spacing w:after="0" w:line="360" w:lineRule="auto"/>
        <w:ind w:firstLine="424" w:firstLineChars="202"/>
        <w:jc w:val="left"/>
        <w:rPr>
          <w:rFonts w:ascii="宋体" w:hAnsi="宋体" w:cstheme="minorBidi"/>
          <w:color w:val="000000" w:themeColor="text1"/>
          <w:kern w:val="2"/>
          <w:sz w:val="21"/>
          <w:szCs w:val="21"/>
          <w:highlight w:val="none"/>
          <w14:textFill>
            <w14:solidFill>
              <w14:schemeClr w14:val="tx1"/>
            </w14:solidFill>
          </w14:textFill>
        </w:rPr>
      </w:pPr>
      <w:r>
        <w:rPr>
          <w:rFonts w:ascii="宋体" w:hAnsi="宋体" w:cstheme="minorBidi"/>
          <w:color w:val="000000" w:themeColor="text1"/>
          <w:kern w:val="2"/>
          <w:sz w:val="21"/>
          <w:szCs w:val="21"/>
          <w:highlight w:val="none"/>
          <w14:textFill>
            <w14:solidFill>
              <w14:schemeClr w14:val="tx1"/>
            </w14:solidFill>
          </w14:textFill>
        </w:rPr>
        <w:t>（2）项目主管部门或者行政监督部门的人员；</w:t>
      </w:r>
    </w:p>
    <w:p>
      <w:pPr>
        <w:pStyle w:val="19"/>
        <w:spacing w:after="0" w:line="360" w:lineRule="auto"/>
        <w:ind w:firstLine="424" w:firstLineChars="202"/>
        <w:jc w:val="left"/>
        <w:rPr>
          <w:rFonts w:ascii="宋体" w:hAnsi="宋体" w:cstheme="minorBidi"/>
          <w:color w:val="000000" w:themeColor="text1"/>
          <w:kern w:val="2"/>
          <w:sz w:val="21"/>
          <w:szCs w:val="21"/>
          <w:highlight w:val="none"/>
          <w14:textFill>
            <w14:solidFill>
              <w14:schemeClr w14:val="tx1"/>
            </w14:solidFill>
          </w14:textFill>
        </w:rPr>
      </w:pPr>
      <w:r>
        <w:rPr>
          <w:rFonts w:ascii="宋体" w:hAnsi="宋体" w:cstheme="minorBidi"/>
          <w:color w:val="000000" w:themeColor="text1"/>
          <w:kern w:val="2"/>
          <w:sz w:val="21"/>
          <w:szCs w:val="21"/>
          <w:highlight w:val="none"/>
          <w14:textFill>
            <w14:solidFill>
              <w14:schemeClr w14:val="tx1"/>
            </w14:solidFill>
          </w14:textFill>
        </w:rPr>
        <w:t>（3）与投标人有经济利益关系，可能影响对投标公正评审的；</w:t>
      </w:r>
    </w:p>
    <w:p>
      <w:pPr>
        <w:pStyle w:val="19"/>
        <w:spacing w:after="0" w:line="360" w:lineRule="auto"/>
        <w:ind w:firstLine="424" w:firstLineChars="202"/>
        <w:jc w:val="left"/>
        <w:rPr>
          <w:rFonts w:ascii="宋体" w:hAnsi="宋体" w:cstheme="minorBidi"/>
          <w:color w:val="000000" w:themeColor="text1"/>
          <w:kern w:val="2"/>
          <w:sz w:val="21"/>
          <w:szCs w:val="21"/>
          <w:highlight w:val="none"/>
          <w14:textFill>
            <w14:solidFill>
              <w14:schemeClr w14:val="tx1"/>
            </w14:solidFill>
          </w14:textFill>
        </w:rPr>
      </w:pPr>
      <w:r>
        <w:rPr>
          <w:rFonts w:ascii="宋体" w:hAnsi="宋体" w:cstheme="minorBidi"/>
          <w:color w:val="000000" w:themeColor="text1"/>
          <w:kern w:val="2"/>
          <w:sz w:val="21"/>
          <w:szCs w:val="21"/>
          <w:highlight w:val="none"/>
          <w14:textFill>
            <w14:solidFill>
              <w14:schemeClr w14:val="tx1"/>
            </w14:solidFill>
          </w14:textFill>
        </w:rPr>
        <w:t>（4）曾因在招标、评标以及其他与招标投标有关活动中从事违法行为而受过行政处罚或刑事处罚的；</w:t>
      </w:r>
    </w:p>
    <w:p>
      <w:pPr>
        <w:tabs>
          <w:tab w:val="left" w:pos="567"/>
        </w:tabs>
        <w:adjustRightInd/>
        <w:spacing w:line="360" w:lineRule="auto"/>
        <w:ind w:firstLine="422" w:firstLineChars="201"/>
        <w:jc w:val="left"/>
        <w:textAlignment w:val="auto"/>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（5）与投标人有其他利害关系。</w:t>
      </w:r>
    </w:p>
    <w:p>
      <w:pPr>
        <w:tabs>
          <w:tab w:val="left" w:pos="567"/>
        </w:tabs>
        <w:adjustRightInd/>
        <w:spacing w:line="360" w:lineRule="auto"/>
        <w:ind w:firstLine="422" w:firstLineChars="201"/>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评标委员会采用推举或者随机抽取方式确定1名专家评委担任</w:t>
      </w:r>
      <w:r>
        <w:rPr>
          <w:rFonts w:hint="eastAsia" w:ascii="宋体" w:hAnsi="宋体"/>
          <w:color w:val="000000" w:themeColor="text1"/>
          <w:sz w:val="21"/>
          <w:szCs w:val="21"/>
          <w:highlight w:val="none"/>
          <w:lang w:eastAsia="zh-CN"/>
          <w14:textFill>
            <w14:solidFill>
              <w14:schemeClr w14:val="tx1"/>
            </w14:solidFill>
          </w14:textFill>
        </w:rPr>
        <w:t>评标委员会负责人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评标</w:t>
      </w:r>
      <w:r>
        <w:rPr>
          <w:rFonts w:hint="eastAsia" w:ascii="宋体" w:hAnsi="宋体"/>
          <w:color w:val="000000" w:themeColor="text1"/>
          <w:sz w:val="21"/>
          <w:szCs w:val="21"/>
          <w:highlight w:val="none"/>
          <w14:textFill>
            <w14:solidFill>
              <w14:schemeClr w14:val="tx1"/>
            </w14:solidFill>
          </w14:textFill>
        </w:rPr>
        <w:t>委</w:t>
      </w:r>
      <w:r>
        <w:rPr>
          <w:rFonts w:hint="eastAsia" w:ascii="宋体" w:hAnsi="宋体" w:cs="宋体"/>
          <w:color w:val="000000" w:themeColor="text1"/>
          <w:sz w:val="21"/>
          <w:szCs w:val="21"/>
          <w:highlight w:val="none"/>
          <w14:textFill>
            <w14:solidFill>
              <w14:schemeClr w14:val="tx1"/>
            </w14:solidFill>
          </w14:textFill>
        </w:rPr>
        <w:t>员</w:t>
      </w:r>
      <w:r>
        <w:rPr>
          <w:rFonts w:hint="eastAsia" w:ascii="宋体" w:hAnsi="宋体"/>
          <w:color w:val="000000" w:themeColor="text1"/>
          <w:sz w:val="21"/>
          <w:szCs w:val="21"/>
          <w:highlight w:val="none"/>
          <w14:textFill>
            <w14:solidFill>
              <w14:schemeClr w14:val="tx1"/>
            </w14:solidFill>
          </w14:textFill>
        </w:rPr>
        <w:t>会应根据招标文件规定的评标办法，对投标文件进行评审。</w:t>
      </w:r>
      <w:r>
        <w:rPr>
          <w:rFonts w:hint="eastAsia" w:ascii="宋体" w:hAnsi="宋体" w:eastAsia="宋体" w:cs="宋体"/>
          <w:color w:val="000000" w:themeColor="text1"/>
          <w:sz w:val="21"/>
          <w:szCs w:val="21"/>
          <w:highlight w:val="none"/>
          <w14:textFill>
            <w14:solidFill>
              <w14:schemeClr w14:val="tx1"/>
            </w14:solidFill>
          </w14:textFill>
        </w:rPr>
        <w:t>评标</w:t>
      </w:r>
      <w:r>
        <w:rPr>
          <w:rFonts w:hint="eastAsia" w:ascii="宋体" w:hAnsi="宋体" w:eastAsia="宋体" w:cs="Times New Roman"/>
          <w:color w:val="000000" w:themeColor="text1"/>
          <w:sz w:val="21"/>
          <w:szCs w:val="21"/>
          <w:highlight w:val="none"/>
          <w14:textFill>
            <w14:solidFill>
              <w14:schemeClr w14:val="tx1"/>
            </w14:solidFill>
          </w14:textFill>
        </w:rPr>
        <w:t>委</w:t>
      </w:r>
      <w:r>
        <w:rPr>
          <w:rFonts w:hint="eastAsia" w:ascii="宋体" w:hAnsi="宋体" w:eastAsia="宋体" w:cs="宋体"/>
          <w:color w:val="000000" w:themeColor="text1"/>
          <w:sz w:val="21"/>
          <w:szCs w:val="21"/>
          <w:highlight w:val="none"/>
          <w14:textFill>
            <w14:solidFill>
              <w14:schemeClr w14:val="tx1"/>
            </w14:solidFill>
          </w14:textFill>
        </w:rPr>
        <w:t>员</w:t>
      </w:r>
      <w:r>
        <w:rPr>
          <w:rFonts w:hint="eastAsia" w:ascii="宋体" w:hAnsi="宋体" w:eastAsia="宋体" w:cs="Times New Roman"/>
          <w:color w:val="000000" w:themeColor="text1"/>
          <w:sz w:val="21"/>
          <w:szCs w:val="21"/>
          <w:highlight w:val="none"/>
          <w14:textFill>
            <w14:solidFill>
              <w14:schemeClr w14:val="tx1"/>
            </w14:solidFill>
          </w14:textFill>
        </w:rPr>
        <w:t>会应根据招标文件规定的评标办法，对投标文件进行评审。</w:t>
      </w:r>
    </w:p>
    <w:p>
      <w:pPr>
        <w:pStyle w:val="6"/>
        <w:spacing w:beforeLines="50" w:afterLines="50" w:line="360" w:lineRule="auto"/>
        <w:ind w:firstLine="0" w:firstLineChars="0"/>
        <w:rPr>
          <w:rFonts w:ascii="宋体" w:hAnsi="宋体"/>
          <w:b w:val="0"/>
          <w:color w:val="000000" w:themeColor="text1"/>
          <w:sz w:val="21"/>
          <w:szCs w:val="21"/>
          <w:highlight w:val="none"/>
          <w14:textFill>
            <w14:solidFill>
              <w14:schemeClr w14:val="tx1"/>
            </w14:solidFill>
          </w14:textFill>
        </w:rPr>
      </w:pPr>
      <w:bookmarkStart w:id="1423" w:name="_Toc24975"/>
      <w:bookmarkStart w:id="1424" w:name="_Toc4655"/>
      <w:bookmarkStart w:id="1425" w:name="_Toc2396"/>
      <w:bookmarkStart w:id="1426" w:name="_Toc6521"/>
      <w:bookmarkStart w:id="1427" w:name="_Toc30922"/>
      <w:bookmarkStart w:id="1428" w:name="_Toc5385"/>
      <w:bookmarkStart w:id="1429" w:name="_Toc21629"/>
      <w:bookmarkStart w:id="1430" w:name="_Toc11142"/>
      <w:bookmarkStart w:id="1431" w:name="_Toc21998"/>
      <w:bookmarkStart w:id="1432" w:name="_Toc52137803"/>
      <w:bookmarkStart w:id="1433" w:name="_Toc3793"/>
      <w:bookmarkStart w:id="1434" w:name="_Toc106719372"/>
      <w:bookmarkStart w:id="1435" w:name="_Toc10160"/>
      <w:bookmarkStart w:id="1436" w:name="_Toc28396"/>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4.评标前准备工作</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pPr>
        <w:tabs>
          <w:tab w:val="left" w:pos="567"/>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4.1.评标委员会成员在评标前应当认真研究招标文件，至少应了解和熟悉本招标的目标、招标范围、性质、主要技术要求、标准、商务条款以及评标程序、方法和在评标过程中考虑的相关因素。</w:t>
      </w:r>
    </w:p>
    <w:p>
      <w:pPr>
        <w:tabs>
          <w:tab w:val="left" w:pos="567"/>
        </w:tabs>
        <w:adjustRightInd/>
        <w:spacing w:line="360" w:lineRule="auto"/>
        <w:ind w:firstLine="422" w:firstLineChars="201"/>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4.2.评标委员会应当对电子交易平台提供的各项数据、分析结果进行审查、确认，核对电子交易平台按照招标文件设置的评标参数是否与招标文件（含招标文件的澄清、修改）规定的评标办法一致。如有不一致，应要求招标人修正评标参数，经评标委员会核实无误后方可评标。</w:t>
      </w:r>
    </w:p>
    <w:p>
      <w:pPr>
        <w:pStyle w:val="6"/>
        <w:spacing w:beforeLines="50" w:afterLines="50" w:line="360" w:lineRule="auto"/>
        <w:ind w:firstLine="0" w:firstLineChars="0"/>
        <w:rPr>
          <w:rFonts w:hint="eastAsia" w:ascii="宋体" w:hAnsi="宋体"/>
          <w:b w:val="0"/>
          <w:color w:val="000000" w:themeColor="text1"/>
          <w:sz w:val="21"/>
          <w:szCs w:val="21"/>
          <w:highlight w:val="none"/>
          <w14:textFill>
            <w14:solidFill>
              <w14:schemeClr w14:val="tx1"/>
            </w14:solidFill>
          </w14:textFill>
        </w:rPr>
      </w:pPr>
      <w:bookmarkStart w:id="1437" w:name="_Toc32482"/>
      <w:bookmarkStart w:id="1438" w:name="_Toc7685"/>
      <w:bookmarkStart w:id="1439" w:name="_Toc24027"/>
      <w:bookmarkStart w:id="1440" w:name="_Toc5382"/>
      <w:bookmarkStart w:id="1441" w:name="_Toc29798"/>
      <w:bookmarkStart w:id="1442" w:name="_Toc25841"/>
      <w:bookmarkStart w:id="1443" w:name="_Toc30356"/>
      <w:bookmarkStart w:id="1444" w:name="_Toc10085"/>
      <w:bookmarkStart w:id="1445" w:name="_Toc9682"/>
      <w:bookmarkStart w:id="1446" w:name="_Toc2451"/>
      <w:bookmarkStart w:id="1447" w:name="_Toc28752"/>
      <w:bookmarkStart w:id="1448" w:name="_Toc22215"/>
      <w:bookmarkStart w:id="1449" w:name="_Toc106719373"/>
      <w:bookmarkStart w:id="1450" w:name="_Toc52137805"/>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5.资格审查及确定入围投标人</w:t>
      </w:r>
      <w:bookmarkEnd w:id="1437"/>
      <w:bookmarkEnd w:id="1438"/>
      <w:bookmarkEnd w:id="1439"/>
      <w:bookmarkEnd w:id="1440"/>
      <w:bookmarkEnd w:id="1441"/>
      <w:bookmarkEnd w:id="1442"/>
      <w:bookmarkEnd w:id="1443"/>
      <w:bookmarkEnd w:id="1444"/>
      <w:bookmarkEnd w:id="1445"/>
      <w:bookmarkEnd w:id="1446"/>
      <w:bookmarkEnd w:id="1447"/>
      <w:bookmarkEnd w:id="1448"/>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资格审查</w:t>
      </w:r>
    </w:p>
    <w:p>
      <w:pPr>
        <w:keepNext w:val="0"/>
        <w:keepLines w:val="0"/>
        <w:pageBreakBefore w:val="0"/>
        <w:widowControl/>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.1.1.评标委员会按照评标办法前附表第2项的规定对投标人进行资格审查，</w:t>
      </w:r>
      <w:r>
        <w:rPr>
          <w:rFonts w:hint="eastAsia" w:ascii="宋体" w:hAnsi="宋体" w:cs="宋体"/>
          <w:color w:val="000000" w:themeColor="text1"/>
          <w:sz w:val="21"/>
          <w:szCs w:val="21"/>
          <w:highlight w:val="none"/>
          <w14:textFill>
            <w14:solidFill>
              <w14:schemeClr w14:val="tx1"/>
            </w14:solidFill>
          </w14:textFill>
        </w:rPr>
        <w:t>有一项不符合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“资格审查标准”</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kern w:val="0"/>
          <w:sz w:val="21"/>
          <w:szCs w:val="21"/>
          <w:highlight w:val="none"/>
          <w14:textFill>
            <w14:solidFill>
              <w14:schemeClr w14:val="tx1"/>
            </w14:solidFill>
          </w14:textFill>
        </w:rPr>
        <w:t>资格审查不合格</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作</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否决投标</w:t>
      </w:r>
      <w:r>
        <w:rPr>
          <w:rFonts w:hint="eastAsia" w:ascii="宋体" w:hAnsi="宋体" w:cs="宋体"/>
          <w:color w:val="000000" w:themeColor="text1"/>
          <w:kern w:val="0"/>
          <w:sz w:val="21"/>
          <w:szCs w:val="21"/>
          <w:highlight w:val="none"/>
          <w:lang w:val="en-US" w:eastAsia="zh-CN"/>
          <w14:textFill>
            <w14:solidFill>
              <w14:schemeClr w14:val="tx1"/>
            </w14:solidFill>
          </w14:textFill>
        </w:rPr>
        <w:t>处理</w:t>
      </w:r>
      <w:r>
        <w:rPr>
          <w:rFonts w:hint="eastAsia" w:ascii="宋体" w:hAnsi="宋体" w:cs="宋体"/>
          <w:color w:val="000000" w:themeColor="text1"/>
          <w:kern w:val="0"/>
          <w:sz w:val="21"/>
          <w:szCs w:val="21"/>
          <w:highlight w:val="none"/>
          <w14:textFill>
            <w14:solidFill>
              <w14:schemeClr w14:val="tx1"/>
            </w14:solidFill>
          </w14:textFill>
        </w:rPr>
        <w:t>，不得进入确定入围投标人程序</w:t>
      </w:r>
      <w:r>
        <w:rPr>
          <w:rFonts w:hint="eastAsia" w:ascii="宋体" w:hAnsi="宋体" w:cs="宋体"/>
          <w:color w:val="000000" w:themeColor="text1"/>
          <w:sz w:val="21"/>
          <w:szCs w:val="21"/>
          <w:highlight w:val="none"/>
          <w14:textFill>
            <w14:solidFill>
              <w14:schemeClr w14:val="tx1"/>
            </w14:solidFill>
          </w14:textFill>
        </w:rPr>
        <w:t>。</w:t>
      </w:r>
    </w:p>
    <w:p>
      <w:pPr>
        <w:keepNext w:val="0"/>
        <w:keepLines w:val="0"/>
        <w:pageBreakBefore w:val="0"/>
        <w:widowControl/>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5.1.2.</w:t>
      </w:r>
      <w:r>
        <w:rPr>
          <w:rFonts w:hint="eastAsia" w:ascii="宋体" w:hAnsi="宋体" w:cs="宋体"/>
          <w:color w:val="000000" w:themeColor="text1"/>
          <w:kern w:val="0"/>
          <w:sz w:val="21"/>
          <w:szCs w:val="21"/>
          <w:highlight w:val="none"/>
          <w:lang w:val="en-US" w:eastAsia="zh-CN"/>
          <w14:textFill>
            <w14:solidFill>
              <w14:schemeClr w14:val="tx1"/>
            </w14:solidFill>
          </w14:textFill>
        </w:rPr>
        <w:t>评标委员会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未按照招标文件规定的程序或审查办法进行评审且影响入围投标人结果的，应当按照招标文件规定的程序或审查办法进行纠正。</w:t>
      </w:r>
    </w:p>
    <w:p>
      <w:pPr>
        <w:keepNext w:val="0"/>
        <w:keepLines w:val="0"/>
        <w:pageBreakBefore w:val="0"/>
        <w:widowControl/>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5.1.3.</w:t>
      </w:r>
      <w:r>
        <w:rPr>
          <w:rFonts w:hint="eastAsia" w:ascii="宋体" w:hAnsi="宋体" w:cs="宋体"/>
          <w:color w:val="000000" w:themeColor="text1"/>
          <w:sz w:val="21"/>
          <w:szCs w:val="21"/>
          <w:highlight w:val="none"/>
          <w14:textFill>
            <w14:solidFill>
              <w14:schemeClr w14:val="tx1"/>
            </w14:solidFill>
          </w14:textFill>
        </w:rPr>
        <w:t>资格审查合格的投标人数量少于3家的，招标人应当重新招标。</w:t>
      </w:r>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5.2.资格</w:t>
      </w:r>
      <w:r>
        <w:rPr>
          <w:rFonts w:hint="eastAsia" w:ascii="宋体" w:hAnsi="宋体" w:eastAsia="宋体" w:cs="宋体"/>
          <w:color w:val="000000" w:themeColor="text1"/>
          <w:kern w:val="0"/>
          <w:sz w:val="21"/>
          <w:szCs w:val="21"/>
          <w:highlight w:val="none"/>
          <w14:textFill>
            <w14:solidFill>
              <w14:schemeClr w14:val="tx1"/>
            </w14:solidFill>
          </w14:textFill>
        </w:rPr>
        <w:t>文件的澄清、说明和补正</w:t>
      </w:r>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5.2.1.</w:t>
      </w:r>
      <w:r>
        <w:rPr>
          <w:rFonts w:hint="eastAsia" w:ascii="宋体" w:hAnsi="宋体" w:cs="宋体"/>
          <w:color w:val="000000" w:themeColor="text1"/>
          <w:kern w:val="0"/>
          <w:sz w:val="21"/>
          <w:szCs w:val="21"/>
          <w:highlight w:val="none"/>
          <w14:textFill>
            <w14:solidFill>
              <w14:schemeClr w14:val="tx1"/>
            </w14:solidFill>
          </w14:textFill>
        </w:rPr>
        <w:t>在</w:t>
      </w:r>
      <w:r>
        <w:rPr>
          <w:rFonts w:hint="eastAsia" w:ascii="宋体" w:hAnsi="宋体" w:cs="宋体"/>
          <w:color w:val="000000" w:themeColor="text1"/>
          <w:kern w:val="0"/>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0"/>
          <w:sz w:val="21"/>
          <w:szCs w:val="21"/>
          <w:highlight w:val="none"/>
          <w14:textFill>
            <w14:solidFill>
              <w14:schemeClr w14:val="tx1"/>
            </w14:solidFill>
          </w14:textFill>
        </w:rPr>
        <w:t>过程中，评标委员会可以通过电子交易平台要求投标人对所提交的</w:t>
      </w:r>
      <w:r>
        <w:rPr>
          <w:rFonts w:hint="eastAsia" w:ascii="宋体" w:hAnsi="宋体" w:cs="宋体"/>
          <w:color w:val="000000" w:themeColor="text1"/>
          <w:kern w:val="0"/>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0"/>
          <w:sz w:val="21"/>
          <w:szCs w:val="21"/>
          <w:highlight w:val="none"/>
          <w14:textFill>
            <w14:solidFill>
              <w14:schemeClr w14:val="tx1"/>
            </w14:solidFill>
          </w14:textFill>
        </w:rPr>
        <w:t>文件中不明确的内容进行书面澄清或说明，或者对细微偏差进行补正。</w:t>
      </w: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kern w:val="0"/>
          <w:sz w:val="21"/>
          <w:szCs w:val="21"/>
          <w:highlight w:val="none"/>
          <w14:textFill>
            <w14:solidFill>
              <w14:schemeClr w14:val="tx1"/>
            </w14:solidFill>
          </w14:textFill>
        </w:rPr>
        <w:t>通过电子交易平台</w:t>
      </w:r>
      <w:r>
        <w:rPr>
          <w:rFonts w:hint="eastAsia" w:ascii="宋体" w:hAnsi="宋体" w:cs="宋体"/>
          <w:color w:val="000000" w:themeColor="text1"/>
          <w:sz w:val="21"/>
          <w:szCs w:val="21"/>
          <w:highlight w:val="none"/>
          <w14:textFill>
            <w14:solidFill>
              <w14:schemeClr w14:val="tx1"/>
            </w14:solidFill>
          </w14:textFill>
        </w:rPr>
        <w:t>回复澄清、说明、补正，时限要求详见评标办法前附表第</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kern w:val="0"/>
          <w:sz w:val="21"/>
          <w:szCs w:val="21"/>
          <w:highlight w:val="none"/>
          <w14:textFill>
            <w14:solidFill>
              <w14:schemeClr w14:val="tx1"/>
            </w14:solidFill>
          </w14:textFill>
        </w:rPr>
        <w:t>评标委员会不接受投标人主动提出的澄清、说明或补正。</w:t>
      </w:r>
      <w:r>
        <w:rPr>
          <w:rFonts w:hint="eastAsia" w:ascii="宋体" w:hAnsi="宋体" w:eastAsia="宋体" w:cs="宋体"/>
          <w:color w:val="000000" w:themeColor="text1"/>
          <w:kern w:val="0"/>
          <w:sz w:val="21"/>
          <w:szCs w:val="21"/>
          <w:highlight w:val="none"/>
          <w14:textFill>
            <w14:solidFill>
              <w14:schemeClr w14:val="tx1"/>
            </w14:solidFill>
          </w14:textFill>
        </w:rPr>
        <w:t>澄清、说明和补正</w:t>
      </w:r>
      <w:r>
        <w:rPr>
          <w:rFonts w:hint="eastAsia" w:ascii="宋体" w:hAnsi="宋体" w:cs="宋体"/>
          <w:color w:val="000000" w:themeColor="text1"/>
          <w:kern w:val="0"/>
          <w:sz w:val="21"/>
          <w:szCs w:val="21"/>
          <w:highlight w:val="none"/>
          <w14:textFill>
            <w14:solidFill>
              <w14:schemeClr w14:val="tx1"/>
            </w14:solidFill>
          </w14:textFill>
        </w:rPr>
        <w:t>格式见附件3-</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、3-</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w:t>
      </w:r>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5.2.2.</w:t>
      </w:r>
      <w:r>
        <w:rPr>
          <w:rFonts w:hint="eastAsia" w:ascii="宋体" w:hAnsi="宋体" w:cs="宋体"/>
          <w:color w:val="000000" w:themeColor="text1"/>
          <w:kern w:val="0"/>
          <w:sz w:val="21"/>
          <w:szCs w:val="21"/>
          <w:highlight w:val="none"/>
          <w14:textFill>
            <w14:solidFill>
              <w14:schemeClr w14:val="tx1"/>
            </w14:solidFill>
          </w14:textFill>
        </w:rPr>
        <w:t>澄清、说明和补正不得改变投标文件的实质性内容。投标人的书面澄清、说明和补正属于</w:t>
      </w:r>
      <w:r>
        <w:rPr>
          <w:rFonts w:hint="eastAsia" w:ascii="宋体" w:hAnsi="宋体" w:cs="宋体"/>
          <w:color w:val="000000" w:themeColor="text1"/>
          <w:kern w:val="0"/>
          <w:sz w:val="21"/>
          <w:szCs w:val="21"/>
          <w:highlight w:val="none"/>
          <w:lang w:val="en-US" w:eastAsia="zh-CN"/>
          <w14:textFill>
            <w14:solidFill>
              <w14:schemeClr w14:val="tx1"/>
            </w14:solidFill>
          </w14:textFill>
        </w:rPr>
        <w:t>资格审查</w:t>
      </w:r>
      <w:r>
        <w:rPr>
          <w:rFonts w:hint="eastAsia" w:ascii="宋体" w:hAnsi="宋体" w:cs="宋体"/>
          <w:color w:val="000000" w:themeColor="text1"/>
          <w:kern w:val="0"/>
          <w:sz w:val="21"/>
          <w:szCs w:val="21"/>
          <w:highlight w:val="none"/>
          <w14:textFill>
            <w14:solidFill>
              <w14:schemeClr w14:val="tx1"/>
            </w14:solidFill>
          </w14:textFill>
        </w:rPr>
        <w:t>文件的组成部分。</w:t>
      </w:r>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5.2.3.</w:t>
      </w:r>
      <w:r>
        <w:rPr>
          <w:rFonts w:hint="eastAsia" w:ascii="宋体" w:hAnsi="宋体" w:cs="宋体"/>
          <w:color w:val="000000" w:themeColor="text1"/>
          <w:kern w:val="0"/>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5.2.4.投标人</w:t>
      </w:r>
      <w:r>
        <w:rPr>
          <w:rFonts w:hint="eastAsia" w:ascii="宋体" w:hAnsi="宋体" w:cs="宋体"/>
          <w:color w:val="000000" w:themeColor="text1"/>
          <w:kern w:val="0"/>
          <w:sz w:val="21"/>
          <w:szCs w:val="21"/>
          <w:highlight w:val="none"/>
          <w14:textFill>
            <w14:solidFill>
              <w14:schemeClr w14:val="tx1"/>
            </w14:solidFill>
          </w14:textFill>
        </w:rPr>
        <w:t>不按评标委员会要求</w:t>
      </w:r>
      <w:r>
        <w:rPr>
          <w:rFonts w:hint="eastAsia" w:ascii="宋体" w:hAnsi="宋体" w:cs="宋体"/>
          <w:color w:val="000000" w:themeColor="text1"/>
          <w:kern w:val="0"/>
          <w:sz w:val="21"/>
          <w:szCs w:val="21"/>
          <w:highlight w:val="none"/>
          <w:lang w:val="en-US" w:eastAsia="zh-CN"/>
          <w14:textFill>
            <w14:solidFill>
              <w14:schemeClr w14:val="tx1"/>
            </w14:solidFill>
          </w14:textFill>
        </w:rPr>
        <w:t>对资格文件</w:t>
      </w:r>
      <w:r>
        <w:rPr>
          <w:rFonts w:hint="eastAsia" w:ascii="宋体" w:hAnsi="宋体" w:cs="宋体"/>
          <w:color w:val="000000" w:themeColor="text1"/>
          <w:kern w:val="0"/>
          <w:sz w:val="21"/>
          <w:szCs w:val="21"/>
          <w:highlight w:val="none"/>
          <w14:textFill>
            <w14:solidFill>
              <w14:schemeClr w14:val="tx1"/>
            </w14:solidFill>
          </w14:textFill>
        </w:rPr>
        <w:t>澄清、说明或补正的</w:t>
      </w:r>
      <w:r>
        <w:rPr>
          <w:rFonts w:hint="eastAsia" w:ascii="宋体" w:hAnsi="宋体" w:cs="宋体"/>
          <w:color w:val="000000" w:themeColor="text1"/>
          <w:kern w:val="0"/>
          <w:sz w:val="21"/>
          <w:szCs w:val="21"/>
          <w:highlight w:val="none"/>
          <w:u w:val="none"/>
          <w14:textFill>
            <w14:solidFill>
              <w14:schemeClr w14:val="tx1"/>
            </w14:solidFill>
          </w14:textFill>
        </w:rPr>
        <w:t>，或无法作出合理说明的，</w:t>
      </w:r>
      <w:r>
        <w:rPr>
          <w:rFonts w:hint="eastAsia" w:ascii="宋体" w:hAnsi="宋体" w:cs="宋体"/>
          <w:color w:val="000000" w:themeColor="text1"/>
          <w:sz w:val="21"/>
          <w:szCs w:val="21"/>
          <w:highlight w:val="none"/>
          <w14:textFill>
            <w14:solidFill>
              <w14:schemeClr w14:val="tx1"/>
            </w14:solidFill>
          </w14:textFill>
        </w:rPr>
        <w:t>评标委员会应当</w:t>
      </w:r>
      <w:r>
        <w:rPr>
          <w:rFonts w:hint="eastAsia" w:ascii="宋体" w:hAnsi="宋体" w:cs="宋体"/>
          <w:color w:val="000000" w:themeColor="text1"/>
          <w:sz w:val="21"/>
          <w:szCs w:val="21"/>
          <w:highlight w:val="none"/>
          <w:lang w:val="en-US" w:eastAsia="zh-CN"/>
          <w14:textFill>
            <w14:solidFill>
              <w14:schemeClr w14:val="tx1"/>
            </w14:solidFill>
          </w14:textFill>
        </w:rPr>
        <w:t>作出资格审查不合格的审查结论</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5.3.</w:t>
      </w:r>
      <w:r>
        <w:rPr>
          <w:rFonts w:hint="eastAsia" w:ascii="宋体" w:hAnsi="宋体" w:cs="宋体"/>
          <w:color w:val="000000" w:themeColor="text1"/>
          <w:sz w:val="21"/>
          <w:szCs w:val="21"/>
          <w:highlight w:val="none"/>
          <w14:textFill>
            <w14:solidFill>
              <w14:schemeClr w14:val="tx1"/>
            </w14:solidFill>
          </w14:textFill>
        </w:rPr>
        <w:t>确定入围投标人</w:t>
      </w:r>
    </w:p>
    <w:p>
      <w:pPr>
        <w:keepNext w:val="0"/>
        <w:keepLines w:val="0"/>
        <w:pageBreakBefore w:val="0"/>
        <w:numPr>
          <w:ilvl w:val="0"/>
          <w:numId w:val="0"/>
        </w:numPr>
        <w:tabs>
          <w:tab w:val="left" w:pos="510"/>
          <w:tab w:val="left" w:pos="2800"/>
        </w:tabs>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本招标项目采用合格制方式确定入围投标人。评标委员会对投标人是否满足招标文件的资格条件要求进行审查，满足资格条件要求的投标人均</w:t>
      </w:r>
      <w:r>
        <w:rPr>
          <w:rFonts w:hint="eastAsia" w:ascii="宋体" w:hAnsi="宋体" w:cs="宋体"/>
          <w:color w:val="000000" w:themeColor="text1"/>
          <w:kern w:val="0"/>
          <w:sz w:val="21"/>
          <w:szCs w:val="21"/>
          <w:highlight w:val="none"/>
          <w:lang w:val="en-US" w:eastAsia="zh-CN"/>
          <w14:textFill>
            <w14:solidFill>
              <w14:schemeClr w14:val="tx1"/>
            </w14:solidFill>
          </w14:textFill>
        </w:rPr>
        <w:t>确定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为入围投标人。</w:t>
      </w:r>
    </w:p>
    <w:p>
      <w:pPr>
        <w:pStyle w:val="6"/>
        <w:spacing w:beforeLines="50" w:afterLines="50" w:line="360" w:lineRule="auto"/>
        <w:ind w:firstLine="0" w:firstLineChars="0"/>
        <w:rPr>
          <w:rFonts w:hint="eastAsia" w:ascii="黑体" w:hAnsi="黑体" w:eastAsia="黑体" w:cs="Times New Roman"/>
          <w:b w:val="0"/>
          <w:color w:val="000000" w:themeColor="text1"/>
          <w:sz w:val="28"/>
          <w:szCs w:val="28"/>
          <w:highlight w:val="none"/>
          <w14:textFill>
            <w14:solidFill>
              <w14:schemeClr w14:val="tx1"/>
            </w14:solidFill>
          </w14:textFill>
        </w:rPr>
      </w:pPr>
      <w:bookmarkStart w:id="1451" w:name="_Toc24739"/>
      <w:bookmarkStart w:id="1452" w:name="_Toc30314"/>
      <w:bookmarkStart w:id="1453" w:name="_Toc5628"/>
      <w:bookmarkStart w:id="1454" w:name="_Toc28010"/>
      <w:bookmarkStart w:id="1455" w:name="_Toc10932"/>
      <w:bookmarkStart w:id="1456" w:name="_Toc25005"/>
      <w:bookmarkStart w:id="1457" w:name="_Toc30815"/>
      <w:bookmarkStart w:id="1458" w:name="_Toc26194"/>
      <w:bookmarkStart w:id="1459" w:name="_Toc6937"/>
      <w:bookmarkStart w:id="1460" w:name="_Toc1000"/>
      <w:bookmarkStart w:id="1461" w:name="_Toc13651"/>
      <w:bookmarkStart w:id="1462" w:name="_Toc15144"/>
      <w:r>
        <w:rPr>
          <w:rFonts w:hint="eastAsia" w:ascii="黑体" w:hAnsi="黑体" w:eastAsia="黑体" w:cs="Times New Roman"/>
          <w:b w:val="0"/>
          <w:color w:val="000000" w:themeColor="text1"/>
          <w:sz w:val="28"/>
          <w:szCs w:val="28"/>
          <w:highlight w:val="none"/>
          <w:lang w:val="en-US" w:eastAsia="zh-CN"/>
          <w14:textFill>
            <w14:solidFill>
              <w14:schemeClr w14:val="tx1"/>
            </w14:solidFill>
          </w14:textFill>
        </w:rPr>
        <w:t>6</w:t>
      </w:r>
      <w:r>
        <w:rPr>
          <w:rFonts w:hint="eastAsia" w:ascii="黑体" w:hAnsi="黑体" w:eastAsia="黑体" w:cs="Times New Roman"/>
          <w:b w:val="0"/>
          <w:color w:val="000000" w:themeColor="text1"/>
          <w:sz w:val="28"/>
          <w:szCs w:val="28"/>
          <w:highlight w:val="none"/>
          <w14:textFill>
            <w14:solidFill>
              <w14:schemeClr w14:val="tx1"/>
            </w14:solidFill>
          </w14:textFill>
        </w:rPr>
        <w:t>.</w:t>
      </w:r>
      <w:r>
        <w:rPr>
          <w:rFonts w:hint="eastAsia" w:ascii="黑体" w:hAnsi="黑体" w:eastAsia="黑体" w:cs="Times New Roman"/>
          <w:b w:val="0"/>
          <w:color w:val="000000" w:themeColor="text1"/>
          <w:sz w:val="28"/>
          <w:szCs w:val="28"/>
          <w:highlight w:val="none"/>
          <w:lang w:val="en-US" w:eastAsia="zh-CN"/>
          <w14:textFill>
            <w14:solidFill>
              <w14:schemeClr w14:val="tx1"/>
            </w14:solidFill>
          </w14:textFill>
        </w:rPr>
        <w:t>定性评审</w:t>
      </w:r>
      <w:bookmarkEnd w:id="1451"/>
      <w:bookmarkEnd w:id="1452"/>
      <w:bookmarkEnd w:id="1453"/>
      <w:bookmarkEnd w:id="1454"/>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color w:val="000000" w:themeColor="text1"/>
          <w:kern w:val="0"/>
          <w:sz w:val="21"/>
          <w:szCs w:val="21"/>
          <w:highlight w:val="none"/>
          <w:lang w:val="en-US" w:eastAsia="zh-CN"/>
          <w14:textFill>
            <w14:solidFill>
              <w14:schemeClr w14:val="tx1"/>
            </w14:solidFill>
          </w14:textFill>
        </w:rPr>
        <w:t>6.1</w:t>
      </w:r>
      <w:r>
        <w:rPr>
          <w:rFonts w:hint="eastAsia" w:ascii="宋体" w:hAnsi="宋体" w:cs="宋体"/>
          <w:b w:val="0"/>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符合性和响应性评审</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评标委员会按照评标办法前附表第</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14:textFill>
            <w14:solidFill>
              <w14:schemeClr w14:val="tx1"/>
            </w14:solidFill>
          </w14:textFill>
        </w:rPr>
        <w:t>项的规定对入围投标人的投标文件进行符合性检查和响应性评审，只有全部通过符合性检查和响应性评审的投标人，才能进入详细评审，否则应否决其投标。</w:t>
      </w:r>
      <w:bookmarkEnd w:id="1449"/>
      <w:bookmarkEnd w:id="1450"/>
      <w:bookmarkEnd w:id="1455"/>
      <w:bookmarkEnd w:id="1456"/>
      <w:bookmarkEnd w:id="1457"/>
      <w:bookmarkEnd w:id="1458"/>
      <w:bookmarkEnd w:id="1459"/>
      <w:bookmarkEnd w:id="1460"/>
      <w:bookmarkEnd w:id="1461"/>
      <w:bookmarkEnd w:id="1462"/>
      <w:bookmarkStart w:id="1463" w:name="_Toc7580"/>
      <w:bookmarkStart w:id="1464" w:name="_Toc12780"/>
      <w:bookmarkStart w:id="1465" w:name="_Toc14909"/>
      <w:bookmarkStart w:id="1466" w:name="_Toc32135"/>
      <w:bookmarkStart w:id="1467" w:name="_Toc52137806"/>
      <w:bookmarkStart w:id="1468" w:name="_Toc106719374"/>
      <w:bookmarkStart w:id="1469" w:name="_Toc15385"/>
      <w:bookmarkStart w:id="1470" w:name="_Toc24323"/>
      <w:bookmarkStart w:id="1471" w:name="_Toc22407"/>
      <w:bookmarkStart w:id="1472" w:name="_Toc30550"/>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b w:val="0"/>
          <w:color w:val="000000" w:themeColor="text1"/>
          <w:kern w:val="0"/>
          <w:sz w:val="21"/>
          <w:szCs w:val="21"/>
          <w:highlight w:val="none"/>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6.2</w:t>
      </w:r>
      <w:r>
        <w:rPr>
          <w:rFonts w:hint="eastAsia" w:ascii="宋体" w:hAnsi="宋体" w:eastAsia="宋体" w:cs="宋体"/>
          <w:b w:val="0"/>
          <w:color w:val="000000" w:themeColor="text1"/>
          <w:kern w:val="0"/>
          <w:sz w:val="21"/>
          <w:szCs w:val="21"/>
          <w:highlight w:val="none"/>
          <w14:textFill>
            <w14:solidFill>
              <w14:schemeClr w14:val="tx1"/>
            </w14:solidFill>
          </w14:textFill>
        </w:rPr>
        <w:t>.详细评审</w:t>
      </w:r>
      <w:bookmarkEnd w:id="1463"/>
      <w:bookmarkEnd w:id="1464"/>
      <w:bookmarkEnd w:id="1465"/>
      <w:bookmarkEnd w:id="1466"/>
      <w:bookmarkEnd w:id="1467"/>
      <w:bookmarkEnd w:id="1468"/>
      <w:bookmarkEnd w:id="1469"/>
      <w:bookmarkEnd w:id="1470"/>
      <w:bookmarkEnd w:id="1471"/>
      <w:bookmarkEnd w:id="1472"/>
    </w:p>
    <w:p>
      <w:pPr>
        <w:numPr>
          <w:ilvl w:val="0"/>
          <w:numId w:val="0"/>
        </w:numPr>
        <w:tabs>
          <w:tab w:val="left" w:pos="510"/>
          <w:tab w:val="left" w:pos="2800"/>
        </w:tabs>
        <w:autoSpaceDE/>
        <w:autoSpaceDN/>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6.2</w:t>
      </w:r>
      <w:r>
        <w:rPr>
          <w:rFonts w:hint="eastAsia" w:ascii="宋体" w:hAnsi="宋体" w:cs="宋体"/>
          <w:color w:val="000000" w:themeColor="text1"/>
          <w:kern w:val="0"/>
          <w:sz w:val="21"/>
          <w:szCs w:val="21"/>
          <w:highlight w:val="none"/>
          <w14:textFill>
            <w14:solidFill>
              <w14:schemeClr w14:val="tx1"/>
            </w14:solidFill>
          </w14:textFill>
        </w:rPr>
        <w:t>.1.评标委员会应结合招标项目的特点和招标文件的要求，在认真研究、充分比较技术文件的基础上，对各投标人编制的技术文件内容进行详细评审，</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分析技术文件的优缺点，为后续建设单位定标、签订合同提供技术咨询意见，技术咨询意见不得少于50字</w:t>
      </w:r>
      <w:r>
        <w:rPr>
          <w:rFonts w:hint="eastAsia" w:ascii="宋体" w:hAnsi="宋体" w:cs="宋体"/>
          <w:color w:val="000000" w:themeColor="text1"/>
          <w:kern w:val="0"/>
          <w:sz w:val="21"/>
          <w:szCs w:val="21"/>
          <w:highlight w:val="none"/>
          <w14:textFill>
            <w14:solidFill>
              <w14:schemeClr w14:val="tx1"/>
            </w14:solidFill>
          </w14:textFill>
        </w:rPr>
        <w:t>。</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6.2</w:t>
      </w:r>
      <w:r>
        <w:rPr>
          <w:rFonts w:hint="eastAsia" w:ascii="宋体" w:hAnsi="宋体" w:cs="宋体"/>
          <w:color w:val="000000" w:themeColor="text1"/>
          <w:kern w:val="0"/>
          <w:sz w:val="21"/>
          <w:szCs w:val="21"/>
          <w:highlight w:val="none"/>
          <w:lang w:val="en-US"/>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2.技术文件详细评审标准见评标办法前附表第</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color w:val="000000" w:themeColor="text1"/>
          <w:kern w:val="0"/>
          <w:sz w:val="21"/>
          <w:szCs w:val="21"/>
          <w:highlight w:val="none"/>
          <w14:textFill>
            <w14:solidFill>
              <w14:schemeClr w14:val="tx1"/>
            </w14:solidFill>
          </w14:textFill>
        </w:rPr>
        <w:t>项。</w:t>
      </w:r>
      <w:bookmarkStart w:id="1473" w:name="_Toc17794"/>
      <w:bookmarkStart w:id="1474" w:name="_Toc25365"/>
      <w:bookmarkStart w:id="1475" w:name="_Toc106719375"/>
      <w:bookmarkStart w:id="1476" w:name="_Toc21738"/>
      <w:bookmarkStart w:id="1477" w:name="_Toc16085"/>
      <w:bookmarkStart w:id="1478" w:name="_Toc6687"/>
      <w:bookmarkStart w:id="1479" w:name="_Toc9543"/>
      <w:bookmarkStart w:id="1480" w:name="_Toc11405"/>
      <w:bookmarkStart w:id="1481" w:name="_Toc10358"/>
      <w:bookmarkStart w:id="1482" w:name="_Toc52137807"/>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b w:val="0"/>
          <w:color w:val="000000" w:themeColor="text1"/>
          <w:kern w:val="0"/>
          <w:sz w:val="21"/>
          <w:szCs w:val="21"/>
          <w:highlight w:val="none"/>
          <w14:textFill>
            <w14:solidFill>
              <w14:schemeClr w14:val="tx1"/>
            </w14:solidFill>
          </w14:textFill>
        </w:rPr>
      </w:pPr>
      <w:r>
        <w:rPr>
          <w:rFonts w:hint="eastAsia" w:ascii="宋体" w:hAnsi="宋体" w:eastAsia="宋体" w:cs="宋体"/>
          <w:b w:val="0"/>
          <w:color w:val="000000" w:themeColor="text1"/>
          <w:kern w:val="0"/>
          <w:sz w:val="21"/>
          <w:szCs w:val="21"/>
          <w:highlight w:val="none"/>
          <w:lang w:val="en-US" w:eastAsia="zh-CN"/>
          <w14:textFill>
            <w14:solidFill>
              <w14:schemeClr w14:val="tx1"/>
            </w14:solidFill>
          </w14:textFill>
        </w:rPr>
        <w:t>6.3</w:t>
      </w:r>
      <w:r>
        <w:rPr>
          <w:rFonts w:hint="eastAsia" w:ascii="宋体" w:hAnsi="宋体" w:eastAsia="宋体" w:cs="宋体"/>
          <w:b w:val="0"/>
          <w:color w:val="000000" w:themeColor="text1"/>
          <w:kern w:val="0"/>
          <w:sz w:val="21"/>
          <w:szCs w:val="21"/>
          <w:highlight w:val="none"/>
          <w14:textFill>
            <w14:solidFill>
              <w14:schemeClr w14:val="tx1"/>
            </w14:solidFill>
          </w14:textFill>
        </w:rPr>
        <w:t>澄清和补正</w:t>
      </w:r>
      <w:bookmarkEnd w:id="1473"/>
      <w:bookmarkEnd w:id="1474"/>
      <w:bookmarkEnd w:id="1475"/>
      <w:bookmarkEnd w:id="1476"/>
      <w:bookmarkEnd w:id="1477"/>
      <w:bookmarkEnd w:id="1478"/>
      <w:bookmarkEnd w:id="1479"/>
      <w:bookmarkEnd w:id="1480"/>
      <w:bookmarkEnd w:id="1481"/>
      <w:bookmarkEnd w:id="1482"/>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6.3.1</w:t>
      </w:r>
      <w:r>
        <w:rPr>
          <w:rFonts w:hint="eastAsia" w:ascii="宋体" w:hAnsi="宋体" w:cs="宋体"/>
          <w:color w:val="000000" w:themeColor="text1"/>
          <w:kern w:val="0"/>
          <w:sz w:val="21"/>
          <w:szCs w:val="21"/>
          <w:highlight w:val="none"/>
          <w14:textFill>
            <w14:solidFill>
              <w14:schemeClr w14:val="tx1"/>
            </w14:solidFill>
          </w14:textFill>
        </w:rPr>
        <w:t>.在评标过程中，评标委员会可以通过电子交易平台要求投标人对所提交的投标文件中不明确的内容进行书面澄清或说明，或者对细微偏差进行补正，但不应寻求、提出或允许更改投标价格或投标文件的实质性内容。投标人通过电子交易平台回复澄清、说明、补正，时限要求详见评标办法前附表第</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14:textFill>
            <w14:solidFill>
              <w14:schemeClr w14:val="tx1"/>
            </w14:solidFill>
          </w14:textFill>
        </w:rPr>
        <w:t>项，评标委员会不接受投标人主动提出的澄清、说明或补正。澄清、说明和补正格式见附件3-</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、3-</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6.3.</w:t>
      </w:r>
      <w:r>
        <w:rPr>
          <w:rFonts w:hint="eastAsia" w:ascii="宋体" w:hAnsi="宋体" w:cs="宋体"/>
          <w:color w:val="000000" w:themeColor="text1"/>
          <w:kern w:val="0"/>
          <w:sz w:val="21"/>
          <w:szCs w:val="21"/>
          <w:highlight w:val="none"/>
          <w14:textFill>
            <w14:solidFill>
              <w14:schemeClr w14:val="tx1"/>
            </w14:solidFill>
          </w14:textFill>
        </w:rPr>
        <w:t>2.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拒不补正的，在详细评审时可以对细微偏差作不利于该投标人的量化，量化标准按照下列约定：</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（1）投标文件中填报的勘察费投标金额前后不一致时，以投标函数据为准。</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（2）投标文件中填写的工程名称有误时，以招标项目的实际内容为准。</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（3）投标报价金额大写与小写不一致的，以大写为准。</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澄清、说明和补正不得改变投标文件的实质性内容。投标人的书面澄清、说明和补正属于投标文件的组成部分。</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不按评标委员会要求澄清、说明或补正的，</w:t>
      </w:r>
      <w:r>
        <w:rPr>
          <w:rFonts w:hint="eastAsia" w:cs="宋体"/>
          <w:color w:val="000000" w:themeColor="text1"/>
          <w:sz w:val="21"/>
          <w:szCs w:val="21"/>
          <w:highlight w:val="none"/>
          <w14:textFill>
            <w14:solidFill>
              <w14:schemeClr w14:val="tx1"/>
            </w14:solidFill>
          </w14:textFill>
        </w:rPr>
        <w:t>评标委员会应当否决其投标</w:t>
      </w:r>
      <w:r>
        <w:rPr>
          <w:rFonts w:hint="eastAsia" w:ascii="宋体" w:hAnsi="宋体" w:cs="宋体"/>
          <w:color w:val="000000" w:themeColor="text1"/>
          <w:kern w:val="0"/>
          <w:sz w:val="21"/>
          <w:szCs w:val="21"/>
          <w:highlight w:val="none"/>
          <w14:textFill>
            <w14:solidFill>
              <w14:schemeClr w14:val="tx1"/>
            </w14:solidFill>
          </w14:textFill>
        </w:rPr>
        <w:t>。</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6.4.</w:t>
      </w:r>
      <w:r>
        <w:rPr>
          <w:rFonts w:hint="eastAsia" w:ascii="宋体" w:hAnsi="宋体" w:cs="宋体"/>
          <w:color w:val="000000" w:themeColor="text1"/>
          <w:kern w:val="0"/>
          <w:sz w:val="21"/>
          <w:szCs w:val="21"/>
          <w:highlight w:val="none"/>
          <w14:textFill>
            <w14:solidFill>
              <w14:schemeClr w14:val="tx1"/>
            </w14:solidFill>
          </w14:textFill>
        </w:rPr>
        <w:t>推荐定标候选人</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6.4.</w:t>
      </w:r>
      <w:r>
        <w:rPr>
          <w:rFonts w:hint="eastAsia" w:ascii="宋体" w:hAnsi="宋体" w:cs="宋体"/>
          <w:color w:val="000000" w:themeColor="text1"/>
          <w:kern w:val="0"/>
          <w:sz w:val="21"/>
          <w:szCs w:val="21"/>
          <w:highlight w:val="none"/>
          <w14:textFill>
            <w14:solidFill>
              <w14:schemeClr w14:val="tx1"/>
            </w14:solidFill>
          </w14:textFill>
        </w:rPr>
        <w:t>1.评标委员会根据评标程序和标准完成评审后，将所有投标未被否决的入围投标人确定为定标候选人。</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6.4.2.在推荐定标候选人前，评标委员会应当对拟推荐的定标候选人相关信息进行核对。</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评标委员会通过全国建筑市场监管公共服务平台（四库一平台，网址：jzsc.mohurd.gov.cn）查询拟推荐定标候选人注册人员是否满足其所持资质证书对应的资质标准要求，如不满足的，不得推荐为定标候选人。招标人如有发现投标人注册人员不满足资质标准要求，应在7个工作日内书面函告该投标人资质审批机构。</w:t>
      </w:r>
    </w:p>
    <w:p>
      <w:pPr>
        <w:numPr>
          <w:ilvl w:val="0"/>
          <w:numId w:val="0"/>
        </w:numPr>
        <w:tabs>
          <w:tab w:val="left" w:pos="510"/>
          <w:tab w:val="left" w:pos="2800"/>
        </w:tabs>
        <w:adjustRightInd/>
        <w:spacing w:beforeLines="0" w:afterLines="0" w:line="36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6.4.3.通过评审合格的投标人或定标候选人数量少于3家（不含3家），评标委员会认为投标明显缺乏竞争的，可以否决全部投标，招标人将重新招标。经评审，评标委员会认为所有投标都不符合招标文件要求的，可以否决所有投标。所有投标被否决后，评标委员会应当在评标报告中说明具体理由，招标人在分析招标失败的原因并采取相应措施后，应当依法重新招标。</w:t>
      </w:r>
    </w:p>
    <w:p>
      <w:pPr>
        <w:pStyle w:val="6"/>
        <w:spacing w:beforeLines="50" w:afterLines="50" w:line="360" w:lineRule="auto"/>
        <w:ind w:firstLine="0" w:firstLineChars="0"/>
        <w:rPr>
          <w:rFonts w:ascii="宋体" w:hAnsi="宋体"/>
          <w:b w:val="0"/>
          <w:color w:val="000000" w:themeColor="text1"/>
          <w:sz w:val="21"/>
          <w:szCs w:val="21"/>
          <w:highlight w:val="none"/>
          <w14:textFill>
            <w14:solidFill>
              <w14:schemeClr w14:val="tx1"/>
            </w14:solidFill>
          </w14:textFill>
        </w:rPr>
      </w:pPr>
      <w:bookmarkStart w:id="1483" w:name="_Toc18369"/>
      <w:bookmarkStart w:id="1484" w:name="_Toc32346"/>
      <w:bookmarkStart w:id="1485" w:name="_Toc2528"/>
      <w:bookmarkStart w:id="1486" w:name="_Toc19207"/>
      <w:r>
        <w:rPr>
          <w:rFonts w:hint="eastAsia" w:ascii="黑体" w:hAnsi="黑体" w:eastAsia="黑体"/>
          <w:b w:val="0"/>
          <w:color w:val="000000" w:themeColor="text1"/>
          <w:sz w:val="28"/>
          <w:szCs w:val="28"/>
          <w:highlight w:val="none"/>
          <w14:textFill>
            <w14:solidFill>
              <w14:schemeClr w14:val="tx1"/>
            </w14:solidFill>
          </w14:textFill>
        </w:rPr>
        <w:t>7.提交评标报告</w:t>
      </w:r>
      <w:bookmarkEnd w:id="1483"/>
      <w:bookmarkEnd w:id="1484"/>
      <w:bookmarkEnd w:id="1485"/>
      <w:bookmarkEnd w:id="1486"/>
    </w:p>
    <w:p>
      <w:pPr>
        <w:tabs>
          <w:tab w:val="left" w:pos="567"/>
        </w:tabs>
        <w:adjustRightInd/>
        <w:spacing w:line="360" w:lineRule="auto"/>
        <w:ind w:firstLine="422" w:firstLineChars="201"/>
        <w:jc w:val="left"/>
        <w:textAlignment w:val="auto"/>
        <w:rPr>
          <w:rFonts w:ascii="瀹嬩綋" w:eastAsia="瀹嬩綋" w:cs="瀹嬩綋" w:hAnsiTheme="minorHAnsi"/>
          <w:color w:val="000000" w:themeColor="text1"/>
          <w:sz w:val="21"/>
          <w:szCs w:val="21"/>
          <w:highlight w:val="none"/>
          <w14:textFill>
            <w14:solidFill>
              <w14:schemeClr w14:val="tx1"/>
            </w14:solidFill>
          </w14:textFill>
        </w:rPr>
      </w:pPr>
      <w:r>
        <w:rPr>
          <w:rFonts w:hint="eastAsia" w:ascii="瀹嬩綋" w:eastAsia="瀹嬩綋" w:cs="瀹嬩綋" w:hAnsiTheme="minorHAnsi"/>
          <w:color w:val="000000" w:themeColor="text1"/>
          <w:sz w:val="21"/>
          <w:szCs w:val="21"/>
          <w:highlight w:val="none"/>
          <w:lang w:val="en-US" w:eastAsia="zh-CN"/>
          <w14:textFill>
            <w14:solidFill>
              <w14:schemeClr w14:val="tx1"/>
            </w14:solidFill>
          </w14:textFill>
        </w:rPr>
        <w:t>7</w:t>
      </w:r>
      <w:r>
        <w:rPr>
          <w:rFonts w:hint="eastAsia" w:ascii="瀹嬩綋" w:eastAsia="瀹嬩綋" w:cs="瀹嬩綋" w:hAnsiTheme="minorHAnsi"/>
          <w:color w:val="000000" w:themeColor="text1"/>
          <w:sz w:val="21"/>
          <w:szCs w:val="21"/>
          <w:highlight w:val="none"/>
          <w14:textFill>
            <w14:solidFill>
              <w14:schemeClr w14:val="tx1"/>
            </w14:solidFill>
          </w14:textFill>
        </w:rPr>
        <w:t>.</w:t>
      </w:r>
      <w:r>
        <w:rPr>
          <w:rFonts w:hint="eastAsia" w:ascii="瀹嬩綋" w:eastAsia="瀹嬩綋" w:cs="瀹嬩綋" w:hAnsiTheme="minorHAnsi"/>
          <w:color w:val="000000" w:themeColor="text1"/>
          <w:sz w:val="21"/>
          <w:szCs w:val="21"/>
          <w:highlight w:val="none"/>
          <w:lang w:val="en-US" w:eastAsia="zh-CN"/>
          <w14:textFill>
            <w14:solidFill>
              <w14:schemeClr w14:val="tx1"/>
            </w14:solidFill>
          </w14:textFill>
        </w:rPr>
        <w:t>4</w:t>
      </w:r>
      <w:r>
        <w:rPr>
          <w:rFonts w:hint="eastAsia" w:ascii="瀹嬩綋" w:eastAsia="瀹嬩綋" w:cs="瀹嬩綋" w:hAnsiTheme="minorHAnsi"/>
          <w:color w:val="000000" w:themeColor="text1"/>
          <w:sz w:val="21"/>
          <w:szCs w:val="21"/>
          <w:highlight w:val="none"/>
          <w14:textFill>
            <w14:solidFill>
              <w14:schemeClr w14:val="tx1"/>
            </w14:solidFill>
          </w14:textFill>
        </w:rPr>
        <w:t>.完成评标后，评标委员会应当向招标人提交书面评标报告。</w:t>
      </w:r>
      <w:r>
        <w:rPr>
          <w:rFonts w:hint="eastAsia" w:ascii="宋体" w:hAnsi="宋体" w:cs="瀹嬩綋"/>
          <w:color w:val="000000" w:themeColor="text1"/>
          <w:sz w:val="21"/>
          <w:szCs w:val="21"/>
          <w:highlight w:val="none"/>
          <w14:textFill>
            <w14:solidFill>
              <w14:schemeClr w14:val="tx1"/>
            </w14:solidFill>
          </w14:textFill>
        </w:rPr>
        <w:t>评标委员会决定否决所有投标的，应当在评标报告中说明具体理由。评标报告应当列明投标文件雷同情况。</w:t>
      </w:r>
    </w:p>
    <w:p>
      <w:pPr>
        <w:tabs>
          <w:tab w:val="left" w:pos="567"/>
        </w:tabs>
        <w:adjustRightInd/>
        <w:spacing w:line="360" w:lineRule="auto"/>
        <w:ind w:firstLine="422" w:firstLineChars="201"/>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评标报告由评标委员会全体成员签字。对评标结论持有异议的，评标委员会成员可以在评标报告中阐述其不同意见和理由。评标委员会成员拒绝在评标报告上签字且不陈述其不同意见和理由的，视为同意评标结论，并由评标委员会作出书面说明并存档。</w:t>
      </w:r>
    </w:p>
    <w:p>
      <w:pPr>
        <w:keepNext/>
        <w:keepLines/>
        <w:widowControl w:val="0"/>
        <w:adjustRightInd w:val="0"/>
        <w:spacing w:before="260" w:beforeLines="50" w:after="260" w:afterLines="50" w:line="360" w:lineRule="auto"/>
        <w:jc w:val="both"/>
        <w:textAlignment w:val="baseline"/>
        <w:outlineLvl w:val="2"/>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pPr>
      <w:bookmarkStart w:id="1487" w:name="_Toc6480"/>
      <w:bookmarkStart w:id="1488" w:name="_Toc10564"/>
      <w:bookmarkStart w:id="1489" w:name="_Toc15360"/>
      <w:bookmarkStart w:id="1490" w:name="_Toc3746"/>
      <w:bookmarkStart w:id="1491" w:name="_Toc6778"/>
      <w:bookmarkStart w:id="1492" w:name="_Toc13977"/>
      <w:bookmarkStart w:id="1493" w:name="_Toc30696"/>
      <w:bookmarkStart w:id="1494" w:name="_Toc5333"/>
      <w:bookmarkStart w:id="1495" w:name="_Toc21305"/>
      <w:bookmarkStart w:id="1496" w:name="_Toc4900"/>
      <w:bookmarkStart w:id="1497" w:name="_Toc30304"/>
      <w:bookmarkStart w:id="1498" w:name="_Toc4628"/>
      <w:r>
        <w:rPr>
          <w:rFonts w:hint="eastAsia" w:ascii="黑体" w:hAnsi="黑体" w:eastAsia="黑体" w:cs="Times New Roman"/>
          <w:b w:val="0"/>
          <w:bCs/>
          <w:color w:val="000000" w:themeColor="text1"/>
          <w:sz w:val="28"/>
          <w:szCs w:val="28"/>
          <w:highlight w:val="none"/>
          <w:lang w:val="en-US" w:eastAsia="zh-CN" w:bidi="ar-SA"/>
          <w14:textFill>
            <w14:solidFill>
              <w14:schemeClr w14:val="tx1"/>
            </w14:solidFill>
          </w14:textFill>
        </w:rPr>
        <w:t>8.评标报告的审查</w:t>
      </w:r>
      <w:bookmarkEnd w:id="1487"/>
      <w:bookmarkEnd w:id="1488"/>
      <w:bookmarkEnd w:id="1489"/>
      <w:bookmarkEnd w:id="1490"/>
      <w:bookmarkEnd w:id="1491"/>
      <w:bookmarkEnd w:id="1492"/>
      <w:bookmarkEnd w:id="1493"/>
      <w:bookmarkEnd w:id="1494"/>
      <w:bookmarkEnd w:id="1495"/>
      <w:bookmarkEnd w:id="1496"/>
      <w:bookmarkEnd w:id="1497"/>
      <w:bookmarkEnd w:id="1498"/>
    </w:p>
    <w:p>
      <w:pPr>
        <w:tabs>
          <w:tab w:val="left" w:pos="567"/>
        </w:tabs>
        <w:spacing w:line="360" w:lineRule="auto"/>
        <w:ind w:firstLine="422" w:firstLineChars="201"/>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招标人履行主体责任，有权审查评标委员会提交的评标报告，发现评标报告存在错误的，有权要求评标委员会依据本章规定复核纠正。</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499" w:name="_Toc29339"/>
      <w:bookmarkStart w:id="1500" w:name="_Toc21666"/>
      <w:bookmarkStart w:id="1501" w:name="_Toc26837"/>
      <w:bookmarkStart w:id="1502" w:name="_Toc52137809"/>
      <w:bookmarkStart w:id="1503" w:name="_Toc23758"/>
      <w:bookmarkStart w:id="1504" w:name="_Toc8036"/>
      <w:bookmarkStart w:id="1505" w:name="_Toc13044"/>
      <w:bookmarkStart w:id="1506" w:name="_Toc9046"/>
      <w:bookmarkStart w:id="1507" w:name="_Toc7843"/>
      <w:bookmarkStart w:id="1508" w:name="_Toc3549"/>
      <w:bookmarkStart w:id="1509" w:name="_Toc11327"/>
      <w:bookmarkStart w:id="1510" w:name="_Toc106719377"/>
      <w:bookmarkStart w:id="1511" w:name="_Toc3717"/>
      <w:bookmarkStart w:id="1512" w:name="_Toc13609"/>
      <w:r>
        <w:rPr>
          <w:rFonts w:hint="eastAsia" w:ascii="黑体" w:hAnsi="黑体" w:eastAsia="黑体"/>
          <w:b w:val="0"/>
          <w:color w:val="000000" w:themeColor="text1"/>
          <w:sz w:val="28"/>
          <w:szCs w:val="28"/>
          <w:highlight w:val="none"/>
          <w:lang w:val="en-US" w:eastAsia="zh-CN"/>
          <w14:textFill>
            <w14:solidFill>
              <w14:schemeClr w14:val="tx1"/>
            </w14:solidFill>
          </w14:textFill>
        </w:rPr>
        <w:t>9</w:t>
      </w:r>
      <w:r>
        <w:rPr>
          <w:rFonts w:hint="eastAsia" w:ascii="黑体" w:hAnsi="黑体" w:eastAsia="黑体"/>
          <w:b w:val="0"/>
          <w:color w:val="000000" w:themeColor="text1"/>
          <w:sz w:val="28"/>
          <w:szCs w:val="28"/>
          <w:highlight w:val="none"/>
          <w14:textFill>
            <w14:solidFill>
              <w14:schemeClr w14:val="tx1"/>
            </w14:solidFill>
          </w14:textFill>
        </w:rPr>
        <w:t>.附则</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pPr>
        <w:tabs>
          <w:tab w:val="left" w:pos="510"/>
        </w:tabs>
        <w:adjustRightInd/>
        <w:spacing w:line="360" w:lineRule="auto"/>
        <w:ind w:firstLine="422" w:firstLineChars="201"/>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投标人应对所递交的投标文件以及与投标有关的证明资料的真实性负责，若以弄虚作假骗取中标的，中标无效，给招标人造成损失的依法承担赔偿责任。</w:t>
      </w:r>
    </w:p>
    <w:p>
      <w:pPr>
        <w:adjustRightInd/>
        <w:spacing w:line="240" w:lineRule="auto"/>
        <w:ind w:firstLine="0" w:firstLineChars="0"/>
        <w:jc w:val="left"/>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br w:type="page"/>
      </w:r>
    </w:p>
    <w:p>
      <w:pPr>
        <w:keepNext/>
        <w:keepLines/>
        <w:widowControl w:val="0"/>
        <w:adjustRightInd w:val="0"/>
        <w:spacing w:before="0" w:after="0" w:line="360" w:lineRule="auto"/>
        <w:jc w:val="both"/>
        <w:textAlignment w:val="baseline"/>
        <w:outlineLvl w:val="2"/>
        <w:rPr>
          <w:rFonts w:ascii="黑体" w:hAnsi="黑体" w:eastAsia="黑体" w:cs="Times New Roman"/>
          <w:b w:val="0"/>
          <w:bCs/>
          <w:color w:val="000000" w:themeColor="text1"/>
          <w:sz w:val="21"/>
          <w:szCs w:val="21"/>
          <w:highlight w:val="none"/>
          <w:lang w:val="en-US" w:eastAsia="zh-CN" w:bidi="ar-SA"/>
          <w14:textFill>
            <w14:solidFill>
              <w14:schemeClr w14:val="tx1"/>
            </w14:solidFill>
          </w14:textFill>
        </w:rPr>
      </w:pPr>
      <w:bookmarkStart w:id="1513" w:name="_Toc24893"/>
      <w:bookmarkStart w:id="1514" w:name="_Toc21092"/>
      <w:bookmarkStart w:id="1515" w:name="_Toc26002"/>
      <w:bookmarkStart w:id="1516" w:name="_Toc19541"/>
      <w:bookmarkStart w:id="1517" w:name="_Toc2173"/>
      <w:bookmarkStart w:id="1518" w:name="_Toc30523"/>
      <w:bookmarkStart w:id="1519" w:name="_Toc18750"/>
      <w:bookmarkStart w:id="1520" w:name="_Toc29114"/>
      <w:bookmarkStart w:id="1521" w:name="_Toc21469"/>
      <w:bookmarkStart w:id="1522" w:name="_Toc1366"/>
      <w:bookmarkStart w:id="1523" w:name="_Toc9853"/>
      <w:bookmarkStart w:id="1524" w:name="_Toc30780"/>
      <w:r>
        <w:rPr>
          <w:rFonts w:hint="eastAsia" w:ascii="黑体" w:hAnsi="黑体" w:eastAsia="黑体" w:cs="Times New Roman"/>
          <w:b w:val="0"/>
          <w:bCs/>
          <w:color w:val="000000" w:themeColor="text1"/>
          <w:sz w:val="21"/>
          <w:szCs w:val="21"/>
          <w:highlight w:val="none"/>
          <w:lang w:val="en-US" w:eastAsia="zh-CN" w:bidi="ar-SA"/>
          <w14:textFill>
            <w14:solidFill>
              <w14:schemeClr w14:val="tx1"/>
            </w14:solidFill>
          </w14:textFill>
        </w:rPr>
        <w:t>附件3-1：问题澄清通知（格式）</w:t>
      </w:r>
      <w:bookmarkEnd w:id="1513"/>
      <w:bookmarkEnd w:id="1514"/>
      <w:bookmarkEnd w:id="1515"/>
      <w:bookmarkEnd w:id="1516"/>
      <w:bookmarkEnd w:id="1517"/>
      <w:bookmarkEnd w:id="1518"/>
      <w:bookmarkEnd w:id="1519"/>
      <w:bookmarkEnd w:id="1520"/>
      <w:bookmarkEnd w:id="1521"/>
      <w:bookmarkEnd w:id="1522"/>
      <w:bookmarkEnd w:id="1523"/>
      <w:bookmarkEnd w:id="1524"/>
    </w:p>
    <w:p>
      <w:pPr>
        <w:spacing w:line="360" w:lineRule="auto"/>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14:textFill>
            <w14:solidFill>
              <w14:schemeClr w14:val="tx1"/>
            </w14:solidFill>
          </w14:textFill>
        </w:rPr>
        <w:t>问题澄清通知</w:t>
      </w:r>
    </w:p>
    <w:p>
      <w:pPr>
        <w:spacing w:line="360" w:lineRule="auto"/>
        <w:ind w:firstLine="420" w:firstLineChars="200"/>
        <w:jc w:val="center"/>
        <w:rPr>
          <w:rFonts w:ascii="宋体" w:hAnsi="宋体" w:eastAsia="宋体" w:cs="Times New Roman"/>
          <w:b/>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编号：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p>
    <w:p>
      <w:pPr>
        <w:spacing w:line="360" w:lineRule="auto"/>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 xml:space="preserve">(投标人名称）: </w:t>
      </w:r>
    </w:p>
    <w:p>
      <w:pPr>
        <w:spacing w:line="360" w:lineRule="auto"/>
        <w:ind w:firstLine="525" w:firstLineChars="25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(项目名称）</w:t>
      </w:r>
      <w:r>
        <w:rPr>
          <w:rFonts w:hint="eastAsia" w:ascii="宋体" w:hAnsi="宋体" w:cs="Times New Roman"/>
          <w:color w:val="000000" w:themeColor="text1"/>
          <w:sz w:val="21"/>
          <w:szCs w:val="21"/>
          <w:highlight w:val="none"/>
          <w:lang w:eastAsia="zh-CN"/>
          <w14:textFill>
            <w14:solidFill>
              <w14:schemeClr w14:val="tx1"/>
            </w14:solidFill>
          </w14:textFill>
        </w:rPr>
        <w:t>勘察</w:t>
      </w:r>
      <w:r>
        <w:rPr>
          <w:rFonts w:hint="eastAsia" w:ascii="宋体" w:hAnsi="宋体" w:eastAsia="宋体" w:cs="Times New Roman"/>
          <w:color w:val="000000" w:themeColor="text1"/>
          <w:sz w:val="21"/>
          <w:szCs w:val="21"/>
          <w:highlight w:val="none"/>
          <w14:textFill>
            <w14:solidFill>
              <w14:schemeClr w14:val="tx1"/>
            </w14:solidFill>
          </w14:textFill>
        </w:rPr>
        <w:t>招标的评标委员会，对你方的投标文件进行了仔细的审查，现需你方对下列问题予以澄清：</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w:t>
      </w:r>
    </w:p>
    <w:p>
      <w:pPr>
        <w:pStyle w:val="57"/>
        <w:spacing w:line="48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请将上述问题的澄清于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时前通过电子交易平台回复本</w:t>
      </w:r>
      <w:r>
        <w:rPr>
          <w:rFonts w:hint="eastAsia" w:ascii="宋体" w:hAnsi="宋体" w:eastAsia="宋体" w:cs="宋体"/>
          <w:color w:val="000000" w:themeColor="text1"/>
          <w:sz w:val="21"/>
          <w:szCs w:val="21"/>
          <w:highlight w:val="none"/>
          <w:lang w:eastAsia="zh-CN"/>
          <w14:textFill>
            <w14:solidFill>
              <w14:schemeClr w14:val="tx1"/>
            </w14:solidFill>
          </w14:textFill>
        </w:rPr>
        <w:t>评标委员会</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5145" w:firstLineChars="2450"/>
        <w:rPr>
          <w:rFonts w:ascii="宋体" w:hAnsi="宋体" w:eastAsia="宋体" w:cs="Times New Roman"/>
          <w:color w:val="000000" w:themeColor="text1"/>
          <w:sz w:val="21"/>
          <w:szCs w:val="21"/>
          <w:highlight w:val="none"/>
          <w14:textFill>
            <w14:solidFill>
              <w14:schemeClr w14:val="tx1"/>
            </w14:solidFill>
          </w14:textFill>
        </w:rPr>
      </w:pPr>
    </w:p>
    <w:p>
      <w:pPr>
        <w:spacing w:line="360" w:lineRule="auto"/>
        <w:ind w:firstLine="3675" w:firstLineChars="1750"/>
        <w:rPr>
          <w:rFonts w:ascii="宋体" w:hAnsi="宋体" w:eastAsia="宋体" w:cs="Times New Roman"/>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(项目名称）评标委员会</w:t>
      </w:r>
    </w:p>
    <w:p>
      <w:pPr>
        <w:spacing w:line="360" w:lineRule="auto"/>
        <w:ind w:firstLine="4620" w:firstLineChars="2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年</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月</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w:t>
      </w:r>
    </w:p>
    <w:p>
      <w:pPr>
        <w:spacing w:line="360" w:lineRule="auto"/>
        <w:ind w:firstLine="4620" w:firstLineChars="2200"/>
        <w:rPr>
          <w:rFonts w:ascii="宋体" w:hAnsi="宋体" w:eastAsia="宋体" w:cs="Times New Roman"/>
          <w:color w:val="000000" w:themeColor="text1"/>
          <w:sz w:val="21"/>
          <w:szCs w:val="21"/>
          <w:highlight w:val="none"/>
          <w14:textFill>
            <w14:solidFill>
              <w14:schemeClr w14:val="tx1"/>
            </w14:solidFill>
          </w14:textFill>
        </w:rPr>
      </w:pPr>
    </w:p>
    <w:p>
      <w:pPr>
        <w:keepNext/>
        <w:keepLines/>
        <w:widowControl w:val="0"/>
        <w:adjustRightInd w:val="0"/>
        <w:spacing w:before="720" w:after="120" w:line="360" w:lineRule="auto"/>
        <w:jc w:val="both"/>
        <w:textAlignment w:val="baseline"/>
        <w:outlineLvl w:val="2"/>
        <w:rPr>
          <w:rFonts w:ascii="黑体" w:hAnsi="黑体" w:eastAsia="黑体" w:cs="Times New Roman"/>
          <w:b w:val="0"/>
          <w:bCs/>
          <w:color w:val="000000" w:themeColor="text1"/>
          <w:sz w:val="21"/>
          <w:szCs w:val="21"/>
          <w:highlight w:val="none"/>
          <w:lang w:val="en-US" w:eastAsia="zh-CN" w:bidi="ar-SA"/>
          <w14:textFill>
            <w14:solidFill>
              <w14:schemeClr w14:val="tx1"/>
            </w14:solidFill>
          </w14:textFill>
        </w:rPr>
      </w:pPr>
      <w:bookmarkStart w:id="1525" w:name="_Toc5169"/>
      <w:bookmarkStart w:id="1526" w:name="_Toc4461"/>
      <w:bookmarkStart w:id="1527" w:name="_Toc20618"/>
      <w:bookmarkStart w:id="1528" w:name="_Toc2231"/>
      <w:bookmarkStart w:id="1529" w:name="_Toc13093"/>
      <w:bookmarkStart w:id="1530" w:name="_Toc540"/>
      <w:bookmarkStart w:id="1531" w:name="_Toc23167"/>
      <w:bookmarkStart w:id="1532" w:name="_Toc5945"/>
      <w:bookmarkStart w:id="1533" w:name="_Toc25419"/>
      <w:bookmarkStart w:id="1534" w:name="_Toc23368"/>
      <w:bookmarkStart w:id="1535" w:name="_Toc17265"/>
      <w:bookmarkStart w:id="1536" w:name="_Toc20977"/>
      <w:r>
        <w:rPr>
          <w:rFonts w:hint="eastAsia" w:ascii="黑体" w:hAnsi="黑体" w:eastAsia="黑体" w:cs="Times New Roman"/>
          <w:b w:val="0"/>
          <w:bCs/>
          <w:color w:val="000000" w:themeColor="text1"/>
          <w:sz w:val="21"/>
          <w:szCs w:val="21"/>
          <w:highlight w:val="none"/>
          <w:lang w:val="en-US" w:eastAsia="zh-CN" w:bidi="ar-SA"/>
          <w14:textFill>
            <w14:solidFill>
              <w14:schemeClr w14:val="tx1"/>
            </w14:solidFill>
          </w14:textFill>
        </w:rPr>
        <w:t>附件3-2：问题的澄清（格式）</w:t>
      </w:r>
      <w:bookmarkEnd w:id="1525"/>
      <w:bookmarkEnd w:id="1526"/>
      <w:bookmarkEnd w:id="1527"/>
      <w:bookmarkEnd w:id="1528"/>
      <w:bookmarkEnd w:id="1529"/>
      <w:bookmarkEnd w:id="1530"/>
      <w:bookmarkEnd w:id="1531"/>
      <w:bookmarkEnd w:id="1532"/>
      <w:bookmarkEnd w:id="1533"/>
      <w:bookmarkEnd w:id="1534"/>
      <w:bookmarkEnd w:id="1535"/>
      <w:bookmarkEnd w:id="1536"/>
    </w:p>
    <w:p>
      <w:pPr>
        <w:spacing w:beforeLines="100" w:afterLines="50" w:line="360" w:lineRule="auto"/>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14:textFill>
            <w14:solidFill>
              <w14:schemeClr w14:val="tx1"/>
            </w14:solidFill>
          </w14:textFill>
        </w:rPr>
        <w:t>问题的澄清</w:t>
      </w:r>
    </w:p>
    <w:p>
      <w:pPr>
        <w:spacing w:line="360" w:lineRule="auto"/>
        <w:ind w:firstLine="5460" w:firstLineChars="2600"/>
        <w:rPr>
          <w:rFonts w:ascii="宋体" w:hAnsi="宋体" w:eastAsia="宋体" w:cs="Times New Roman"/>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编号：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(项目名称）</w:t>
      </w:r>
      <w:r>
        <w:rPr>
          <w:rFonts w:hint="eastAsia" w:ascii="宋体" w:hAnsi="宋体" w:eastAsia="宋体" w:cs="Times New Roman"/>
          <w:color w:val="000000" w:themeColor="text1"/>
          <w:sz w:val="2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 w:val="21"/>
          <w:szCs w:val="21"/>
          <w:highlight w:val="none"/>
          <w14:textFill>
            <w14:solidFill>
              <w14:schemeClr w14:val="tx1"/>
            </w14:solidFill>
          </w14:textFill>
        </w:rPr>
        <w:t>：</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问题澄清通知（编号：</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）已收悉，现澄清如下：</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w:t>
      </w:r>
    </w:p>
    <w:p>
      <w:pPr>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w:t>
      </w:r>
    </w:p>
    <w:p>
      <w:pPr>
        <w:spacing w:line="360" w:lineRule="auto"/>
        <w:ind w:firstLine="0" w:firstLineChars="0"/>
        <w:jc w:val="right"/>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投标人：</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（盖单位电子公章）</w:t>
      </w:r>
    </w:p>
    <w:p>
      <w:pPr>
        <w:spacing w:line="360" w:lineRule="auto"/>
        <w:ind w:firstLine="4620" w:firstLineChars="2200"/>
        <w:jc w:val="right"/>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年</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月</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w:t>
      </w:r>
    </w:p>
    <w:p>
      <w:pPr>
        <w:pStyle w:val="5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bookmarkStart w:id="1537" w:name="_Toc52137824"/>
      <w:bookmarkStart w:id="1538" w:name="_Toc300038977"/>
      <w:bookmarkStart w:id="1539" w:name="_Toc32176"/>
      <w:bookmarkStart w:id="1540" w:name="_Toc516753538"/>
      <w:bookmarkStart w:id="1541" w:name="_Toc31111"/>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spacing w:before="3000" w:after="0"/>
        <w:jc w:val="center"/>
        <w:rPr>
          <w:rFonts w:hint="eastAsia" w:ascii="黑体" w:hAnsi="黑体" w:eastAsia="黑体"/>
          <w:b w:val="0"/>
          <w:color w:val="000000" w:themeColor="text1"/>
          <w:sz w:val="44"/>
          <w:szCs w:val="44"/>
          <w:highlight w:val="none"/>
          <w:lang w:eastAsia="zh-CN"/>
          <w14:textFill>
            <w14:solidFill>
              <w14:schemeClr w14:val="tx1"/>
            </w14:solidFill>
          </w14:textFill>
        </w:rPr>
      </w:pPr>
      <w:bookmarkStart w:id="1542" w:name="_Toc106719378"/>
      <w:bookmarkStart w:id="1543" w:name="_Toc2588"/>
      <w:bookmarkStart w:id="1544" w:name="_Toc12868"/>
      <w:bookmarkStart w:id="1545" w:name="_Toc3770"/>
      <w:bookmarkStart w:id="1546" w:name="_Toc5657"/>
      <w:bookmarkStart w:id="1547" w:name="_Toc27636"/>
      <w:bookmarkStart w:id="1548" w:name="_Toc21761"/>
      <w:bookmarkStart w:id="1549" w:name="_Toc17953"/>
      <w:bookmarkStart w:id="1550" w:name="_Toc32512"/>
      <w:bookmarkStart w:id="1551" w:name="_Toc2611"/>
      <w:bookmarkStart w:id="1552" w:name="_Toc14851"/>
      <w:bookmarkStart w:id="1553" w:name="_Toc8155"/>
      <w:bookmarkStart w:id="1554" w:name="_Toc28632"/>
      <w:r>
        <w:rPr>
          <w:rFonts w:hint="eastAsia" w:ascii="黑体" w:hAnsi="黑体" w:eastAsia="黑体"/>
          <w:b w:val="0"/>
          <w:color w:val="000000" w:themeColor="text1"/>
          <w:sz w:val="44"/>
          <w:szCs w:val="44"/>
          <w:highlight w:val="none"/>
          <w14:textFill>
            <w14:solidFill>
              <w14:schemeClr w14:val="tx1"/>
            </w14:solidFill>
          </w14:textFill>
        </w:rPr>
        <w:t>第四章 定标</w:t>
      </w:r>
      <w:bookmarkEnd w:id="1537"/>
      <w:bookmarkEnd w:id="1542"/>
      <w:r>
        <w:rPr>
          <w:rFonts w:hint="eastAsia" w:ascii="黑体" w:hAnsi="黑体" w:eastAsia="黑体"/>
          <w:b w:val="0"/>
          <w:color w:val="000000" w:themeColor="text1"/>
          <w:sz w:val="44"/>
          <w:szCs w:val="44"/>
          <w:highlight w:val="none"/>
          <w:lang w:val="en-US" w:eastAsia="zh-CN"/>
          <w14:textFill>
            <w14:solidFill>
              <w14:schemeClr w14:val="tx1"/>
            </w14:solidFill>
          </w14:textFill>
        </w:rPr>
        <w:t>方案</w:t>
      </w:r>
      <w:bookmarkEnd w:id="1543"/>
      <w:bookmarkEnd w:id="1544"/>
      <w:bookmarkEnd w:id="1545"/>
      <w:bookmarkEnd w:id="1546"/>
      <w:bookmarkEnd w:id="1547"/>
      <w:bookmarkEnd w:id="1548"/>
      <w:bookmarkEnd w:id="1549"/>
      <w:bookmarkEnd w:id="1550"/>
      <w:bookmarkEnd w:id="1551"/>
      <w:bookmarkEnd w:id="1552"/>
      <w:bookmarkEnd w:id="1553"/>
      <w:bookmarkEnd w:id="1554"/>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tabs>
          <w:tab w:val="left" w:pos="510"/>
        </w:tabs>
        <w:adjustRightInd/>
        <w:spacing w:line="360" w:lineRule="auto"/>
        <w:textAlignment w:val="auto"/>
        <w:rPr>
          <w:rFonts w:ascii="黑体" w:hAnsi="黑体" w:eastAsia="黑体"/>
          <w:color w:val="000000" w:themeColor="text1"/>
          <w:sz w:val="21"/>
          <w:szCs w:val="21"/>
          <w:highlight w:val="none"/>
          <w14:textFill>
            <w14:solidFill>
              <w14:schemeClr w14:val="tx1"/>
            </w14:solidFill>
          </w14:textFill>
        </w:rPr>
      </w:pPr>
    </w:p>
    <w:p>
      <w:pPr>
        <w:jc w:val="center"/>
        <w:rPr>
          <w:rFonts w:hint="eastAsia" w:ascii="黑体" w:hAnsi="黑体" w:eastAsia="黑体"/>
          <w:b w:val="0"/>
          <w:color w:val="000000" w:themeColor="text1"/>
          <w:sz w:val="28"/>
          <w:szCs w:val="28"/>
          <w:highlight w:val="none"/>
          <w14:textFill>
            <w14:solidFill>
              <w14:schemeClr w14:val="tx1"/>
            </w14:solidFill>
          </w14:textFill>
        </w:rPr>
        <w:sectPr>
          <w:footnotePr>
            <w:numFmt w:val="decimalEnclosedCircleChinese"/>
            <w:numRestart w:val="eachPage"/>
          </w:footnotePr>
          <w:pgSz w:w="11906" w:h="16838"/>
          <w:pgMar w:top="1276" w:right="1559" w:bottom="1559" w:left="1418" w:header="851" w:footer="992" w:gutter="0"/>
          <w:cols w:space="720" w:num="1"/>
          <w:docGrid w:type="linesAndChars" w:linePitch="312" w:charSpace="0"/>
        </w:sectPr>
      </w:pPr>
      <w:bookmarkStart w:id="1555" w:name="_Toc52137825"/>
      <w:bookmarkStart w:id="1556" w:name="_Toc106719379"/>
      <w:r>
        <w:rPr>
          <w:rFonts w:hint="eastAsia" w:ascii="黑体" w:hAnsi="黑体" w:eastAsia="黑体"/>
          <w:b w:val="0"/>
          <w:color w:val="000000" w:themeColor="text1"/>
          <w:sz w:val="28"/>
          <w:szCs w:val="28"/>
          <w:highlight w:val="none"/>
          <w14:textFill>
            <w14:solidFill>
              <w14:schemeClr w14:val="tx1"/>
            </w14:solidFill>
          </w14:textFill>
        </w:rPr>
        <w:br w:type="page"/>
      </w:r>
    </w:p>
    <w:p>
      <w:pPr>
        <w:pStyle w:val="6"/>
        <w:keepNext/>
        <w:keepLines/>
        <w:pageBreakBefore w:val="0"/>
        <w:widowControl w:val="0"/>
        <w:kinsoku/>
        <w:wordWrap/>
        <w:overflowPunct/>
        <w:topLinePunct w:val="0"/>
        <w:autoSpaceDE/>
        <w:autoSpaceDN/>
        <w:bidi w:val="0"/>
        <w:adjustRightInd w:val="0"/>
        <w:snapToGrid/>
        <w:spacing w:before="0" w:after="0" w:line="360" w:lineRule="auto"/>
        <w:jc w:val="center"/>
        <w:textAlignment w:val="baseline"/>
        <w:rPr>
          <w:rFonts w:hint="default" w:ascii="黑体" w:hAnsi="黑体" w:eastAsia="黑体" w:cs="黑体"/>
          <w:color w:val="000000" w:themeColor="text1"/>
          <w:sz w:val="28"/>
          <w:szCs w:val="28"/>
          <w:highlight w:val="none"/>
          <w:lang w:val="en-US" w:eastAsia="zh-CN"/>
          <w14:textFill>
            <w14:solidFill>
              <w14:schemeClr w14:val="tx1"/>
            </w14:solidFill>
          </w14:textFill>
        </w:rPr>
      </w:pPr>
      <w:bookmarkStart w:id="1557" w:name="_Toc31806"/>
      <w:bookmarkStart w:id="1558" w:name="_Toc17250"/>
      <w:bookmarkStart w:id="1559" w:name="_Toc52112968"/>
      <w:bookmarkStart w:id="1560" w:name="_Toc106703297"/>
      <w:bookmarkStart w:id="1561" w:name="_Toc15158"/>
      <w:bookmarkStart w:id="1562" w:name="_Toc61877311"/>
      <w:bookmarkStart w:id="1563" w:name="_Toc12143"/>
      <w:bookmarkStart w:id="1564" w:name="_Toc5771"/>
      <w:bookmarkStart w:id="1565" w:name="_Toc9546"/>
      <w:bookmarkStart w:id="1566" w:name="_Toc15027"/>
      <w:bookmarkStart w:id="1567" w:name="_Toc5272"/>
      <w:bookmarkStart w:id="1568" w:name="_Toc22122"/>
      <w:bookmarkStart w:id="1569" w:name="_Toc24055"/>
      <w:bookmarkStart w:id="1570" w:name="_Toc27193"/>
      <w:bookmarkStart w:id="1571" w:name="_Toc25215"/>
      <w:bookmarkStart w:id="1572" w:name="_Toc19071"/>
      <w:bookmarkStart w:id="1573" w:name="_Toc106"/>
      <w:bookmarkStart w:id="1574" w:name="_Toc12096"/>
      <w:bookmarkStart w:id="1575" w:name="_Toc26095"/>
      <w:r>
        <w:rPr>
          <w:rFonts w:hint="eastAsia" w:ascii="黑体" w:hAnsi="黑体" w:eastAsia="黑体" w:cs="黑体"/>
          <w:color w:val="000000" w:themeColor="text1"/>
          <w:sz w:val="28"/>
          <w:szCs w:val="28"/>
          <w:highlight w:val="none"/>
          <w:lang w:val="en-US" w:eastAsia="zh-CN"/>
          <w14:textFill>
            <w14:solidFill>
              <w14:schemeClr w14:val="tx1"/>
            </w14:solidFill>
          </w14:textFill>
        </w:rPr>
        <w:t>第四章  定标方案</w:t>
      </w:r>
      <w:bookmarkEnd w:id="1557"/>
    </w:p>
    <w:p>
      <w:pPr>
        <w:pStyle w:val="6"/>
        <w:keepNext/>
        <w:keepLines/>
        <w:pageBreakBefore w:val="0"/>
        <w:widowControl w:val="0"/>
        <w:kinsoku/>
        <w:wordWrap/>
        <w:overflowPunct/>
        <w:topLinePunct w:val="0"/>
        <w:autoSpaceDE/>
        <w:autoSpaceDN/>
        <w:bidi w:val="0"/>
        <w:adjustRightInd w:val="0"/>
        <w:snapToGrid/>
        <w:spacing w:before="0" w:after="0" w:line="360" w:lineRule="auto"/>
        <w:jc w:val="left"/>
        <w:textAlignment w:val="baseline"/>
        <w:rPr>
          <w:rFonts w:hint="eastAsia" w:ascii="黑体" w:hAnsi="黑体" w:eastAsia="黑体" w:cs="黑体"/>
          <w:color w:val="000000" w:themeColor="text1"/>
          <w:sz w:val="21"/>
          <w:szCs w:val="21"/>
          <w:highlight w:val="none"/>
          <w:lang w:val="zh-CN" w:eastAsia="zh-CN"/>
          <w14:textFill>
            <w14:solidFill>
              <w14:schemeClr w14:val="tx1"/>
            </w14:solidFill>
          </w14:textFill>
        </w:rPr>
      </w:pPr>
      <w:bookmarkStart w:id="1576" w:name="_Toc25729"/>
      <w:r>
        <w:rPr>
          <w:rFonts w:hint="eastAsia" w:ascii="黑体" w:hAnsi="黑体" w:eastAsia="黑体" w:cs="黑体"/>
          <w:color w:val="000000" w:themeColor="text1"/>
          <w:sz w:val="21"/>
          <w:szCs w:val="21"/>
          <w:highlight w:val="none"/>
          <w:lang w:val="zh-CN" w:eastAsia="zh-CN"/>
          <w14:textFill>
            <w14:solidFill>
              <w14:schemeClr w14:val="tx1"/>
            </w14:solidFill>
          </w14:textFill>
        </w:rPr>
        <w:t>定标</w:t>
      </w:r>
      <w:r>
        <w:rPr>
          <w:rFonts w:hint="eastAsia" w:ascii="黑体" w:hAnsi="黑体" w:eastAsia="黑体" w:cs="黑体"/>
          <w:color w:val="000000" w:themeColor="text1"/>
          <w:sz w:val="21"/>
          <w:szCs w:val="21"/>
          <w:highlight w:val="none"/>
          <w:lang w:val="en-US" w:eastAsia="zh-CN"/>
          <w14:textFill>
            <w14:solidFill>
              <w14:schemeClr w14:val="tx1"/>
            </w14:solidFill>
          </w14:textFill>
        </w:rPr>
        <w:t>方案</w:t>
      </w:r>
      <w:r>
        <w:rPr>
          <w:rFonts w:hint="eastAsia" w:ascii="黑体" w:hAnsi="黑体" w:eastAsia="黑体" w:cs="黑体"/>
          <w:color w:val="000000" w:themeColor="text1"/>
          <w:sz w:val="21"/>
          <w:szCs w:val="21"/>
          <w:highlight w:val="none"/>
          <w:lang w:val="zh-CN" w:eastAsia="zh-CN"/>
          <w14:textFill>
            <w14:solidFill>
              <w14:schemeClr w14:val="tx1"/>
            </w14:solidFill>
          </w14:textFill>
        </w:rPr>
        <w:t>前附表</w:t>
      </w:r>
      <w:bookmarkEnd w:id="1558"/>
      <w:bookmarkEnd w:id="1559"/>
      <w:bookmarkEnd w:id="1560"/>
      <w:bookmarkEnd w:id="1561"/>
      <w:bookmarkEnd w:id="1562"/>
      <w:bookmarkEnd w:id="1563"/>
      <w:bookmarkEnd w:id="1564"/>
      <w:r>
        <w:rPr>
          <w:rFonts w:hint="eastAsia" w:ascii="黑体" w:hAnsi="黑体" w:eastAsia="黑体" w:cs="黑体"/>
          <w:b/>
          <w:bCs/>
          <w:color w:val="000000" w:themeColor="text1"/>
          <w:sz w:val="21"/>
          <w:szCs w:val="21"/>
          <w:highlight w:val="none"/>
          <w:vertAlign w:val="superscript"/>
          <w:lang w:val="en-US" w:eastAsia="zh-CN"/>
          <w14:textFill>
            <w14:solidFill>
              <w14:schemeClr w14:val="tx1"/>
            </w14:solidFill>
          </w14:textFill>
        </w:rPr>
        <w:footnoteReference w:id="41"/>
      </w:r>
      <w:bookmarkEnd w:id="1565"/>
      <w:bookmarkEnd w:id="1566"/>
      <w:bookmarkEnd w:id="1567"/>
      <w:bookmarkEnd w:id="1568"/>
      <w:bookmarkEnd w:id="1569"/>
      <w:bookmarkEnd w:id="1570"/>
      <w:bookmarkEnd w:id="1571"/>
      <w:bookmarkEnd w:id="1572"/>
      <w:bookmarkEnd w:id="1573"/>
      <w:bookmarkEnd w:id="1574"/>
      <w:bookmarkEnd w:id="1575"/>
      <w:bookmarkEnd w:id="1576"/>
    </w:p>
    <w:tbl>
      <w:tblPr>
        <w:tblStyle w:val="41"/>
        <w:tblW w:w="1416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905"/>
        <w:gridCol w:w="1501"/>
        <w:gridCol w:w="2106"/>
        <w:gridCol w:w="3373"/>
        <w:gridCol w:w="3649"/>
        <w:gridCol w:w="195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pPr>
              <w:adjustRightInd/>
              <w:spacing w:line="300" w:lineRule="auto"/>
              <w:jc w:val="center"/>
              <w:textAlignment w:val="auto"/>
              <w:rPr>
                <w:rFonts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项</w:t>
            </w:r>
            <w:r>
              <w:rPr>
                <w:rFonts w:ascii="宋体" w:hAnsi="宋体" w:cs="宋体"/>
                <w:b/>
                <w:color w:val="000000" w:themeColor="text1"/>
                <w:kern w:val="1"/>
                <w:sz w:val="21"/>
                <w:szCs w:val="21"/>
                <w:highlight w:val="none"/>
                <w14:textFill>
                  <w14:solidFill>
                    <w14:schemeClr w14:val="tx1"/>
                  </w14:solidFill>
                </w14:textFill>
              </w:rPr>
              <w:t>号</w:t>
            </w:r>
          </w:p>
        </w:tc>
        <w:tc>
          <w:tcPr>
            <w:tcW w:w="905" w:type="dxa"/>
            <w:tcBorders>
              <w:bottom w:val="single" w:color="auto" w:sz="4" w:space="0"/>
            </w:tcBorders>
            <w:vAlign w:val="center"/>
          </w:tcPr>
          <w:p>
            <w:pPr>
              <w:adjustRightInd/>
              <w:spacing w:line="300" w:lineRule="auto"/>
              <w:jc w:val="center"/>
              <w:textAlignment w:val="auto"/>
              <w:rPr>
                <w:rFonts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501" w:type="dxa"/>
            <w:tcBorders>
              <w:bottom w:val="single" w:color="auto" w:sz="4" w:space="0"/>
            </w:tcBorders>
            <w:vAlign w:val="center"/>
          </w:tcPr>
          <w:p>
            <w:pPr>
              <w:adjustRightInd/>
              <w:spacing w:line="300" w:lineRule="auto"/>
              <w:jc w:val="center"/>
              <w:textAlignment w:val="auto"/>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定标要素</w:t>
            </w:r>
          </w:p>
        </w:tc>
        <w:tc>
          <w:tcPr>
            <w:tcW w:w="11079" w:type="dxa"/>
            <w:gridSpan w:val="4"/>
            <w:vAlign w:val="center"/>
          </w:tcPr>
          <w:p>
            <w:pPr>
              <w:adjustRightInd/>
              <w:spacing w:line="300" w:lineRule="auto"/>
              <w:ind w:firstLine="340"/>
              <w:jc w:val="center"/>
              <w:textAlignment w:val="auto"/>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评审标准及权重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adjustRightInd/>
              <w:spacing w:line="300" w:lineRule="auto"/>
              <w:jc w:val="center"/>
              <w:textAlignment w:val="auto"/>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1</w:t>
            </w:r>
          </w:p>
        </w:tc>
        <w:tc>
          <w:tcPr>
            <w:tcW w:w="905" w:type="dxa"/>
            <w:vMerge w:val="restart"/>
            <w:vAlign w:val="center"/>
          </w:tcPr>
          <w:p>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3.2.</w:t>
            </w:r>
            <w:r>
              <w:rPr>
                <w:rFonts w:hint="eastAsia" w:ascii="宋体" w:hAnsi="宋体" w:cs="宋体"/>
                <w:color w:val="000000" w:themeColor="text1"/>
                <w:kern w:val="1"/>
                <w:sz w:val="21"/>
                <w:szCs w:val="21"/>
                <w:highlight w:val="none"/>
                <w:lang w:val="en-US" w:eastAsia="zh-CN"/>
                <w14:textFill>
                  <w14:solidFill>
                    <w14:schemeClr w14:val="tx1"/>
                  </w14:solidFill>
                </w14:textFill>
              </w:rPr>
              <w:t>2</w:t>
            </w:r>
          </w:p>
        </w:tc>
        <w:tc>
          <w:tcPr>
            <w:tcW w:w="1501" w:type="dxa"/>
            <w:vMerge w:val="restart"/>
            <w:vAlign w:val="center"/>
          </w:tcPr>
          <w:p>
            <w:pPr>
              <w:autoSpaceDE w:val="0"/>
              <w:autoSpaceDN w:val="0"/>
              <w:adjustRightInd/>
              <w:spacing w:line="300" w:lineRule="auto"/>
              <w:jc w:val="center"/>
              <w:textAlignment w:val="auto"/>
              <w:rPr>
                <w:rFonts w:ascii="Calibri" w:hAnsi="Calibri"/>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信用</w:t>
            </w:r>
            <w:r>
              <w:rPr>
                <w:rFonts w:ascii="宋体" w:hAnsi="宋体" w:cs="宋体"/>
                <w:color w:val="000000" w:themeColor="text1"/>
                <w:kern w:val="1"/>
                <w:sz w:val="21"/>
                <w:szCs w:val="21"/>
                <w:highlight w:val="none"/>
                <w14:textFill>
                  <w14:solidFill>
                    <w14:schemeClr w14:val="tx1"/>
                  </w14:solidFill>
                </w14:textFill>
              </w:rPr>
              <w:t>要素</w:t>
            </w:r>
          </w:p>
        </w:tc>
        <w:tc>
          <w:tcPr>
            <w:tcW w:w="2106" w:type="dxa"/>
            <w:tcBorders>
              <w:bottom w:val="single" w:color="auto" w:sz="4" w:space="0"/>
              <w:right w:val="single" w:color="auto" w:sz="4" w:space="0"/>
            </w:tcBorders>
            <w:vAlign w:val="center"/>
          </w:tcPr>
          <w:p>
            <w:pPr>
              <w:autoSpaceDE w:val="0"/>
              <w:autoSpaceDN w:val="0"/>
              <w:adjustRightInd/>
              <w:spacing w:line="360" w:lineRule="auto"/>
              <w:jc w:val="center"/>
              <w:textAlignment w:val="auto"/>
              <w:rPr>
                <w:rFonts w:hint="default" w:ascii="宋体" w:hAnsi="Calibri" w:eastAsia="宋体"/>
                <w:color w:val="000000" w:themeColor="text1"/>
                <w:sz w:val="21"/>
                <w:szCs w:val="21"/>
                <w:highlight w:val="none"/>
                <w:u w:val="none"/>
                <w:lang w:val="en-US" w:eastAsia="zh-CN"/>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default" w:ascii="宋体" w:hAnsi="Calibri" w:eastAsia="宋体"/>
                <w:color w:val="000000" w:themeColor="text1"/>
                <w:sz w:val="21"/>
                <w:szCs w:val="21"/>
                <w:highlight w:val="none"/>
                <w:u w:val="none"/>
                <w:lang w:val="en-US" w:eastAsia="zh-CN"/>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证明材料要求</w:t>
            </w:r>
          </w:p>
        </w:tc>
        <w:tc>
          <w:tcPr>
            <w:tcW w:w="3649" w:type="dxa"/>
            <w:tcBorders>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default" w:ascii="宋体" w:hAnsi="Calibri" w:eastAsia="宋体"/>
                <w:color w:val="000000" w:themeColor="text1"/>
                <w:sz w:val="21"/>
                <w:szCs w:val="21"/>
                <w:highlight w:val="none"/>
                <w:u w:val="none"/>
                <w:lang w:val="en-US" w:eastAsia="zh-CN"/>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评审标准</w:t>
            </w:r>
          </w:p>
        </w:tc>
        <w:tc>
          <w:tcPr>
            <w:tcW w:w="1951" w:type="dxa"/>
            <w:tcBorders>
              <w:left w:val="single" w:color="auto" w:sz="4" w:space="0"/>
              <w:bottom w:val="single" w:color="auto" w:sz="4" w:space="0"/>
            </w:tcBorders>
            <w:vAlign w:val="center"/>
          </w:tcPr>
          <w:p>
            <w:pPr>
              <w:autoSpaceDE w:val="0"/>
              <w:autoSpaceDN w:val="0"/>
              <w:adjustRightInd/>
              <w:spacing w:line="360" w:lineRule="auto"/>
              <w:jc w:val="center"/>
              <w:textAlignment w:val="auto"/>
              <w:rPr>
                <w:rFonts w:hint="eastAsia" w:ascii="宋体" w:hAnsi="Calibri" w:eastAsia="宋体"/>
                <w:color w:val="000000" w:themeColor="text1"/>
                <w:sz w:val="21"/>
                <w:szCs w:val="21"/>
                <w:highlight w:val="none"/>
                <w:u w:val="none"/>
                <w:lang w:val="en-US" w:eastAsia="zh-CN"/>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14:textFill>
                  <w14:solidFill>
                    <w14:schemeClr w14:val="tx1"/>
                  </w14:solidFill>
                </w14:textFill>
              </w:rPr>
            </w:pPr>
          </w:p>
        </w:tc>
        <w:tc>
          <w:tcPr>
            <w:tcW w:w="1501"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2106" w:type="dxa"/>
            <w:tcBorders>
              <w:top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ascii="宋体" w:hAnsi="Calibri"/>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ascii="宋体" w:hAnsi="Calibri"/>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ascii="宋体" w:hAnsi="Calibri"/>
                <w:color w:val="000000" w:themeColor="text1"/>
                <w:sz w:val="21"/>
                <w:szCs w:val="21"/>
                <w:highlight w:val="none"/>
                <w:u w:val="none"/>
                <w14:textFill>
                  <w14:solidFill>
                    <w14:schemeClr w14:val="tx1"/>
                  </w14:solidFill>
                </w14:textFill>
              </w:rPr>
            </w:pPr>
          </w:p>
        </w:tc>
        <w:tc>
          <w:tcPr>
            <w:tcW w:w="1951" w:type="dxa"/>
            <w:tcBorders>
              <w:top w:val="single" w:color="auto" w:sz="4" w:space="0"/>
              <w:left w:val="single" w:color="auto" w:sz="4" w:space="0"/>
              <w:bottom w:val="single" w:color="auto" w:sz="4" w:space="0"/>
            </w:tcBorders>
            <w:vAlign w:val="center"/>
          </w:tcPr>
          <w:p>
            <w:pPr>
              <w:autoSpaceDE w:val="0"/>
              <w:autoSpaceDN w:val="0"/>
              <w:adjustRightInd/>
              <w:spacing w:line="360" w:lineRule="auto"/>
              <w:jc w:val="center"/>
              <w:textAlignment w:val="auto"/>
              <w:rPr>
                <w:rFonts w:hint="default" w:ascii="宋体" w:hAnsi="Calibri" w:eastAsia="宋体"/>
                <w:color w:val="000000" w:themeColor="text1"/>
                <w:sz w:val="21"/>
                <w:szCs w:val="21"/>
                <w:highlight w:val="none"/>
                <w:u w:val="single"/>
                <w:lang w:val="en-US" w:eastAsia="zh-CN"/>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14:textFill>
                  <w14:solidFill>
                    <w14:schemeClr w14:val="tx1"/>
                  </w14:solidFill>
                </w14:textFill>
              </w:rPr>
            </w:pPr>
          </w:p>
        </w:tc>
        <w:tc>
          <w:tcPr>
            <w:tcW w:w="1501"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2106" w:type="dxa"/>
            <w:tcBorders>
              <w:top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eastAsia="宋体"/>
                <w:color w:val="000000" w:themeColor="text1"/>
                <w:sz w:val="21"/>
                <w:szCs w:val="21"/>
                <w:highlight w:val="none"/>
                <w:u w:val="none"/>
                <w:lang w:eastAsia="zh-CN"/>
                <w14:textFill>
                  <w14:solidFill>
                    <w14:schemeClr w14:val="tx1"/>
                  </w14:solidFill>
                </w14:textFill>
              </w:rPr>
            </w:pPr>
            <w:r>
              <w:rPr>
                <w:rFonts w:hint="eastAsia" w:ascii="宋体" w:hAnsi="Calibri"/>
                <w:color w:val="000000" w:themeColor="text1"/>
                <w:sz w:val="21"/>
                <w:szCs w:val="21"/>
                <w:highlight w:val="none"/>
                <w:u w:val="none"/>
                <w:lang w:eastAsia="zh-CN"/>
                <w14:textFill>
                  <w14:solidFill>
                    <w14:schemeClr w14:val="tx1"/>
                  </w14:solidFill>
                </w14:textFill>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ascii="宋体" w:hAnsi="Calibri"/>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ascii="宋体" w:hAnsi="Calibri"/>
                <w:color w:val="000000" w:themeColor="text1"/>
                <w:sz w:val="21"/>
                <w:szCs w:val="21"/>
                <w:highlight w:val="none"/>
                <w:u w:val="none"/>
                <w14:textFill>
                  <w14:solidFill>
                    <w14:schemeClr w14:val="tx1"/>
                  </w14:solidFill>
                </w14:textFill>
              </w:rPr>
            </w:pPr>
          </w:p>
        </w:tc>
        <w:tc>
          <w:tcPr>
            <w:tcW w:w="1951" w:type="dxa"/>
            <w:tcBorders>
              <w:top w:val="single" w:color="auto" w:sz="4" w:space="0"/>
              <w:left w:val="single" w:color="auto" w:sz="4" w:space="0"/>
              <w:bottom w:val="single" w:color="auto" w:sz="4" w:space="0"/>
            </w:tcBorders>
            <w:vAlign w:val="center"/>
          </w:tcPr>
          <w:p>
            <w:pPr>
              <w:autoSpaceDE w:val="0"/>
              <w:autoSpaceDN w:val="0"/>
              <w:adjustRightInd/>
              <w:spacing w:line="360" w:lineRule="auto"/>
              <w:jc w:val="center"/>
              <w:textAlignment w:val="auto"/>
              <w:rPr>
                <w:rFonts w:ascii="宋体" w:hAnsi="Calibri"/>
                <w:color w:val="000000" w:themeColor="text1"/>
                <w:sz w:val="21"/>
                <w:szCs w:val="21"/>
                <w:highlight w:val="none"/>
                <w:u w:val="none"/>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adjustRightInd/>
              <w:spacing w:line="300" w:lineRule="auto"/>
              <w:jc w:val="center"/>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2</w:t>
            </w:r>
          </w:p>
        </w:tc>
        <w:tc>
          <w:tcPr>
            <w:tcW w:w="905" w:type="dxa"/>
            <w:vMerge w:val="restart"/>
            <w:vAlign w:val="center"/>
          </w:tcPr>
          <w:p>
            <w:pPr>
              <w:autoSpaceDE w:val="0"/>
              <w:autoSpaceDN w:val="0"/>
              <w:adjustRightInd/>
              <w:spacing w:line="30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3.2.2</w:t>
            </w:r>
          </w:p>
        </w:tc>
        <w:tc>
          <w:tcPr>
            <w:tcW w:w="1501" w:type="dxa"/>
            <w:vMerge w:val="restart"/>
            <w:vAlign w:val="center"/>
          </w:tcPr>
          <w:p>
            <w:pPr>
              <w:autoSpaceDE w:val="0"/>
              <w:autoSpaceDN w:val="0"/>
              <w:adjustRightInd/>
              <w:spacing w:line="300" w:lineRule="auto"/>
              <w:jc w:val="center"/>
              <w:textAlignment w:val="auto"/>
              <w:rPr>
                <w:rFonts w:hint="default"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实力要素</w:t>
            </w:r>
          </w:p>
        </w:tc>
        <w:tc>
          <w:tcPr>
            <w:tcW w:w="2106" w:type="dxa"/>
            <w:tcBorders>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证明材料要求</w:t>
            </w:r>
          </w:p>
        </w:tc>
        <w:tc>
          <w:tcPr>
            <w:tcW w:w="3649" w:type="dxa"/>
            <w:tcBorders>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评审标准</w:t>
            </w:r>
          </w:p>
        </w:tc>
        <w:tc>
          <w:tcPr>
            <w:tcW w:w="1951" w:type="dxa"/>
            <w:tcBorders>
              <w:left w:val="single" w:color="auto" w:sz="4" w:space="0"/>
              <w:bottom w:val="single" w:color="auto" w:sz="4" w:space="0"/>
            </w:tcBorders>
            <w:vAlign w:val="center"/>
          </w:tcPr>
          <w:p>
            <w:pPr>
              <w:autoSpaceDE w:val="0"/>
              <w:autoSpaceDN w:val="0"/>
              <w:adjustRightInd/>
              <w:spacing w:line="360" w:lineRule="auto"/>
              <w:jc w:val="center"/>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2106" w:type="dxa"/>
            <w:tcBorders>
              <w:top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1951" w:type="dxa"/>
            <w:tcBorders>
              <w:top w:val="single" w:color="auto" w:sz="4" w:space="0"/>
              <w:left w:val="single" w:color="auto" w:sz="4" w:space="0"/>
              <w:bottom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2106" w:type="dxa"/>
            <w:tcBorders>
              <w:top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1951" w:type="dxa"/>
            <w:tcBorders>
              <w:top w:val="single" w:color="auto" w:sz="4" w:space="0"/>
              <w:left w:val="single" w:color="auto" w:sz="4" w:space="0"/>
              <w:bottom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2106" w:type="dxa"/>
            <w:tcBorders>
              <w:top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eastAsia="宋体"/>
                <w:color w:val="000000" w:themeColor="text1"/>
                <w:sz w:val="21"/>
                <w:szCs w:val="21"/>
                <w:highlight w:val="none"/>
                <w:u w:val="none"/>
                <w:lang w:eastAsia="zh-CN"/>
                <w14:textFill>
                  <w14:solidFill>
                    <w14:schemeClr w14:val="tx1"/>
                  </w14:solidFill>
                </w14:textFill>
              </w:rPr>
            </w:pPr>
            <w:r>
              <w:rPr>
                <w:rFonts w:hint="eastAsia" w:ascii="宋体" w:hAnsi="Calibri"/>
                <w:color w:val="000000" w:themeColor="text1"/>
                <w:sz w:val="21"/>
                <w:szCs w:val="21"/>
                <w:highlight w:val="none"/>
                <w:u w:val="none"/>
                <w:lang w:eastAsia="zh-CN"/>
                <w14:textFill>
                  <w14:solidFill>
                    <w14:schemeClr w14:val="tx1"/>
                  </w14:solidFill>
                </w14:textFill>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p>
        </w:tc>
        <w:tc>
          <w:tcPr>
            <w:tcW w:w="1951" w:type="dxa"/>
            <w:tcBorders>
              <w:top w:val="single" w:color="auto" w:sz="4" w:space="0"/>
              <w:left w:val="single" w:color="auto" w:sz="4" w:space="0"/>
              <w:bottom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757" w:hRule="atLeast"/>
        </w:trPr>
        <w:tc>
          <w:tcPr>
            <w:tcW w:w="684" w:type="dxa"/>
            <w:vMerge w:val="continue"/>
            <w:tcBorders>
              <w:bottom w:val="single" w:color="auto" w:sz="4" w:space="0"/>
            </w:tcBorders>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bottom w:val="single" w:color="auto" w:sz="4" w:space="0"/>
            </w:tcBorders>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vMerge w:val="continue"/>
            <w:tcBorders>
              <w:bottom w:val="single" w:color="auto" w:sz="4" w:space="0"/>
            </w:tcBorders>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2106"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right="20" w:rightChars="10"/>
              <w:jc w:val="center"/>
              <w:textAlignment w:val="auto"/>
              <w:rPr>
                <w:rFonts w:hint="default" w:ascii="Calibri" w:hAnsi="Calibri" w:eastAsia="宋体" w:cs="Times New Roman"/>
                <w:color w:val="000000" w:themeColor="text1"/>
                <w:sz w:val="21"/>
                <w:szCs w:val="21"/>
                <w:highlight w:val="none"/>
                <w:u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u w:val="none"/>
                <w:lang w:val="en-US" w:eastAsia="zh-CN" w:bidi="ar-SA"/>
                <w14:textFill>
                  <w14:solidFill>
                    <w14:schemeClr w14:val="tx1"/>
                  </w14:solidFill>
                </w14:textFill>
              </w:rPr>
              <w:t>项目负责人陈述答辩</w:t>
            </w:r>
          </w:p>
        </w:tc>
        <w:tc>
          <w:tcPr>
            <w:tcW w:w="7022" w:type="dxa"/>
            <w:gridSpan w:val="2"/>
            <w:tcBorders>
              <w:top w:val="single" w:color="auto" w:sz="4" w:space="0"/>
              <w:left w:val="single" w:color="auto" w:sz="4" w:space="0"/>
              <w:right w:val="single" w:color="auto" w:sz="4" w:space="0"/>
            </w:tcBorders>
            <w:vAlign w:val="center"/>
          </w:tcPr>
          <w:p>
            <w:pPr>
              <w:pStyle w:val="130"/>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Calibri" w:hAnsi="Calibri"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u w:val="none"/>
                <w:lang w:val="zh-CN" w:eastAsia="zh-CN" w:bidi="ar-SA"/>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300" w:lineRule="auto"/>
              <w:ind w:right="20" w:rightChars="10"/>
              <w:jc w:val="both"/>
              <w:textAlignment w:val="auto"/>
              <w:rPr>
                <w:rFonts w:hint="eastAsia" w:ascii="Calibri" w:hAnsi="Calibri"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u w:val="none"/>
                <w:lang w:val="en-US" w:eastAsia="zh-CN" w:bidi="ar-SA"/>
                <w14:textFill>
                  <w14:solidFill>
                    <w14:schemeClr w14:val="tx1"/>
                  </w14:solidFill>
                </w14:textFill>
              </w:rPr>
              <w:t>□是：招标人选择项目负责人陈述答辩的，有关标准和程序执行定标方案附件“</w:t>
            </w: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项目负责人陈述答辩方案</w:t>
            </w:r>
            <w:r>
              <w:rPr>
                <w:rFonts w:hint="eastAsia" w:ascii="Calibri" w:hAnsi="Calibri" w:eastAsia="宋体" w:cs="Times New Roman"/>
                <w:color w:val="000000" w:themeColor="text1"/>
                <w:kern w:val="0"/>
                <w:sz w:val="21"/>
                <w:szCs w:val="21"/>
                <w:highlight w:val="none"/>
                <w:u w:val="none"/>
                <w:lang w:val="en-US" w:eastAsia="zh-CN" w:bidi="ar-SA"/>
                <w14:textFill>
                  <w14:solidFill>
                    <w14:schemeClr w14:val="tx1"/>
                  </w14:solidFill>
                </w14:textFill>
              </w:rPr>
              <w:t>”规定。</w:t>
            </w:r>
          </w:p>
        </w:tc>
        <w:tc>
          <w:tcPr>
            <w:tcW w:w="1951" w:type="dxa"/>
            <w:tcBorders>
              <w:top w:val="single" w:color="auto" w:sz="4" w:space="0"/>
              <w:left w:val="single" w:color="auto" w:sz="4" w:space="0"/>
            </w:tcBorders>
            <w:vAlign w:val="center"/>
          </w:tcPr>
          <w:p>
            <w:pPr>
              <w:autoSpaceDE w:val="0"/>
              <w:autoSpaceDN w:val="0"/>
              <w:adjustRightInd/>
              <w:spacing w:line="360" w:lineRule="auto"/>
              <w:jc w:val="left"/>
              <w:textAlignment w:val="auto"/>
              <w:rPr>
                <w:rFonts w:hint="default" w:ascii="宋体" w:hAnsi="Calibri"/>
                <w:color w:val="000000" w:themeColor="text1"/>
                <w:sz w:val="21"/>
                <w:szCs w:val="21"/>
                <w:highlight w:val="none"/>
                <w:u w:val="none"/>
                <w:lang w:val="en-US"/>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%，其中项目应急保证能力部分的陈述权重</w:t>
            </w: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795" w:hRule="atLeast"/>
        </w:trPr>
        <w:tc>
          <w:tcPr>
            <w:tcW w:w="684" w:type="dxa"/>
            <w:tcBorders>
              <w:top w:val="single" w:color="auto" w:sz="4" w:space="0"/>
              <w:bottom w:val="single" w:color="auto" w:sz="4" w:space="0"/>
            </w:tcBorders>
            <w:vAlign w:val="center"/>
          </w:tcPr>
          <w:p>
            <w:pPr>
              <w:autoSpaceDE w:val="0"/>
              <w:autoSpaceDN w:val="0"/>
              <w:adjustRightInd/>
              <w:spacing w:line="300" w:lineRule="auto"/>
              <w:jc w:val="center"/>
              <w:textAlignment w:val="auto"/>
              <w:rPr>
                <w:rFonts w:hint="default"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w:t>
            </w:r>
          </w:p>
        </w:tc>
        <w:tc>
          <w:tcPr>
            <w:tcW w:w="905" w:type="dxa"/>
            <w:tcBorders>
              <w:top w:val="single" w:color="auto" w:sz="4" w:space="0"/>
              <w:bottom w:val="single" w:color="auto" w:sz="4" w:space="0"/>
            </w:tcBorders>
            <w:vAlign w:val="center"/>
          </w:tcPr>
          <w:p>
            <w:pPr>
              <w:autoSpaceDE w:val="0"/>
              <w:autoSpaceDN w:val="0"/>
              <w:adjustRightInd/>
              <w:spacing w:line="300" w:lineRule="auto"/>
              <w:jc w:val="center"/>
              <w:textAlignment w:val="auto"/>
              <w:rPr>
                <w:rFonts w:hint="default"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3.2.2</w:t>
            </w:r>
          </w:p>
        </w:tc>
        <w:tc>
          <w:tcPr>
            <w:tcW w:w="1501" w:type="dxa"/>
            <w:tcBorders>
              <w:top w:val="single" w:color="auto" w:sz="4" w:space="0"/>
              <w:bottom w:val="single" w:color="auto" w:sz="4" w:space="0"/>
            </w:tcBorders>
            <w:vAlign w:val="center"/>
          </w:tcPr>
          <w:p>
            <w:pPr>
              <w:autoSpaceDE w:val="0"/>
              <w:autoSpaceDN w:val="0"/>
              <w:adjustRightInd/>
              <w:spacing w:line="300" w:lineRule="auto"/>
              <w:jc w:val="center"/>
              <w:textAlignment w:val="auto"/>
              <w:rPr>
                <w:rFonts w:hint="default"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报价要素</w:t>
            </w:r>
          </w:p>
        </w:tc>
        <w:tc>
          <w:tcPr>
            <w:tcW w:w="9128" w:type="dxa"/>
            <w:gridSpan w:val="3"/>
            <w:tcBorders>
              <w:top w:val="single" w:color="auto" w:sz="4" w:space="0"/>
              <w:bottom w:val="single" w:color="auto" w:sz="4" w:space="0"/>
              <w:right w:val="single" w:color="auto" w:sz="4" w:space="0"/>
            </w:tcBorders>
            <w:vAlign w:val="center"/>
          </w:tcPr>
          <w:p>
            <w:pPr>
              <w:autoSpaceDE w:val="0"/>
              <w:autoSpaceDN w:val="0"/>
              <w:adjustRightInd/>
              <w:spacing w:line="360" w:lineRule="auto"/>
              <w:jc w:val="center"/>
              <w:textAlignment w:val="auto"/>
              <w:rPr>
                <w:rFonts w:hint="default" w:ascii="宋体" w:hAnsi="Calibri" w:eastAsia="宋体"/>
                <w:color w:val="000000" w:themeColor="text1"/>
                <w:sz w:val="21"/>
                <w:szCs w:val="21"/>
                <w:highlight w:val="none"/>
                <w:u w:val="none"/>
                <w:lang w:val="en-US" w:eastAsia="zh-CN"/>
                <w14:textFill>
                  <w14:solidFill>
                    <w14:schemeClr w14:val="tx1"/>
                  </w14:solidFill>
                </w14:textFill>
              </w:rPr>
            </w:pPr>
            <w:r>
              <w:rPr>
                <w:rFonts w:hint="eastAsia" w:ascii="宋体" w:hAnsi="Calibri"/>
                <w:color w:val="000000" w:themeColor="text1"/>
                <w:sz w:val="21"/>
                <w:szCs w:val="21"/>
                <w:highlight w:val="none"/>
                <w:u w:val="none"/>
                <w:lang w:val="en-US" w:eastAsia="zh-CN"/>
                <w14:textFill>
                  <w14:solidFill>
                    <w14:schemeClr w14:val="tx1"/>
                  </w14:solidFill>
                </w14:textFill>
              </w:rPr>
              <w:t>有关标准和程序执行定标方案附件“报价要素评审标准”规定。</w:t>
            </w:r>
          </w:p>
        </w:tc>
        <w:tc>
          <w:tcPr>
            <w:tcW w:w="1951" w:type="dxa"/>
            <w:tcBorders>
              <w:top w:val="single" w:color="auto" w:sz="4" w:space="0"/>
              <w:left w:val="single" w:color="auto" w:sz="4" w:space="0"/>
              <w:bottom w:val="single" w:color="auto" w:sz="4" w:space="0"/>
            </w:tcBorders>
            <w:vAlign w:val="center"/>
          </w:tcPr>
          <w:p>
            <w:pPr>
              <w:autoSpaceDE w:val="0"/>
              <w:autoSpaceDN w:val="0"/>
              <w:adjustRightInd/>
              <w:spacing w:line="360" w:lineRule="auto"/>
              <w:jc w:val="center"/>
              <w:textAlignment w:val="auto"/>
              <w:rPr>
                <w:rFonts w:hint="eastAsia" w:ascii="宋体" w:hAnsi="Calibri"/>
                <w:color w:val="000000" w:themeColor="text1"/>
                <w:sz w:val="21"/>
                <w:szCs w:val="21"/>
                <w:highlight w:val="none"/>
                <w:u w:val="none"/>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pPr>
              <w:adjustRightInd/>
              <w:spacing w:line="300" w:lineRule="auto"/>
              <w:jc w:val="center"/>
              <w:textAlignment w:val="auto"/>
              <w:rPr>
                <w:rFonts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项</w:t>
            </w:r>
            <w:r>
              <w:rPr>
                <w:rFonts w:ascii="宋体" w:hAnsi="宋体" w:cs="宋体"/>
                <w:b/>
                <w:color w:val="000000" w:themeColor="text1"/>
                <w:kern w:val="1"/>
                <w:sz w:val="21"/>
                <w:szCs w:val="21"/>
                <w:highlight w:val="none"/>
                <w14:textFill>
                  <w14:solidFill>
                    <w14:schemeClr w14:val="tx1"/>
                  </w14:solidFill>
                </w14:textFill>
              </w:rPr>
              <w:t>号</w:t>
            </w:r>
          </w:p>
        </w:tc>
        <w:tc>
          <w:tcPr>
            <w:tcW w:w="905" w:type="dxa"/>
            <w:tcBorders>
              <w:bottom w:val="single" w:color="auto" w:sz="4" w:space="0"/>
            </w:tcBorders>
            <w:vAlign w:val="center"/>
          </w:tcPr>
          <w:p>
            <w:pPr>
              <w:adjustRightInd/>
              <w:spacing w:line="300" w:lineRule="auto"/>
              <w:jc w:val="center"/>
              <w:textAlignment w:val="auto"/>
              <w:rPr>
                <w:rFonts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501" w:type="dxa"/>
            <w:tcBorders>
              <w:bottom w:val="single" w:color="auto" w:sz="4" w:space="0"/>
            </w:tcBorders>
            <w:vAlign w:val="center"/>
          </w:tcPr>
          <w:p>
            <w:pPr>
              <w:adjustRightInd/>
              <w:spacing w:line="300" w:lineRule="auto"/>
              <w:jc w:val="center"/>
              <w:textAlignment w:val="auto"/>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定标方法</w:t>
            </w:r>
            <w:r>
              <w:rPr>
                <w:rFonts w:hint="eastAsia" w:ascii="宋体" w:hAnsi="宋体" w:cs="宋体"/>
                <w:b/>
                <w:color w:val="000000" w:themeColor="text1"/>
                <w:kern w:val="1"/>
                <w:position w:val="-2"/>
                <w:sz w:val="21"/>
                <w:szCs w:val="21"/>
                <w:highlight w:val="none"/>
                <w:vertAlign w:val="superscript"/>
                <w:lang w:val="en-US" w:eastAsia="zh-CN"/>
                <w14:textFill>
                  <w14:solidFill>
                    <w14:schemeClr w14:val="tx1"/>
                  </w14:solidFill>
                </w14:textFill>
              </w:rPr>
              <w:footnoteReference w:id="42"/>
            </w:r>
          </w:p>
        </w:tc>
        <w:tc>
          <w:tcPr>
            <w:tcW w:w="11079" w:type="dxa"/>
            <w:gridSpan w:val="4"/>
            <w:vAlign w:val="center"/>
          </w:tcPr>
          <w:p>
            <w:pPr>
              <w:adjustRightInd/>
              <w:spacing w:line="300" w:lineRule="auto"/>
              <w:ind w:firstLine="340"/>
              <w:jc w:val="center"/>
              <w:textAlignment w:val="auto"/>
              <w:rPr>
                <w:rFonts w:hint="default"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71" w:hRule="atLeast"/>
        </w:trPr>
        <w:tc>
          <w:tcPr>
            <w:tcW w:w="684" w:type="dxa"/>
            <w:vMerge w:val="restart"/>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p>
        </w:tc>
        <w:tc>
          <w:tcPr>
            <w:tcW w:w="905" w:type="dxa"/>
            <w:vMerge w:val="restart"/>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2</w:t>
            </w:r>
          </w:p>
        </w:tc>
        <w:tc>
          <w:tcPr>
            <w:tcW w:w="1501" w:type="dxa"/>
            <w:vAlign w:val="center"/>
          </w:tcPr>
          <w:p>
            <w:pPr>
              <w:autoSpaceDE w:val="0"/>
              <w:autoSpaceDN w:val="0"/>
              <w:spacing w:line="300" w:lineRule="auto"/>
              <w:jc w:val="center"/>
              <w:rPr>
                <w:rFonts w:hint="default" w:ascii="Calibri" w:hAnsi="Calibri"/>
                <w:color w:val="000000" w:themeColor="text1"/>
                <w:sz w:val="21"/>
                <w:szCs w:val="21"/>
                <w:highlight w:val="none"/>
                <w:lang w:val="en-US"/>
                <w14:textFill>
                  <w14:solidFill>
                    <w14:schemeClr w14:val="tx1"/>
                  </w14:solidFill>
                </w14:textFill>
              </w:rPr>
            </w:pPr>
            <w:r>
              <w:rPr>
                <w:rFonts w:hint="eastAsia" w:ascii="Calibri" w:hAnsi="Calibri" w:eastAsia="宋体" w:cs="Times New Roman"/>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高分低价法</w:t>
            </w:r>
          </w:p>
        </w:tc>
        <w:tc>
          <w:tcPr>
            <w:tcW w:w="11079"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1.确定中标候选人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（2）当两个或两个以上定标候选人的综合得分相同时且影响中标候选人数量的确定时，在此类定标候选人范围中依次按下列规则确定中标候选人：</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①投标报价低的定标候选人优先；</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②投标报价相同时，随机抽取确定，随机抽取工作</w:t>
            </w:r>
            <w:r>
              <w:rPr>
                <w:rFonts w:hint="eastAsia" w:ascii="宋体" w:hAnsi="宋体"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2.推荐中标人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定标委员会推荐投标报价最低</w:t>
            </w:r>
            <w:r>
              <w:rPr>
                <w:rFonts w:hint="eastAsia" w:ascii="宋体" w:hAnsi="宋体" w:cs="宋体"/>
                <w:color w:val="000000" w:themeColor="text1"/>
                <w:sz w:val="21"/>
                <w:szCs w:val="21"/>
                <w:highlight w:val="none"/>
                <w14:textFill>
                  <w14:solidFill>
                    <w14:schemeClr w14:val="tx1"/>
                  </w14:solidFill>
                </w14:textFill>
              </w:rPr>
              <w:t>（投标报价如有修正，以修正后投标报价为准）</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的中标候选人为中标人。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出现最低投标报价相同情形时，在最低投标报价相同的投标人中，采用随机抽取方式</w:t>
            </w:r>
            <w:r>
              <w:rPr>
                <w:rFonts w:hint="eastAsia" w:ascii="宋体" w:hAnsi="宋体" w:cs="宋体"/>
                <w:color w:val="000000" w:themeColor="text1"/>
                <w:kern w:val="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中标人。随机抽取工作</w:t>
            </w:r>
            <w:r>
              <w:rPr>
                <w:rFonts w:hint="eastAsia" w:ascii="宋体" w:hAnsi="宋体"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ascii="宋体" w:hAnsi="宋体"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w:t>
            </w:r>
            <w:r>
              <w:rPr>
                <w:rFonts w:hint="eastAsia" w:ascii="宋体" w:hAnsi="宋体" w:cs="宋体"/>
                <w:color w:val="000000" w:themeColor="text1"/>
                <w:kern w:val="1"/>
                <w:sz w:val="21"/>
                <w:szCs w:val="21"/>
                <w:highlight w:val="none"/>
                <w:lang w:val="en-US" w:eastAsia="zh-CN"/>
                <w14:textFill>
                  <w14:solidFill>
                    <w14:schemeClr w14:val="tx1"/>
                  </w14:solidFill>
                </w14:textFill>
              </w:rPr>
              <w:t>推荐</w:t>
            </w:r>
            <w:r>
              <w:rPr>
                <w:rFonts w:hint="eastAsia" w:ascii="宋体" w:hAnsi="宋体" w:cs="宋体"/>
                <w:color w:val="000000" w:themeColor="text1"/>
                <w:kern w:val="1"/>
                <w:sz w:val="21"/>
                <w:szCs w:val="21"/>
                <w:highlight w:val="none"/>
                <w:lang w:val="zh-CN"/>
                <w14:textFill>
                  <w14:solidFill>
                    <w14:schemeClr w14:val="tx1"/>
                  </w14:solidFill>
                </w14:textFill>
              </w:rPr>
              <w:t>为中标人；</w:t>
            </w:r>
          </w:p>
          <w:p>
            <w:pPr>
              <w:keepNext w:val="0"/>
              <w:keepLines w:val="0"/>
              <w:pageBreakBefore w:val="0"/>
              <w:widowControl w:val="0"/>
              <w:kinsoku/>
              <w:wordWrap/>
              <w:overflowPunct/>
              <w:topLinePunct w:val="0"/>
              <w:autoSpaceDE w:val="0"/>
              <w:autoSpaceDN w:val="0"/>
              <w:bidi w:val="0"/>
              <w:adjustRightInd/>
              <w:snapToGrid/>
              <w:spacing w:line="280" w:lineRule="exact"/>
              <w:ind w:firstLine="424" w:firstLineChars="200"/>
              <w:jc w:val="left"/>
              <w:textAlignment w:val="auto"/>
              <w:rPr>
                <w:rFonts w:ascii="宋体" w:hAnsi="Calibri"/>
                <w:color w:val="000000" w:themeColor="text1"/>
                <w:sz w:val="21"/>
                <w:szCs w:val="21"/>
                <w:highlight w:val="none"/>
                <w:u w:val="none"/>
                <w14:textFill>
                  <w14:solidFill>
                    <w14:schemeClr w14:val="tx1"/>
                  </w14:solidFill>
                </w14:textFill>
              </w:rPr>
            </w:pPr>
            <w:r>
              <w:rPr>
                <w:rFonts w:hint="eastAsia" w:ascii="宋体" w:hAnsi="宋体" w:cs="宋体"/>
                <w:color w:val="000000" w:themeColor="text1"/>
                <w:kern w:val="1"/>
                <w:sz w:val="21"/>
                <w:szCs w:val="21"/>
                <w:highlight w:val="none"/>
                <w:lang w:val="zh-CN"/>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ascii="宋体" w:hAnsi="宋体" w:cs="宋体"/>
                <w:color w:val="000000" w:themeColor="text1"/>
                <w:kern w:val="1"/>
                <w:sz w:val="21"/>
                <w:szCs w:val="21"/>
                <w:highlight w:val="none"/>
                <w:lang w:val="en-US" w:eastAsia="zh-CN"/>
                <w14:textFill>
                  <w14:solidFill>
                    <w14:schemeClr w14:val="tx1"/>
                  </w14:solidFill>
                </w14:textFill>
              </w:rPr>
              <w:t>结果</w:t>
            </w:r>
            <w:r>
              <w:rPr>
                <w:rFonts w:hint="eastAsia" w:ascii="宋体" w:hAnsi="宋体"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781"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vAlign w:val="center"/>
          </w:tcPr>
          <w:p>
            <w:pPr>
              <w:autoSpaceDE w:val="0"/>
              <w:autoSpaceDN w:val="0"/>
              <w:spacing w:line="300" w:lineRule="auto"/>
              <w:jc w:val="center"/>
              <w:rPr>
                <w:rFonts w:hint="eastAsia" w:ascii="Calibri" w:hAnsi="Calibri" w:eastAsia="宋体" w:cs="Times New Roman"/>
                <w:color w:val="000000" w:themeColor="text1"/>
                <w:kern w:val="0"/>
                <w:sz w:val="21"/>
                <w:szCs w:val="21"/>
                <w:highlight w:val="none"/>
                <w:u w:val="none"/>
                <w:lang w:val="zh-CN"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高分随机法</w:t>
            </w:r>
          </w:p>
        </w:tc>
        <w:tc>
          <w:tcPr>
            <w:tcW w:w="11079"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1.确定中标候选人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（2）当两个或两个以上定标候选人的综合得分相同时且影响中标候选人数量的确定时，在此类定标候选人范围中依次按下列规则确定中标候选人：</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①投标报价低的定标候选人优先；</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②投标报价相同时，随机抽取确定，随机抽取工作</w:t>
            </w:r>
            <w:r>
              <w:rPr>
                <w:rFonts w:hint="eastAsia" w:ascii="宋体" w:hAnsi="宋体"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2.推荐中标人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定标委员会在中标候选人范围中，根据随机抽取结果推荐中标人。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ascii="宋体" w:hAnsi="宋体"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ascii="宋体" w:hAnsi="宋体"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ascii="宋体" w:hAnsi="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cs="宋体"/>
                <w:color w:val="000000" w:themeColor="text1"/>
                <w:kern w:val="1"/>
                <w:sz w:val="21"/>
                <w:szCs w:val="21"/>
                <w:highlight w:val="none"/>
                <w:lang w:val="zh-CN"/>
                <w14:textFill>
                  <w14:solidFill>
                    <w14:schemeClr w14:val="tx1"/>
                  </w14:solidFill>
                </w14:textFill>
              </w:rPr>
              <w:t>候选人</w:t>
            </w:r>
            <w:r>
              <w:rPr>
                <w:rFonts w:hint="eastAsia" w:ascii="宋体" w:hAnsi="宋体" w:cs="宋体"/>
                <w:color w:val="000000" w:themeColor="text1"/>
                <w:kern w:val="1"/>
                <w:sz w:val="21"/>
                <w:szCs w:val="21"/>
                <w:highlight w:val="none"/>
                <w:lang w:val="en-US" w:eastAsia="zh-CN"/>
                <w14:textFill>
                  <w14:solidFill>
                    <w14:schemeClr w14:val="tx1"/>
                  </w14:solidFill>
                </w14:textFill>
              </w:rPr>
              <w:t>推荐</w:t>
            </w:r>
            <w:r>
              <w:rPr>
                <w:rFonts w:hint="eastAsia" w:ascii="宋体" w:hAnsi="宋体" w:cs="宋体"/>
                <w:color w:val="000000" w:themeColor="text1"/>
                <w:kern w:val="1"/>
                <w:sz w:val="21"/>
                <w:szCs w:val="21"/>
                <w:highlight w:val="none"/>
                <w:lang w:val="zh-CN"/>
                <w14:textFill>
                  <w14:solidFill>
                    <w14:schemeClr w14:val="tx1"/>
                  </w14:solidFill>
                </w14:textFill>
              </w:rPr>
              <w:t>为中标人；</w:t>
            </w:r>
          </w:p>
          <w:p>
            <w:pPr>
              <w:keepNext w:val="0"/>
              <w:keepLines w:val="0"/>
              <w:pageBreakBefore w:val="0"/>
              <w:widowControl w:val="0"/>
              <w:kinsoku/>
              <w:wordWrap/>
              <w:overflowPunct/>
              <w:topLinePunct w:val="0"/>
              <w:autoSpaceDE w:val="0"/>
              <w:autoSpaceDN w:val="0"/>
              <w:bidi w:val="0"/>
              <w:adjustRightInd/>
              <w:snapToGrid/>
              <w:spacing w:line="280" w:lineRule="atLeast"/>
              <w:ind w:firstLine="424"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zh-CN"/>
                <w14:textFill>
                  <w14:solidFill>
                    <w14:schemeClr w14:val="tx1"/>
                  </w14:solidFill>
                </w14:textFill>
              </w:rPr>
              <w:t>（</w:t>
            </w:r>
            <w:r>
              <w:rPr>
                <w:rFonts w:hint="eastAsia" w:ascii="宋体" w:hAnsi="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ascii="宋体" w:hAnsi="宋体" w:cs="宋体"/>
                <w:color w:val="000000" w:themeColor="text1"/>
                <w:kern w:val="1"/>
                <w:sz w:val="21"/>
                <w:szCs w:val="21"/>
                <w:highlight w:val="none"/>
                <w:lang w:val="en-US" w:eastAsia="zh-CN"/>
                <w14:textFill>
                  <w14:solidFill>
                    <w14:schemeClr w14:val="tx1"/>
                  </w14:solidFill>
                </w14:textFill>
              </w:rPr>
              <w:t>结果</w:t>
            </w:r>
            <w:r>
              <w:rPr>
                <w:rFonts w:hint="eastAsia" w:ascii="宋体" w:hAnsi="宋体"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vAlign w:val="center"/>
          </w:tcPr>
          <w:p>
            <w:pPr>
              <w:autoSpaceDE w:val="0"/>
              <w:autoSpaceDN w:val="0"/>
              <w:spacing w:line="300" w:lineRule="auto"/>
              <w:jc w:val="center"/>
              <w:rPr>
                <w:rFonts w:hint="eastAsia" w:ascii="Calibri" w:hAnsi="Calibri" w:eastAsia="宋体" w:cs="Times New Roman"/>
                <w:color w:val="000000" w:themeColor="text1"/>
                <w:kern w:val="0"/>
                <w:sz w:val="21"/>
                <w:szCs w:val="21"/>
                <w:highlight w:val="none"/>
                <w:u w:val="none"/>
                <w:lang w:val="zh-CN"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低价随机法</w:t>
            </w:r>
          </w:p>
        </w:tc>
        <w:tc>
          <w:tcPr>
            <w:tcW w:w="11079"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1.确定定标范围</w:t>
            </w:r>
          </w:p>
          <w:p>
            <w:pPr>
              <w:keepNext w:val="0"/>
              <w:keepLines w:val="0"/>
              <w:pageBreakBefore w:val="0"/>
              <w:widowControl w:val="0"/>
              <w:kinsoku/>
              <w:overflowPunct/>
              <w:topLinePunct w:val="0"/>
              <w:autoSpaceDE/>
              <w:autoSpaceDN/>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按定标候选人综合得分从高往低排序，定标委员会确定综合得分靠前30%（具体家数四舍五入后取整）且不少于3家定标候选人入围定标范围（定标候选人数量少于3家的，按实际入围）。与定标范围内排名最后一家的综合得分相同的定标候选人均入围定标范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2.确定中标候选人</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4"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评标委员会推荐的定标候选人数量小于20家时，定标委员会确定</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在定标范围内</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由低往高排序在前的3家定标候选人为中标候选人；评标委员会推荐的定标候选人数量大于等于20家时，定标委员会确定</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在定标范围内</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由低往高排序在前的5家定标候选人为中标候选人</w:t>
            </w:r>
            <w:r>
              <w:rPr>
                <w:rFonts w:hint="eastAsia" w:ascii="宋体" w:hAnsi="宋体" w:cs="宋体"/>
                <w:color w:val="000000" w:themeColor="text1"/>
                <w:kern w:val="1"/>
                <w:sz w:val="21"/>
                <w:szCs w:val="21"/>
                <w:highlight w:val="none"/>
                <w:lang w:val="en-US" w:eastAsia="zh-CN"/>
                <w14:textFill>
                  <w14:solidFill>
                    <w14:schemeClr w14:val="tx1"/>
                  </w14:solidFill>
                </w14:textFill>
              </w:rPr>
              <w:t>。</w:t>
            </w:r>
          </w:p>
          <w:p>
            <w:pPr>
              <w:numPr>
                <w:ilvl w:val="0"/>
                <w:numId w:val="0"/>
              </w:numPr>
              <w:adjustRightInd/>
              <w:spacing w:beforeLines="0" w:afterLines="0" w:line="300" w:lineRule="auto"/>
              <w:ind w:firstLine="424" w:firstLineChars="200"/>
              <w:textAlignment w:val="auto"/>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）评审报价计算规则：</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定标候选人的投标报价等于评审报价。</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（2）当两个或两个以上定标候选人的评审报价相同时且影响中标候选人数量的确定时，在此类定标候选人范围中依次按下列规则确定中标候选人：</w:t>
            </w:r>
          </w:p>
          <w:p>
            <w:pPr>
              <w:keepNext w:val="0"/>
              <w:keepLines w:val="0"/>
              <w:pageBreakBefore w:val="0"/>
              <w:widowControl w:val="0"/>
              <w:kinsoku/>
              <w:wordWrap/>
              <w:overflowPunct/>
              <w:topLinePunct w:val="0"/>
              <w:bidi w:val="0"/>
              <w:adjustRightInd/>
              <w:snapToGrid/>
              <w:spacing w:beforeLines="0" w:afterLines="0" w:line="300" w:lineRule="auto"/>
              <w:ind w:firstLine="424" w:firstLineChars="200"/>
              <w:jc w:val="both"/>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①综合得分高的定标候选人优先；</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②综合得分相同时，随机抽取确定，随机抽取工作</w:t>
            </w:r>
            <w:r>
              <w:rPr>
                <w:rFonts w:hint="eastAsia" w:ascii="宋体" w:hAnsi="宋体"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3.推荐中标人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定标委员会在中标候选人范围中，根据随机抽取结果推荐中标人。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ascii="宋体" w:hAnsi="宋体"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4" w:firstLineChars="200"/>
              <w:jc w:val="left"/>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候选人为中标人；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atLeast"/>
              <w:ind w:left="0" w:leftChars="0" w:firstLine="424" w:firstLineChars="200"/>
              <w:jc w:val="left"/>
              <w:textAlignment w:val="auto"/>
              <w:rPr>
                <w:rFonts w:hint="eastAsia" w:ascii="宋体" w:hAnsi="宋体"/>
                <w:color w:val="000000" w:themeColor="text1"/>
                <w:sz w:val="34"/>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68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1" w:type="dxa"/>
            <w:vAlign w:val="center"/>
          </w:tcPr>
          <w:p>
            <w:pPr>
              <w:autoSpaceDE w:val="0"/>
              <w:autoSpaceDN w:val="0"/>
              <w:spacing w:line="300" w:lineRule="auto"/>
              <w:jc w:val="center"/>
              <w:rPr>
                <w:rFonts w:hint="eastAsia" w:ascii="Calibri" w:hAnsi="Calibri" w:eastAsia="宋体" w:cs="Times New Roman"/>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cs="宋体"/>
                <w:color w:val="000000" w:themeColor="text1"/>
                <w:sz w:val="21"/>
                <w:szCs w:val="21"/>
                <w:highlight w:val="none"/>
                <w:u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w:t>
            </w:r>
          </w:p>
        </w:tc>
        <w:tc>
          <w:tcPr>
            <w:tcW w:w="11079" w:type="dxa"/>
            <w:gridSpan w:val="4"/>
            <w:tcBorders>
              <w:bottom w:val="single" w:color="auto" w:sz="4" w:space="0"/>
            </w:tcBorders>
            <w:vAlign w:val="center"/>
          </w:tcPr>
          <w:p>
            <w:pPr>
              <w:autoSpaceDE w:val="0"/>
              <w:autoSpaceDN w:val="0"/>
              <w:adjustRightInd/>
              <w:spacing w:beforeLines="0" w:afterLines="0" w:line="300" w:lineRule="auto"/>
              <w:ind w:firstLine="424" w:firstLineChars="200"/>
              <w:jc w:val="left"/>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随机抽取工作</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规则如下：</w:t>
            </w:r>
          </w:p>
          <w:p>
            <w:pPr>
              <w:autoSpaceDE w:val="0"/>
              <w:autoSpaceDN w:val="0"/>
              <w:adjustRightInd/>
              <w:spacing w:beforeLines="0" w:afterLines="0" w:line="300" w:lineRule="auto"/>
              <w:ind w:firstLine="424" w:firstLineChars="200"/>
              <w:jc w:val="left"/>
              <w:textAlignment w:val="auto"/>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代表球号</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分别为1、2、3</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p>
          <w:p>
            <w:pPr>
              <w:autoSpaceDE w:val="0"/>
              <w:autoSpaceDN w:val="0"/>
              <w:adjustRightInd/>
              <w:spacing w:beforeLines="0" w:afterLines="0" w:line="300" w:lineRule="auto"/>
              <w:ind w:firstLine="424" w:firstLineChars="200"/>
              <w:jc w:val="left"/>
              <w:textAlignment w:val="auto"/>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）由</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建设单位代表（除定标委员会成员以外）或代建单位代表</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在市公共资源交易中心开标区抽取机中放入所有</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定标方法</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代表球号，第1次抽取出的球号对应的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定标方法即为定标委员会应当使用的定标方法</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p>
          <w:p>
            <w:pPr>
              <w:numPr>
                <w:ilvl w:val="-1"/>
                <w:numId w:val="0"/>
              </w:numPr>
              <w:autoSpaceDE w:val="0"/>
              <w:autoSpaceDN w:val="0"/>
              <w:adjustRightInd/>
              <w:spacing w:beforeLines="0" w:afterLines="0" w:line="300" w:lineRule="auto"/>
              <w:ind w:firstLine="424" w:firstLineChars="200"/>
              <w:jc w:val="left"/>
              <w:textAlignment w:val="auto"/>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结果</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无效，应当重新抽取。所有抽球过程实行全程录音录像监控。</w:t>
            </w:r>
          </w:p>
          <w:p>
            <w:pPr>
              <w:widowControl/>
              <w:numPr>
                <w:ilvl w:val="-1"/>
                <w:numId w:val="0"/>
              </w:numPr>
              <w:autoSpaceDE w:val="0"/>
              <w:autoSpaceDN w:val="0"/>
              <w:adjustRightInd/>
              <w:spacing w:beforeLines="0" w:afterLines="0" w:line="300" w:lineRule="auto"/>
              <w:ind w:firstLine="424" w:firstLineChars="200"/>
              <w:jc w:val="left"/>
              <w:textAlignment w:val="auto"/>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（4）“高分低价法”、“高分随机法”、“低价随机法”具体内容详见定标方案前附表第4项规定。</w:t>
            </w:r>
          </w:p>
        </w:tc>
      </w:tr>
    </w:tbl>
    <w:p>
      <w:pPr>
        <w:pStyle w:val="50"/>
        <w:rPr>
          <w:rFonts w:ascii="仿宋_GB2312" w:hAnsi="Calibri" w:eastAsia="仿宋_GB2312" w:cs="仿宋_GB2312"/>
          <w:color w:val="000000" w:themeColor="text1"/>
          <w:kern w:val="0"/>
          <w:sz w:val="34"/>
          <w:szCs w:val="22"/>
          <w:highlight w:val="none"/>
          <w:lang w:val="zh-CN" w:eastAsia="zh-CN" w:bidi="ar-SA"/>
          <w14:textFill>
            <w14:solidFill>
              <w14:schemeClr w14:val="tx1"/>
            </w14:solidFill>
          </w14:textFill>
        </w:rPr>
      </w:pPr>
    </w:p>
    <w:p>
      <w:pPr>
        <w:keepNext w:val="0"/>
        <w:keepLines w:val="0"/>
        <w:widowControl/>
        <w:adjustRightInd/>
        <w:spacing w:beforeLines="-2147483648" w:afterLines="-2147483648" w:line="240" w:lineRule="auto"/>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br w:type="page"/>
      </w:r>
    </w:p>
    <w:p>
      <w:pPr>
        <w:keepNext/>
        <w:keepLines/>
        <w:pageBreakBefore w:val="0"/>
        <w:widowControl/>
        <w:kinsoku/>
        <w:wordWrap/>
        <w:overflowPunct/>
        <w:topLinePunct w:val="0"/>
        <w:autoSpaceDE/>
        <w:autoSpaceDN/>
        <w:bidi w:val="0"/>
        <w:adjustRightInd w:val="0"/>
        <w:snapToGrid/>
        <w:spacing w:line="360" w:lineRule="auto"/>
        <w:textAlignment w:val="baseline"/>
        <w:outlineLvl w:val="2"/>
        <w:rPr>
          <w:rFonts w:hint="default" w:eastAsia="宋体" w:cs="宋体"/>
          <w:b/>
          <w:color w:val="000000" w:themeColor="text1"/>
          <w:sz w:val="21"/>
          <w:szCs w:val="21"/>
          <w:highlight w:val="none"/>
          <w:lang w:val="en-US" w:eastAsia="zh-CN"/>
          <w14:textFill>
            <w14:solidFill>
              <w14:schemeClr w14:val="tx1"/>
            </w14:solidFill>
          </w14:textFill>
        </w:rPr>
      </w:pPr>
      <w:bookmarkStart w:id="1577" w:name="_Toc13841"/>
      <w:bookmarkStart w:id="1578" w:name="_Toc22660"/>
      <w:bookmarkStart w:id="1579" w:name="_Toc18066"/>
      <w:bookmarkStart w:id="1580" w:name="_Toc17958"/>
      <w:bookmarkStart w:id="1581" w:name="_Toc23076"/>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Times New Roman"/>
          <w:color w:val="000000" w:themeColor="text1"/>
          <w:kern w:val="1"/>
          <w:sz w:val="21"/>
          <w:szCs w:val="21"/>
          <w:highlight w:val="none"/>
          <w:lang w:val="en-US" w:eastAsia="zh-CN"/>
          <w14:textFill>
            <w14:solidFill>
              <w14:schemeClr w14:val="tx1"/>
            </w14:solidFill>
          </w14:textFill>
        </w:rPr>
        <w:t>报价要素评审标准</w:t>
      </w:r>
      <w:bookmarkEnd w:id="1577"/>
      <w:bookmarkEnd w:id="1578"/>
      <w:bookmarkEnd w:id="1579"/>
      <w:bookmarkEnd w:id="1580"/>
      <w:bookmarkEnd w:id="1581"/>
    </w:p>
    <w:tbl>
      <w:tblPr>
        <w:tblStyle w:val="41"/>
        <w:tblW w:w="13939"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1359"/>
        <w:gridCol w:w="1503"/>
        <w:gridCol w:w="5787"/>
        <w:gridCol w:w="2687"/>
        <w:gridCol w:w="164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955" w:type="dxa"/>
            <w:tcBorders>
              <w:tl2br w:val="nil"/>
              <w:tr2bl w:val="nil"/>
            </w:tcBorders>
            <w:vAlign w:val="center"/>
          </w:tcPr>
          <w:p>
            <w:pPr>
              <w:spacing w:line="300" w:lineRule="auto"/>
              <w:jc w:val="center"/>
              <w:rPr>
                <w:rFonts w:hint="eastAsia"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359" w:type="dxa"/>
            <w:tcBorders>
              <w:tl2br w:val="nil"/>
              <w:tr2bl w:val="nil"/>
            </w:tcBorders>
            <w:vAlign w:val="center"/>
          </w:tcPr>
          <w:p>
            <w:pPr>
              <w:spacing w:line="300" w:lineRule="auto"/>
              <w:jc w:val="cente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定标要素</w:t>
            </w:r>
          </w:p>
        </w:tc>
        <w:tc>
          <w:tcPr>
            <w:tcW w:w="1503" w:type="dxa"/>
            <w:tcBorders>
              <w:tl2br w:val="nil"/>
              <w:tr2bl w:val="nil"/>
            </w:tcBorders>
            <w:vAlign w:val="center"/>
          </w:tcPr>
          <w:p>
            <w:pPr>
              <w:spacing w:line="300" w:lineRule="auto"/>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子要素内容</w:t>
            </w:r>
          </w:p>
        </w:tc>
        <w:tc>
          <w:tcPr>
            <w:tcW w:w="5787" w:type="dxa"/>
            <w:tcBorders>
              <w:tl2br w:val="nil"/>
              <w:tr2bl w:val="nil"/>
            </w:tcBorders>
            <w:vAlign w:val="center"/>
          </w:tcPr>
          <w:p>
            <w:pPr>
              <w:spacing w:line="300" w:lineRule="auto"/>
              <w:ind w:firstLine="340"/>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评审标准</w:t>
            </w:r>
            <w:r>
              <w:rPr>
                <w:rStyle w:val="49"/>
                <w:rFonts w:hint="eastAsia" w:ascii="宋体" w:hAnsi="宋体" w:cs="宋体"/>
                <w:b/>
                <w:color w:val="000000" w:themeColor="text1"/>
                <w:kern w:val="1"/>
                <w:sz w:val="21"/>
                <w:szCs w:val="21"/>
                <w:highlight w:val="none"/>
                <w:lang w:val="en-US" w:eastAsia="zh-CN"/>
                <w14:textFill>
                  <w14:solidFill>
                    <w14:schemeClr w14:val="tx1"/>
                  </w14:solidFill>
                </w14:textFill>
              </w:rPr>
              <w:footnoteReference w:id="43"/>
            </w:r>
          </w:p>
        </w:tc>
        <w:tc>
          <w:tcPr>
            <w:tcW w:w="2687" w:type="dxa"/>
            <w:tcBorders>
              <w:right w:val="single" w:color="auto" w:sz="4" w:space="0"/>
              <w:tl2br w:val="nil"/>
              <w:tr2bl w:val="nil"/>
            </w:tcBorders>
            <w:vAlign w:val="center"/>
          </w:tcPr>
          <w:p>
            <w:pPr>
              <w:spacing w:line="300" w:lineRule="auto"/>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设置理由</w:t>
            </w:r>
          </w:p>
        </w:tc>
        <w:tc>
          <w:tcPr>
            <w:tcW w:w="1648" w:type="dxa"/>
            <w:tcBorders>
              <w:left w:val="single" w:color="auto" w:sz="4" w:space="0"/>
              <w:tl2br w:val="nil"/>
              <w:tr2bl w:val="nil"/>
            </w:tcBorders>
            <w:vAlign w:val="center"/>
          </w:tcPr>
          <w:p>
            <w:pPr>
              <w:spacing w:line="300" w:lineRule="auto"/>
              <w:jc w:val="center"/>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69" w:hRule="atLeast"/>
        </w:trPr>
        <w:tc>
          <w:tcPr>
            <w:tcW w:w="955" w:type="dxa"/>
            <w:vMerge w:val="restart"/>
            <w:tcBorders>
              <w:tl2br w:val="nil"/>
              <w:tr2bl w:val="nil"/>
            </w:tcBorders>
            <w:vAlign w:val="center"/>
          </w:tcPr>
          <w:p>
            <w:pPr>
              <w:autoSpaceDE w:val="0"/>
              <w:autoSpaceDN w:val="0"/>
              <w:spacing w:line="300" w:lineRule="auto"/>
              <w:jc w:val="center"/>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3.2.1</w:t>
            </w:r>
          </w:p>
        </w:tc>
        <w:tc>
          <w:tcPr>
            <w:tcW w:w="1359" w:type="dxa"/>
            <w:vMerge w:val="restart"/>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报价要素</w:t>
            </w:r>
          </w:p>
        </w:tc>
        <w:tc>
          <w:tcPr>
            <w:tcW w:w="1503"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57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424"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p>
        </w:tc>
        <w:tc>
          <w:tcPr>
            <w:tcW w:w="2687" w:type="dxa"/>
            <w:tcBorders>
              <w:right w:val="single" w:color="auto" w:sz="4" w:space="0"/>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48" w:type="dxa"/>
            <w:tcBorders>
              <w:left w:val="single" w:color="auto" w:sz="4" w:space="0"/>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189" w:hRule="atLeast"/>
        </w:trPr>
        <w:tc>
          <w:tcPr>
            <w:tcW w:w="95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359"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3"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5787"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2687" w:type="dxa"/>
            <w:tcBorders>
              <w:right w:val="single" w:color="auto" w:sz="4" w:space="0"/>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1648" w:type="dxa"/>
            <w:tcBorders>
              <w:left w:val="single" w:color="auto" w:sz="4" w:space="0"/>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lang w:eastAsia="zh-CN"/>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bl>
    <w:p>
      <w:pPr>
        <w:keepNext/>
        <w:keepLines/>
        <w:widowControl/>
        <w:adjustRightInd/>
        <w:spacing w:beforeLines="100" w:afterLines="100" w:line="360" w:lineRule="auto"/>
        <w:textAlignment w:val="auto"/>
        <w:outlineLvl w:val="1"/>
        <w:rPr>
          <w:rFonts w:hint="eastAsia" w:ascii="宋体" w:hAnsi="宋体" w:eastAsia="宋体" w:cs="宋体"/>
          <w:color w:val="000000" w:themeColor="text1"/>
          <w:sz w:val="21"/>
          <w:szCs w:val="21"/>
          <w:highlight w:val="none"/>
          <w:u w:val="none"/>
          <w:lang w:val="en-US" w:eastAsia="zh-CN"/>
          <w14:textFill>
            <w14:solidFill>
              <w14:schemeClr w14:val="tx1"/>
            </w14:solidFill>
          </w14:textFill>
        </w:rPr>
        <w:sectPr>
          <w:footnotePr>
            <w:numFmt w:val="decimalEnclosedCircleChinese"/>
            <w:numRestart w:val="eachPage"/>
          </w:footnotePr>
          <w:pgSz w:w="16838" w:h="11906" w:orient="landscape"/>
          <w:pgMar w:top="1417" w:right="1276" w:bottom="1559" w:left="1559" w:header="851" w:footer="992" w:gutter="0"/>
          <w:cols w:space="0" w:num="1"/>
          <w:rtlGutter w:val="0"/>
          <w:docGrid w:type="linesAndChars" w:linePitch="318" w:charSpace="605"/>
        </w:sect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br w:type="page"/>
      </w:r>
    </w:p>
    <w:p>
      <w:pPr>
        <w:keepNext/>
        <w:keepLines/>
        <w:pageBreakBefore w:val="0"/>
        <w:widowControl/>
        <w:kinsoku/>
        <w:wordWrap/>
        <w:overflowPunct/>
        <w:topLinePunct w:val="0"/>
        <w:autoSpaceDE/>
        <w:autoSpaceDN/>
        <w:bidi w:val="0"/>
        <w:adjustRightInd/>
        <w:snapToGrid/>
        <w:spacing w:line="360" w:lineRule="auto"/>
        <w:textAlignment w:val="auto"/>
        <w:outlineLvl w:val="2"/>
        <w:rPr>
          <w:rFonts w:hint="eastAsia" w:ascii="黑体" w:hAnsi="黑体" w:eastAsia="黑体" w:cs="Times New Roman"/>
          <w:color w:val="000000" w:themeColor="text1"/>
          <w:kern w:val="1"/>
          <w:sz w:val="21"/>
          <w:szCs w:val="21"/>
          <w:highlight w:val="none"/>
          <w:lang w:val="en-US" w:eastAsia="zh-CN"/>
          <w14:textFill>
            <w14:solidFill>
              <w14:schemeClr w14:val="tx1"/>
            </w14:solidFill>
          </w14:textFill>
        </w:rPr>
      </w:pPr>
      <w:bookmarkStart w:id="1582" w:name="_Toc11597"/>
      <w:bookmarkStart w:id="1583" w:name="_Toc14917"/>
      <w:bookmarkStart w:id="1584" w:name="_Toc24355"/>
      <w:bookmarkStart w:id="1585" w:name="_Toc19335"/>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Times New Roman"/>
          <w:color w:val="000000" w:themeColor="text1"/>
          <w:kern w:val="1"/>
          <w:sz w:val="21"/>
          <w:szCs w:val="21"/>
          <w:highlight w:val="none"/>
          <w:lang w:val="en-US" w:eastAsia="zh-CN"/>
          <w14:textFill>
            <w14:solidFill>
              <w14:schemeClr w14:val="tx1"/>
            </w14:solidFill>
          </w14:textFill>
        </w:rPr>
        <w:t>：陈述答辩考核方案</w:t>
      </w:r>
      <w:bookmarkEnd w:id="1582"/>
      <w:bookmarkEnd w:id="1583"/>
      <w:bookmarkEnd w:id="1584"/>
      <w:bookmarkEnd w:id="1585"/>
    </w:p>
    <w:tbl>
      <w:tblPr>
        <w:tblStyle w:val="41"/>
        <w:tblW w:w="9577" w:type="dxa"/>
        <w:tblInd w:w="-11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1662"/>
        <w:gridCol w:w="5019"/>
        <w:gridCol w:w="189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52" w:hRule="atLeast"/>
        </w:trPr>
        <w:tc>
          <w:tcPr>
            <w:tcW w:w="1004" w:type="dxa"/>
            <w:tcBorders>
              <w:bottom w:val="single" w:color="auto" w:sz="4" w:space="0"/>
            </w:tcBorders>
            <w:vAlign w:val="center"/>
          </w:tcPr>
          <w:p>
            <w:pPr>
              <w:adjustRightInd/>
              <w:spacing w:line="300" w:lineRule="auto"/>
              <w:jc w:val="center"/>
              <w:textAlignment w:val="auto"/>
              <w:rPr>
                <w:rFonts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662" w:type="dxa"/>
            <w:tcBorders>
              <w:bottom w:val="single" w:color="auto" w:sz="4" w:space="0"/>
            </w:tcBorders>
            <w:vAlign w:val="center"/>
          </w:tcPr>
          <w:p>
            <w:pPr>
              <w:adjustRightInd/>
              <w:spacing w:line="300" w:lineRule="auto"/>
              <w:jc w:val="center"/>
              <w:textAlignment w:val="auto"/>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定标要素</w:t>
            </w:r>
          </w:p>
        </w:tc>
        <w:tc>
          <w:tcPr>
            <w:tcW w:w="5019" w:type="dxa"/>
            <w:tcBorders>
              <w:left w:val="single" w:color="auto" w:sz="4" w:space="0"/>
              <w:right w:val="single" w:color="auto" w:sz="4" w:space="0"/>
            </w:tcBorders>
            <w:vAlign w:val="center"/>
          </w:tcPr>
          <w:p>
            <w:pPr>
              <w:adjustRightInd/>
              <w:spacing w:line="300" w:lineRule="auto"/>
              <w:ind w:firstLine="340"/>
              <w:jc w:val="center"/>
              <w:textAlignment w:val="auto"/>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评审标准</w:t>
            </w:r>
          </w:p>
        </w:tc>
        <w:tc>
          <w:tcPr>
            <w:tcW w:w="1892" w:type="dxa"/>
            <w:tcBorders>
              <w:left w:val="single" w:color="auto" w:sz="4" w:space="0"/>
              <w:right w:val="single" w:color="auto" w:sz="4" w:space="0"/>
            </w:tcBorders>
            <w:vAlign w:val="center"/>
          </w:tcPr>
          <w:p>
            <w:pPr>
              <w:adjustRightInd/>
              <w:spacing w:line="300" w:lineRule="auto"/>
              <w:ind w:firstLine="0"/>
              <w:jc w:val="center"/>
              <w:textAlignment w:val="auto"/>
              <w:rPr>
                <w:rFonts w:hint="default"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权重</w:t>
            </w:r>
            <w:r>
              <w:rPr>
                <w:rFonts w:hint="eastAsia" w:ascii="宋体" w:hAnsi="宋体" w:cs="宋体"/>
                <w:b/>
                <w:color w:val="000000" w:themeColor="text1"/>
                <w:kern w:val="1"/>
                <w:position w:val="-2"/>
                <w:sz w:val="21"/>
                <w:szCs w:val="21"/>
                <w:highlight w:val="none"/>
                <w:vertAlign w:val="superscript"/>
                <w:lang w:val="en-US" w:eastAsia="zh-CN"/>
                <w14:textFill>
                  <w14:solidFill>
                    <w14:schemeClr w14:val="tx1"/>
                  </w14:solidFill>
                </w14:textFill>
              </w:rPr>
              <w:footnoteReference w:id="44"/>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818" w:hRule="atLeast"/>
        </w:trPr>
        <w:tc>
          <w:tcPr>
            <w:tcW w:w="1004" w:type="dxa"/>
            <w:vMerge w:val="restart"/>
            <w:vAlign w:val="center"/>
          </w:tcPr>
          <w:p>
            <w:pPr>
              <w:autoSpaceDE w:val="0"/>
              <w:autoSpaceDN w:val="0"/>
              <w:adjustRightInd/>
              <w:spacing w:line="30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3.2.2</w:t>
            </w:r>
          </w:p>
        </w:tc>
        <w:tc>
          <w:tcPr>
            <w:tcW w:w="1662" w:type="dxa"/>
            <w:vMerge w:val="restart"/>
            <w:vAlign w:val="center"/>
          </w:tcPr>
          <w:p>
            <w:pPr>
              <w:autoSpaceDE w:val="0"/>
              <w:autoSpaceDN w:val="0"/>
              <w:adjustRightInd/>
              <w:spacing w:line="300" w:lineRule="auto"/>
              <w:jc w:val="center"/>
              <w:textAlignment w:val="auto"/>
              <w:rPr>
                <w:rFonts w:hint="default"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项目负责人陈述答辩</w:t>
            </w:r>
          </w:p>
        </w:tc>
        <w:tc>
          <w:tcPr>
            <w:tcW w:w="501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4"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1.重难点的把握及解决方案陈述</w:t>
            </w:r>
          </w:p>
          <w:p>
            <w:pPr>
              <w:widowControl w:val="0"/>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widowControl w:val="0"/>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autoSpaceDE w:val="0"/>
              <w:autoSpaceDN w:val="0"/>
              <w:adjustRightInd/>
              <w:spacing w:line="360" w:lineRule="auto"/>
              <w:jc w:val="left"/>
              <w:textAlignment w:val="auto"/>
              <w:rPr>
                <w:rFonts w:hint="default" w:ascii="宋体" w:hAnsi="Calibri" w:eastAsia="宋体"/>
                <w:color w:val="000000" w:themeColor="text1"/>
                <w:sz w:val="18"/>
                <w:szCs w:val="18"/>
                <w:highlight w:val="none"/>
                <w:u w:val="none"/>
                <w:lang w:val="en-US" w:eastAsia="zh-CN"/>
                <w14:textFill>
                  <w14:solidFill>
                    <w14:schemeClr w14:val="tx1"/>
                  </w14:solidFill>
                </w14:textFill>
              </w:rPr>
            </w:pPr>
          </w:p>
        </w:tc>
        <w:tc>
          <w:tcPr>
            <w:tcW w:w="1892" w:type="dxa"/>
            <w:tcBorders>
              <w:left w:val="single" w:color="auto" w:sz="4" w:space="0"/>
              <w:right w:val="single" w:color="auto" w:sz="4" w:space="0"/>
            </w:tcBorders>
            <w:vAlign w:val="center"/>
          </w:tcPr>
          <w:p>
            <w:pPr>
              <w:autoSpaceDE w:val="0"/>
              <w:autoSpaceDN w:val="0"/>
              <w:adjustRightInd/>
              <w:spacing w:line="360" w:lineRule="auto"/>
              <w:jc w:val="righ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348" w:hRule="atLeast"/>
        </w:trPr>
        <w:tc>
          <w:tcPr>
            <w:tcW w:w="1004"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662" w:type="dxa"/>
            <w:vMerge w:val="continue"/>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501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4" w:firstLineChars="200"/>
              <w:jc w:val="left"/>
              <w:textAlignment w:val="auto"/>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2.项目应急保障能力陈述</w:t>
            </w:r>
          </w:p>
          <w:p>
            <w:pPr>
              <w:widowControl w:val="0"/>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autoSpaceDE w:val="0"/>
              <w:autoSpaceDN w:val="0"/>
              <w:adjustRightInd/>
              <w:spacing w:line="360" w:lineRule="auto"/>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tc>
        <w:tc>
          <w:tcPr>
            <w:tcW w:w="1892" w:type="dxa"/>
            <w:tcBorders>
              <w:left w:val="single" w:color="auto" w:sz="4" w:space="0"/>
              <w:right w:val="single" w:color="auto" w:sz="4" w:space="0"/>
            </w:tcBorders>
            <w:vAlign w:val="center"/>
          </w:tcPr>
          <w:p>
            <w:pPr>
              <w:autoSpaceDE w:val="0"/>
              <w:autoSpaceDN w:val="0"/>
              <w:adjustRightInd/>
              <w:spacing w:line="360" w:lineRule="auto"/>
              <w:jc w:val="righ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cs="宋体"/>
                <w:color w:val="000000" w:themeColor="text1"/>
                <w:position w:val="-2"/>
                <w:sz w:val="21"/>
                <w:szCs w:val="21"/>
                <w:highlight w:val="none"/>
                <w:u w:val="none"/>
                <w:vertAlign w:val="superscript"/>
                <w:lang w:val="en-US" w:eastAsia="zh-CN"/>
                <w14:textFill>
                  <w14:solidFill>
                    <w14:schemeClr w14:val="tx1"/>
                  </w14:solidFill>
                </w14:textFill>
              </w:rPr>
              <w:footnoteReference w:id="45"/>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420" w:hRule="atLeast"/>
        </w:trPr>
        <w:tc>
          <w:tcPr>
            <w:tcW w:w="1004" w:type="dxa"/>
            <w:vMerge w:val="continue"/>
            <w:tcBorders>
              <w:bottom w:val="single" w:color="auto" w:sz="4" w:space="0"/>
            </w:tcBorders>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662" w:type="dxa"/>
            <w:vMerge w:val="continue"/>
            <w:tcBorders>
              <w:bottom w:val="single" w:color="auto" w:sz="4" w:space="0"/>
            </w:tcBorders>
            <w:vAlign w:val="center"/>
          </w:tcPr>
          <w:p>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501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4" w:firstLineChars="200"/>
              <w:jc w:val="left"/>
              <w:textAlignment w:val="auto"/>
              <w:rPr>
                <w:rFonts w:hint="eastAsia" w:ascii="黑体" w:hAnsi="黑体" w:eastAsia="黑体" w:cs="黑体"/>
                <w:color w:val="000000" w:themeColor="text1"/>
                <w:kern w:val="0"/>
                <w:sz w:val="21"/>
                <w:szCs w:val="21"/>
                <w:highlight w:val="none"/>
                <w:lang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3.答辩</w:t>
            </w:r>
          </w:p>
          <w:p>
            <w:pPr>
              <w:widowControl w:val="0"/>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widowControl w:val="0"/>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autoSpaceDE w:val="0"/>
              <w:autoSpaceDN w:val="0"/>
              <w:adjustRightInd/>
              <w:spacing w:line="360" w:lineRule="auto"/>
              <w:jc w:val="left"/>
              <w:textAlignment w:val="auto"/>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p>
        </w:tc>
        <w:tc>
          <w:tcPr>
            <w:tcW w:w="1892" w:type="dxa"/>
            <w:tcBorders>
              <w:left w:val="single" w:color="auto" w:sz="4" w:space="0"/>
              <w:right w:val="single" w:color="auto" w:sz="4" w:space="0"/>
            </w:tcBorders>
            <w:vAlign w:val="center"/>
          </w:tcPr>
          <w:p>
            <w:pPr>
              <w:autoSpaceDE w:val="0"/>
              <w:autoSpaceDN w:val="0"/>
              <w:adjustRightInd/>
              <w:spacing w:line="360" w:lineRule="auto"/>
              <w:jc w:val="righ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899" w:hRule="atLeast"/>
        </w:trPr>
        <w:tc>
          <w:tcPr>
            <w:tcW w:w="9577" w:type="dxa"/>
            <w:gridSpan w:val="4"/>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76"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snapToGrid/>
              <w:spacing w:line="276"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1.陈述答辩考核工作方案详见投标人须知前附表，定标委员会不得以任何形式询问项目负责人姓名以及投标人名称。</w:t>
            </w:r>
          </w:p>
          <w:p>
            <w:pPr>
              <w:keepNext w:val="0"/>
              <w:keepLines w:val="0"/>
              <w:pageBreakBefore w:val="0"/>
              <w:widowControl w:val="0"/>
              <w:kinsoku/>
              <w:wordWrap/>
              <w:overflowPunct/>
              <w:topLinePunct w:val="0"/>
              <w:autoSpaceDE w:val="0"/>
              <w:autoSpaceDN w:val="0"/>
              <w:bidi w:val="0"/>
              <w:adjustRightInd/>
              <w:snapToGrid/>
              <w:spacing w:line="276" w:lineRule="auto"/>
              <w:ind w:firstLine="424"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.“重难点的把握及解决方案陈述”、“项目应急保障能力陈述”、“答辩”评审标准均采用“百分制评分”进行评审。</w:t>
            </w:r>
          </w:p>
          <w:p>
            <w:pPr>
              <w:keepNext w:val="0"/>
              <w:keepLines w:val="0"/>
              <w:pageBreakBefore w:val="0"/>
              <w:widowControl w:val="0"/>
              <w:kinsoku/>
              <w:wordWrap/>
              <w:overflowPunct/>
              <w:topLinePunct w:val="0"/>
              <w:autoSpaceDE w:val="0"/>
              <w:autoSpaceDN w:val="0"/>
              <w:bidi w:val="0"/>
              <w:adjustRightInd/>
              <w:snapToGrid/>
              <w:spacing w:line="276" w:lineRule="auto"/>
              <w:ind w:firstLine="424" w:firstLineChars="200"/>
              <w:jc w:val="left"/>
              <w:textAlignment w:val="auto"/>
              <w:rPr>
                <w:rFonts w:hint="eastAsia" w:ascii="宋体" w:hAnsi="宋体" w:cs="宋体"/>
                <w:color w:val="000000" w:themeColor="text1"/>
                <w:sz w:val="21"/>
                <w:szCs w:val="21"/>
                <w:highlight w:val="none"/>
                <w:u w:val="none"/>
                <w:lang w:val="en-US" w:bidi="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.定标委员会对某定标候选人陈述、答辩评分高于满分标准的90%（含）或低于50%（不含）时，必须详细阐述具体理由（字数不少于50字）。</w:t>
            </w:r>
            <w:r>
              <w:rPr>
                <w:rFonts w:hint="eastAsia" w:ascii="宋体" w:hAnsi="宋体" w:cs="宋体"/>
                <w:color w:val="000000" w:themeColor="text1"/>
                <w:sz w:val="21"/>
                <w:szCs w:val="21"/>
                <w:highlight w:val="none"/>
                <w:u w:val="none"/>
                <w:lang w:val="en-US" w:bidi="zh-CN"/>
                <w14:textFill>
                  <w14:solidFill>
                    <w14:schemeClr w14:val="tx1"/>
                  </w14:solidFill>
                </w14:textFill>
              </w:rPr>
              <w:t>陈述答辩人员不得以任何形式向定标委员会透露姓名以及所属投标人名称，否则陈述答辩不得分。</w:t>
            </w:r>
          </w:p>
          <w:p>
            <w:pPr>
              <w:keepNext w:val="0"/>
              <w:keepLines w:val="0"/>
              <w:pageBreakBefore w:val="0"/>
              <w:widowControl w:val="0"/>
              <w:kinsoku/>
              <w:wordWrap/>
              <w:overflowPunct/>
              <w:topLinePunct w:val="0"/>
              <w:autoSpaceDE w:val="0"/>
              <w:autoSpaceDN w:val="0"/>
              <w:bidi w:val="0"/>
              <w:adjustRightInd/>
              <w:snapToGrid/>
              <w:spacing w:line="276" w:lineRule="auto"/>
              <w:ind w:firstLine="424"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t>4.为保障招投标交易顺利进行，鼓励制定备选答辩评审标准，供重新陈述答辩考核时使用。</w:t>
            </w:r>
          </w:p>
        </w:tc>
      </w:tr>
      <w:bookmarkEnd w:id="1555"/>
      <w:bookmarkEnd w:id="1556"/>
    </w:tbl>
    <w:p>
      <w:pPr>
        <w:keepNext w:val="0"/>
        <w:keepLines w:val="0"/>
        <w:widowControl/>
        <w:adjustRightInd/>
        <w:spacing w:beforeLines="-2147483648" w:afterLines="-2147483648" w:line="240" w:lineRule="auto"/>
        <w:textAlignment w:val="auto"/>
        <w:outlineLvl w:val="2"/>
        <w:rPr>
          <w:rFonts w:ascii="宋体" w:hAnsi="宋体" w:eastAsia="黑体" w:cs="黑体"/>
          <w:b/>
          <w:color w:val="000000" w:themeColor="text1"/>
          <w:kern w:val="1"/>
          <w:sz w:val="28"/>
          <w:szCs w:val="28"/>
          <w:highlight w:val="none"/>
          <w:lang w:val="zh-CN"/>
          <w14:textFill>
            <w14:solidFill>
              <w14:schemeClr w14:val="tx1"/>
            </w14:solidFill>
          </w14:textFill>
        </w:rPr>
      </w:pPr>
      <w:bookmarkStart w:id="1586" w:name="_Toc8854"/>
      <w:bookmarkStart w:id="1587" w:name="_Toc7280"/>
      <w:bookmarkStart w:id="1588" w:name="_Toc1331"/>
      <w:bookmarkStart w:id="1589" w:name="_Toc4743"/>
      <w:bookmarkStart w:id="1590" w:name="_Toc19155"/>
      <w:bookmarkStart w:id="1591" w:name="_Toc12579"/>
      <w:bookmarkStart w:id="1592" w:name="_Toc3853"/>
      <w:bookmarkStart w:id="1593" w:name="_Toc52137827"/>
      <w:bookmarkStart w:id="1594" w:name="_Toc106719381"/>
      <w:r>
        <w:rPr>
          <w:rFonts w:hint="eastAsia" w:ascii="黑体" w:hAnsi="宋体" w:eastAsia="黑体" w:cs="黑体"/>
          <w:color w:val="000000" w:themeColor="text1"/>
          <w:kern w:val="1"/>
          <w:sz w:val="28"/>
          <w:szCs w:val="28"/>
          <w:highlight w:val="none"/>
          <w:lang w:val="zh-CN"/>
          <w14:textFill>
            <w14:solidFill>
              <w14:schemeClr w14:val="tx1"/>
            </w14:solidFill>
          </w14:textFill>
        </w:rPr>
        <w:t>定标</w:t>
      </w:r>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方案</w:t>
      </w:r>
      <w:r>
        <w:rPr>
          <w:rFonts w:hint="eastAsia" w:ascii="黑体" w:hAnsi="宋体" w:eastAsia="黑体" w:cs="黑体"/>
          <w:color w:val="000000" w:themeColor="text1"/>
          <w:kern w:val="1"/>
          <w:sz w:val="28"/>
          <w:szCs w:val="28"/>
          <w:highlight w:val="none"/>
          <w:lang w:val="zh-CN"/>
          <w14:textFill>
            <w14:solidFill>
              <w14:schemeClr w14:val="tx1"/>
            </w14:solidFill>
          </w14:textFill>
        </w:rPr>
        <w:t>正文</w:t>
      </w:r>
      <w:bookmarkEnd w:id="1586"/>
      <w:bookmarkEnd w:id="1587"/>
      <w:bookmarkEnd w:id="1588"/>
      <w:bookmarkEnd w:id="1589"/>
      <w:bookmarkEnd w:id="1590"/>
      <w:bookmarkEnd w:id="1591"/>
      <w:bookmarkEnd w:id="1592"/>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hint="eastAsia" w:ascii="黑体" w:hAnsi="宋体" w:eastAsia="黑体" w:cs="黑体"/>
          <w:color w:val="000000" w:themeColor="text1"/>
          <w:kern w:val="1"/>
          <w:sz w:val="28"/>
          <w:szCs w:val="28"/>
          <w:highlight w:val="none"/>
          <w:lang w:val="zh-CN" w:eastAsia="zh-CN"/>
          <w14:textFill>
            <w14:solidFill>
              <w14:schemeClr w14:val="tx1"/>
            </w14:solidFill>
          </w14:textFill>
        </w:rPr>
      </w:pPr>
      <w:bookmarkStart w:id="1595" w:name="_Toc106703299"/>
      <w:bookmarkStart w:id="1596" w:name="_Toc5297"/>
      <w:bookmarkStart w:id="1597" w:name="_Toc11606"/>
      <w:bookmarkStart w:id="1598" w:name="_Toc9316"/>
      <w:bookmarkStart w:id="1599" w:name="_Toc61877313"/>
      <w:bookmarkStart w:id="1600" w:name="_Toc70273129"/>
      <w:bookmarkStart w:id="1601" w:name="_Toc17150"/>
      <w:bookmarkStart w:id="1602" w:name="_Toc27923"/>
      <w:bookmarkStart w:id="1603" w:name="_Toc25083"/>
      <w:bookmarkStart w:id="1604" w:name="_Toc18220"/>
      <w:bookmarkStart w:id="1605" w:name="_Toc19047"/>
      <w:bookmarkStart w:id="1606" w:name="_Toc264"/>
      <w:bookmarkStart w:id="1607" w:name="_Toc3417"/>
      <w:bookmarkStart w:id="1608" w:name="_Toc715"/>
      <w:bookmarkStart w:id="1609" w:name="_Toc28472"/>
      <w:bookmarkStart w:id="1610" w:name="_Toc27708"/>
      <w:bookmarkStart w:id="1611" w:name="_Toc12562"/>
      <w:bookmarkStart w:id="1612" w:name="_Toc29783"/>
      <w:r>
        <w:rPr>
          <w:rFonts w:hint="eastAsia" w:ascii="黑体" w:hAnsi="宋体" w:eastAsia="黑体" w:cs="黑体"/>
          <w:color w:val="000000" w:themeColor="text1"/>
          <w:kern w:val="1"/>
          <w:sz w:val="28"/>
          <w:szCs w:val="28"/>
          <w:highlight w:val="none"/>
          <w:lang w:val="zh-CN"/>
          <w14:textFill>
            <w14:solidFill>
              <w14:schemeClr w14:val="tx1"/>
            </w14:solidFill>
          </w14:textFill>
        </w:rPr>
        <w:t>1.</w:t>
      </w:r>
      <w:bookmarkEnd w:id="1595"/>
      <w:bookmarkEnd w:id="1596"/>
      <w:bookmarkEnd w:id="1597"/>
      <w:bookmarkEnd w:id="1598"/>
      <w:bookmarkEnd w:id="1599"/>
      <w:bookmarkEnd w:id="1600"/>
      <w:bookmarkEnd w:id="1601"/>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总则</w:t>
      </w:r>
      <w:bookmarkEnd w:id="1602"/>
      <w:bookmarkEnd w:id="1603"/>
      <w:bookmarkEnd w:id="1604"/>
      <w:bookmarkEnd w:id="1605"/>
      <w:bookmarkEnd w:id="1606"/>
      <w:bookmarkEnd w:id="1607"/>
      <w:bookmarkEnd w:id="1608"/>
      <w:bookmarkEnd w:id="1609"/>
      <w:bookmarkEnd w:id="1610"/>
      <w:bookmarkEnd w:id="1611"/>
      <w:bookmarkEnd w:id="1612"/>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hint="default" w:ascii="方正公文小标宋" w:hAnsi="方正公文小标宋" w:eastAsia="方正公文小标宋" w:cs="方正公文小标宋"/>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u w:val="none"/>
          <w:lang w:val="en-US" w:eastAsia="zh-CN"/>
          <w14:textFill>
            <w14:solidFill>
              <w14:schemeClr w14:val="tx1"/>
            </w14:solidFill>
          </w14:textFill>
        </w:rPr>
        <w:t>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1.2.定标方案由正文、前附表以及附件组成。定标方案附件分别为报价评审标准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（如有）</w:t>
      </w:r>
      <w:r>
        <w:rPr>
          <w:rFonts w:hint="eastAsia" w:ascii="宋体" w:hAnsi="宋体" w:cs="宋体"/>
          <w:color w:val="000000" w:themeColor="text1"/>
          <w:sz w:val="21"/>
          <w:szCs w:val="21"/>
          <w:highlight w:val="none"/>
          <w:lang w:val="en-US" w:eastAsia="zh-CN"/>
          <w14:textFill>
            <w14:solidFill>
              <w14:schemeClr w14:val="tx1"/>
            </w14:solidFill>
          </w14:textFill>
        </w:rPr>
        <w:t>和陈述答辩考核方案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（如有）</w:t>
      </w:r>
      <w:r>
        <w:rPr>
          <w:rFonts w:hint="eastAsia" w:ascii="宋体" w:hAnsi="宋体" w:cs="宋体"/>
          <w:color w:val="000000" w:themeColor="text1"/>
          <w:sz w:val="21"/>
          <w:szCs w:val="21"/>
          <w:highlight w:val="none"/>
          <w:lang w:val="en-US" w:eastAsia="zh-CN"/>
          <w14:textFill>
            <w14:solidFill>
              <w14:schemeClr w14:val="tx1"/>
            </w14:solidFill>
          </w14:textFill>
        </w:rPr>
        <w:t>，前述二个定标方案附件均由建设单位在投标截止时间前使用CA证书加密上传电子交易平台。</w:t>
      </w:r>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自评标工作结束后5日内（如遇法定节假日，可顺延至节后第二个工作日），建设单位组织清标小组和定标委员会进入市公共资源交易中心进行清标、定标工作。不能按时定标的，应当通过市公共资源交易网公示延期原因和定标时间</w:t>
      </w:r>
      <w:r>
        <w:rPr>
          <w:rFonts w:hint="eastAsia" w:ascii="宋体" w:hAnsi="宋体" w:cs="宋体"/>
          <w:color w:val="000000" w:themeColor="text1"/>
          <w:sz w:val="21"/>
          <w:szCs w:val="21"/>
          <w:highlight w:val="none"/>
          <w14:textFill>
            <w14:solidFill>
              <w14:schemeClr w14:val="tx1"/>
            </w14:solidFill>
          </w14:textFill>
        </w:rPr>
        <w:t>。</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ascii="黑体" w:hAnsi="宋体" w:eastAsia="黑体" w:cs="黑体"/>
          <w:color w:val="000000" w:themeColor="text1"/>
          <w:kern w:val="1"/>
          <w:sz w:val="28"/>
          <w:szCs w:val="28"/>
          <w:highlight w:val="none"/>
          <w:lang w:val="zh-CN"/>
          <w14:textFill>
            <w14:solidFill>
              <w14:schemeClr w14:val="tx1"/>
            </w14:solidFill>
          </w14:textFill>
        </w:rPr>
      </w:pPr>
      <w:bookmarkStart w:id="1613" w:name="_Toc30493"/>
      <w:bookmarkStart w:id="1614" w:name="_Toc7718"/>
      <w:bookmarkStart w:id="1615" w:name="_Toc25914"/>
      <w:bookmarkStart w:id="1616" w:name="_Toc29181"/>
      <w:bookmarkStart w:id="1617" w:name="_Toc22577"/>
      <w:bookmarkStart w:id="1618" w:name="_Toc11661"/>
      <w:bookmarkStart w:id="1619" w:name="_Toc30022"/>
      <w:bookmarkStart w:id="1620" w:name="_Toc20332"/>
      <w:bookmarkStart w:id="1621" w:name="_Toc7459"/>
      <w:bookmarkStart w:id="1622" w:name="_Toc4292"/>
      <w:bookmarkStart w:id="1623" w:name="_Toc106703300"/>
      <w:bookmarkStart w:id="1624" w:name="_Toc23489"/>
      <w:bookmarkStart w:id="1625" w:name="_Toc61877314"/>
      <w:bookmarkStart w:id="1626" w:name="_Toc11258"/>
      <w:bookmarkStart w:id="1627" w:name="_Toc70273130"/>
      <w:bookmarkStart w:id="1628" w:name="_Toc20401"/>
      <w:bookmarkStart w:id="1629" w:name="_Toc20163"/>
      <w:bookmarkStart w:id="1630" w:name="_Toc27078"/>
      <w:r>
        <w:rPr>
          <w:rFonts w:hint="eastAsia" w:ascii="黑体" w:hAnsi="宋体" w:eastAsia="黑体" w:cs="黑体"/>
          <w:color w:val="000000" w:themeColor="text1"/>
          <w:kern w:val="1"/>
          <w:sz w:val="28"/>
          <w:szCs w:val="28"/>
          <w:highlight w:val="none"/>
          <w:lang w:val="zh-CN"/>
          <w14:textFill>
            <w14:solidFill>
              <w14:schemeClr w14:val="tx1"/>
            </w14:solidFill>
          </w14:textFill>
        </w:rPr>
        <w:t>2.定标程序</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定标按以下程序进行</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val="en-US" w:eastAsia="zh-CN"/>
          <w14:textFill>
            <w14:solidFill>
              <w14:schemeClr w14:val="tx1"/>
            </w14:solidFill>
          </w14:textFill>
        </w:rPr>
        <w:t>.清标</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kern w:val="1"/>
          <w:sz w:val="21"/>
          <w:szCs w:val="21"/>
          <w:highlight w:val="none"/>
          <w14:textFill>
            <w14:solidFill>
              <w14:schemeClr w14:val="tx1"/>
            </w14:solidFill>
          </w14:textFill>
        </w:rPr>
        <w:t>组建</w:t>
      </w:r>
      <w:r>
        <w:rPr>
          <w:rFonts w:hint="eastAsia" w:ascii="宋体" w:hAnsi="宋体" w:cs="宋体"/>
          <w:color w:val="000000" w:themeColor="text1"/>
          <w:kern w:val="1"/>
          <w:sz w:val="21"/>
          <w:szCs w:val="21"/>
          <w:highlight w:val="none"/>
          <w:lang w:val="en-US" w:eastAsia="zh-CN"/>
          <w14:textFill>
            <w14:solidFill>
              <w14:schemeClr w14:val="tx1"/>
            </w14:solidFill>
          </w14:textFill>
        </w:rPr>
        <w:t>清标小组</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（2）清标</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编制清标报告</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2.定标</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kern w:val="1"/>
          <w:sz w:val="21"/>
          <w:szCs w:val="21"/>
          <w:highlight w:val="none"/>
          <w14:textFill>
            <w14:solidFill>
              <w14:schemeClr w14:val="tx1"/>
            </w14:solidFill>
          </w14:textFill>
        </w:rPr>
        <w:t>组建定标委员会</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项目负责人陈述答辩考核（如有）</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定标，</w:t>
      </w:r>
      <w:r>
        <w:rPr>
          <w:rFonts w:hint="eastAsia" w:ascii="宋体" w:hAnsi="宋体" w:cs="宋体"/>
          <w:color w:val="000000" w:themeColor="text1"/>
          <w:sz w:val="21"/>
          <w:szCs w:val="21"/>
          <w:highlight w:val="none"/>
          <w:lang w:val="en-US" w:eastAsia="zh-CN"/>
          <w14:textFill>
            <w14:solidFill>
              <w14:schemeClr w14:val="tx1"/>
            </w14:solidFill>
          </w14:textFill>
        </w:rPr>
        <w:t>推荐</w:t>
      </w:r>
      <w:r>
        <w:rPr>
          <w:rFonts w:hint="eastAsia" w:ascii="宋体" w:hAnsi="宋体" w:cs="宋体"/>
          <w:color w:val="000000" w:themeColor="text1"/>
          <w:sz w:val="21"/>
          <w:szCs w:val="21"/>
          <w:highlight w:val="none"/>
          <w14:textFill>
            <w14:solidFill>
              <w14:schemeClr w14:val="tx1"/>
            </w14:solidFill>
          </w14:textFill>
        </w:rPr>
        <w:t>中标人</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hint="default" w:ascii="黑体" w:hAnsi="宋体" w:eastAsia="黑体" w:cs="黑体"/>
          <w:color w:val="000000" w:themeColor="text1"/>
          <w:kern w:val="1"/>
          <w:sz w:val="28"/>
          <w:szCs w:val="28"/>
          <w:highlight w:val="none"/>
          <w:lang w:val="en-US" w:eastAsia="zh-CN"/>
          <w14:textFill>
            <w14:solidFill>
              <w14:schemeClr w14:val="tx1"/>
            </w14:solidFill>
          </w14:textFill>
        </w:rPr>
      </w:pPr>
      <w:bookmarkStart w:id="1631" w:name="_Toc28881"/>
      <w:bookmarkStart w:id="1632" w:name="_Toc7320"/>
      <w:bookmarkStart w:id="1633" w:name="_Toc106703301"/>
      <w:bookmarkStart w:id="1634" w:name="_Toc28372"/>
      <w:bookmarkStart w:id="1635" w:name="_Toc61877315"/>
      <w:bookmarkStart w:id="1636" w:name="_Toc2024"/>
      <w:bookmarkStart w:id="1637" w:name="_Toc70273131"/>
      <w:bookmarkStart w:id="1638" w:name="_Toc13854"/>
      <w:bookmarkStart w:id="1639" w:name="_Toc14938"/>
      <w:bookmarkStart w:id="1640" w:name="_Toc7106"/>
      <w:bookmarkStart w:id="1641" w:name="_Toc12017"/>
      <w:bookmarkStart w:id="1642" w:name="_Toc19305"/>
      <w:bookmarkStart w:id="1643" w:name="_Toc12442"/>
      <w:bookmarkStart w:id="1644" w:name="_Toc27941"/>
      <w:bookmarkStart w:id="1645" w:name="_Toc13513"/>
      <w:bookmarkStart w:id="1646" w:name="_Toc18624"/>
      <w:bookmarkStart w:id="1647" w:name="_Toc8611"/>
      <w:bookmarkStart w:id="1648" w:name="_Toc3300"/>
      <w:r>
        <w:rPr>
          <w:rFonts w:hint="eastAsia" w:ascii="黑体" w:hAnsi="宋体" w:eastAsia="黑体" w:cs="黑体"/>
          <w:color w:val="000000" w:themeColor="text1"/>
          <w:kern w:val="1"/>
          <w:sz w:val="28"/>
          <w:szCs w:val="28"/>
          <w:highlight w:val="none"/>
          <w:lang w:val="zh-CN"/>
          <w14:textFill>
            <w14:solidFill>
              <w14:schemeClr w14:val="tx1"/>
            </w14:solidFill>
          </w14:textFill>
        </w:rPr>
        <w:t>3.</w:t>
      </w:r>
      <w:bookmarkEnd w:id="1631"/>
      <w:bookmarkEnd w:id="1632"/>
      <w:bookmarkEnd w:id="1633"/>
      <w:bookmarkEnd w:id="1634"/>
      <w:bookmarkEnd w:id="1635"/>
      <w:bookmarkEnd w:id="1636"/>
      <w:bookmarkEnd w:id="1637"/>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清标</w:t>
      </w:r>
      <w:bookmarkEnd w:id="1638"/>
      <w:bookmarkEnd w:id="1639"/>
      <w:bookmarkEnd w:id="1640"/>
      <w:bookmarkEnd w:id="1641"/>
      <w:bookmarkEnd w:id="1642"/>
      <w:bookmarkEnd w:id="1643"/>
      <w:bookmarkEnd w:id="1644"/>
      <w:bookmarkEnd w:id="1645"/>
      <w:bookmarkEnd w:id="1646"/>
      <w:bookmarkEnd w:id="1647"/>
      <w:bookmarkEnd w:id="1648"/>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3.1.组建清标小组</w:t>
      </w:r>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清标小组由建设单位组建，主要由建设单位、代建单位和招标代理机构具备工程建设类中级及以上技术职称或相关注册执业资格的人员组成，成员人数为3人及以上单数。若满足上述要求的人员确实不足的，经招投标监管机构同意，也可委托其他具备丰富评定分离项目招标代理经验的招标代理单位中满足上述资格要求的人员。</w:t>
      </w:r>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3.2.清标</w:t>
      </w:r>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3.2.1.清标小组使用建设单位加密定标方案附件的CA证书，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解密报价评审标准（如有），根据该附件规定进行评审</w:t>
      </w:r>
      <w:r>
        <w:rPr>
          <w:rFonts w:hint="eastAsia" w:ascii="宋体" w:hAnsi="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397" w:firstLineChars="188"/>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3.2.2.清标小组根据定标方案前附表第1项、第2项、第3项规定的定标要素（除</w:t>
      </w:r>
      <w:r>
        <w:rPr>
          <w:rFonts w:hint="eastAsia" w:ascii="宋体" w:hAnsi="宋体" w:eastAsia="宋体" w:cs="Times New Roman"/>
          <w:color w:val="000000" w:themeColor="text1"/>
          <w:kern w:val="0"/>
          <w:sz w:val="21"/>
          <w:szCs w:val="21"/>
          <w:highlight w:val="none"/>
          <w:u w:val="none"/>
          <w:lang w:val="en-US" w:eastAsia="zh-CN" w:bidi="ar-SA"/>
          <w14:textFill>
            <w14:solidFill>
              <w14:schemeClr w14:val="tx1"/>
            </w14:solidFill>
          </w14:textFill>
        </w:rPr>
        <w:t>项目负责人陈述答辩子要素以外</w:t>
      </w:r>
      <w:r>
        <w:rPr>
          <w:rFonts w:hint="eastAsia" w:ascii="宋体" w:hAnsi="宋体" w:cs="宋体"/>
          <w:color w:val="000000" w:themeColor="text1"/>
          <w:sz w:val="21"/>
          <w:szCs w:val="21"/>
          <w:highlight w:val="none"/>
          <w:lang w:val="en-US" w:eastAsia="zh-CN"/>
          <w14:textFill>
            <w14:solidFill>
              <w14:schemeClr w14:val="tx1"/>
            </w14:solidFill>
          </w14:textFill>
        </w:rPr>
        <w:t>）评审标准，</w:t>
      </w:r>
      <w:r>
        <w:rPr>
          <w:rFonts w:hint="eastAsia" w:cs="宋体"/>
          <w:color w:val="000000" w:themeColor="text1"/>
          <w:sz w:val="21"/>
          <w:szCs w:val="21"/>
          <w:highlight w:val="none"/>
          <w:lang w:val="en-US" w:eastAsia="zh-CN"/>
          <w14:textFill>
            <w14:solidFill>
              <w14:schemeClr w14:val="tx1"/>
            </w14:solidFill>
          </w14:textFill>
        </w:rPr>
        <w:t>按照百分制计算得分乘以相应权重后汇总为各定标候选人清标得分</w:t>
      </w:r>
      <w:r>
        <w:rPr>
          <w:rFonts w:hint="eastAsia" w:ascii="宋体" w:hAnsi="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397"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3.2.3.清标小组对同一定标候选人同一定标子要素的评审结果均应一致。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397"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3.3.编制清标报告</w:t>
      </w:r>
    </w:p>
    <w:p>
      <w:pPr>
        <w:keepNext w:val="0"/>
        <w:keepLines w:val="0"/>
        <w:pageBreakBefore w:val="0"/>
        <w:widowControl w:val="0"/>
        <w:kinsoku/>
        <w:wordWrap/>
        <w:overflowPunct/>
        <w:topLinePunct w:val="0"/>
        <w:bidi w:val="0"/>
        <w:adjustRightInd/>
        <w:snapToGrid/>
        <w:spacing w:line="360" w:lineRule="auto"/>
        <w:ind w:firstLine="424"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清标小组根据3.2项规定完成清标工作后，应当编制清标报告并加密上传至电子交易平台，定标时启用。</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color w:val="000000" w:themeColor="text1"/>
          <w:sz w:val="34"/>
          <w:highlight w:val="none"/>
          <w14:textFill>
            <w14:solidFill>
              <w14:schemeClr w14:val="tx1"/>
            </w14:solidFill>
          </w14:textFill>
        </w:rPr>
      </w:pPr>
      <w:bookmarkStart w:id="1649" w:name="_Toc75"/>
      <w:bookmarkStart w:id="1650" w:name="_Toc19406"/>
      <w:bookmarkStart w:id="1651" w:name="_Toc17261"/>
      <w:bookmarkStart w:id="1652" w:name="_Toc1007"/>
      <w:bookmarkStart w:id="1653" w:name="_Toc4659"/>
      <w:bookmarkStart w:id="1654" w:name="_Toc31276"/>
      <w:bookmarkStart w:id="1655" w:name="_Toc834"/>
      <w:bookmarkStart w:id="1656" w:name="_Toc2531"/>
      <w:bookmarkStart w:id="1657" w:name="_Toc11408"/>
      <w:bookmarkStart w:id="1658" w:name="_Toc11715"/>
      <w:bookmarkStart w:id="1659" w:name="_Toc9982"/>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4</w:t>
      </w:r>
      <w:r>
        <w:rPr>
          <w:rFonts w:hint="eastAsia" w:ascii="黑体" w:hAnsi="宋体" w:eastAsia="黑体" w:cs="黑体"/>
          <w:color w:val="000000" w:themeColor="text1"/>
          <w:kern w:val="1"/>
          <w:sz w:val="28"/>
          <w:szCs w:val="28"/>
          <w:highlight w:val="none"/>
          <w:lang w:val="zh-CN"/>
          <w14:textFill>
            <w14:solidFill>
              <w14:schemeClr w14:val="tx1"/>
            </w14:solidFill>
          </w14:textFill>
        </w:rPr>
        <w:t>.</w:t>
      </w:r>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定标</w:t>
      </w:r>
      <w:bookmarkEnd w:id="1649"/>
      <w:bookmarkEnd w:id="1650"/>
      <w:bookmarkEnd w:id="1651"/>
      <w:bookmarkEnd w:id="1652"/>
      <w:bookmarkEnd w:id="1653"/>
      <w:bookmarkEnd w:id="1654"/>
      <w:bookmarkEnd w:id="1655"/>
      <w:bookmarkEnd w:id="1656"/>
      <w:bookmarkEnd w:id="1657"/>
      <w:bookmarkEnd w:id="1658"/>
      <w:bookmarkEnd w:id="1659"/>
    </w:p>
    <w:p>
      <w:pPr>
        <w:keepNext w:val="0"/>
        <w:keepLines w:val="0"/>
        <w:pageBreakBefore w:val="0"/>
        <w:kinsoku/>
        <w:wordWrap/>
        <w:overflowPunct/>
        <w:topLinePunct w:val="0"/>
        <w:autoSpaceDE w:val="0"/>
        <w:autoSpaceDN w:val="0"/>
        <w:bidi w:val="0"/>
        <w:adjustRightInd/>
        <w:spacing w:line="360" w:lineRule="auto"/>
        <w:ind w:firstLine="397" w:firstLineChars="188"/>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组建定标委员会</w:t>
      </w:r>
    </w:p>
    <w:p>
      <w:pPr>
        <w:keepNext w:val="0"/>
        <w:keepLines w:val="0"/>
        <w:pageBreakBefore w:val="0"/>
        <w:kinsoku/>
        <w:wordWrap/>
        <w:overflowPunct/>
        <w:topLinePunct w:val="0"/>
        <w:autoSpaceDE w:val="0"/>
        <w:autoSpaceDN w:val="0"/>
        <w:bidi w:val="0"/>
        <w:adjustRightInd/>
        <w:spacing w:line="360" w:lineRule="auto"/>
        <w:ind w:firstLine="397" w:firstLineChars="188"/>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.1.1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定标委员会需由建设单位的法定代表人负责组建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成员总数为</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人及以上单数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项目实行代建的且代建单位作为招标人的，建设单位可以委托代建单位的法定代表人组建，代建单位应将定标委员会组建方案报建设单位批准同意。</w:t>
      </w:r>
    </w:p>
    <w:p>
      <w:pPr>
        <w:keepNext w:val="0"/>
        <w:keepLines w:val="0"/>
        <w:pageBreakBefore w:val="0"/>
        <w:kinsoku/>
        <w:wordWrap/>
        <w:overflowPunct/>
        <w:topLinePunct w:val="0"/>
        <w:autoSpaceDE w:val="0"/>
        <w:autoSpaceDN w:val="0"/>
        <w:bidi w:val="0"/>
        <w:adjustRightInd/>
        <w:spacing w:line="360" w:lineRule="auto"/>
        <w:ind w:firstLine="397" w:firstLineChars="188"/>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.1.2</w:t>
      </w:r>
      <w:r>
        <w:rPr>
          <w:rFonts w:hint="eastAsia" w:ascii="宋体" w:hAnsi="宋体" w:cs="宋体"/>
          <w:color w:val="000000" w:themeColor="text1"/>
          <w:sz w:val="21"/>
          <w:szCs w:val="21"/>
          <w:highlight w:val="none"/>
          <w:lang w:val="en-US" w:eastAsia="zh-CN"/>
          <w14:textFill>
            <w14:solidFill>
              <w14:schemeClr w14:val="tx1"/>
            </w14:solidFill>
          </w14:textFill>
        </w:rPr>
        <w:t>.建设单位可以授权下列人员作为定标委员会成员，行使定标权：</w:t>
      </w:r>
    </w:p>
    <w:p>
      <w:pPr>
        <w:keepNext w:val="0"/>
        <w:keepLines w:val="0"/>
        <w:pageBreakBefore w:val="0"/>
        <w:numPr>
          <w:ilvl w:val="0"/>
          <w:numId w:val="3"/>
        </w:numPr>
        <w:kinsoku/>
        <w:wordWrap/>
        <w:overflowPunct/>
        <w:topLinePunct w:val="0"/>
        <w:autoSpaceDE w:val="0"/>
        <w:autoSpaceDN w:val="0"/>
        <w:bidi w:val="0"/>
        <w:adjustRightInd/>
        <w:spacing w:line="360" w:lineRule="auto"/>
        <w:ind w:firstLine="397" w:firstLineChars="188"/>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定标委员会成员原则上从建设单位</w:t>
      </w:r>
      <w:r>
        <w:rPr>
          <w:rFonts w:hint="eastAsia" w:ascii="宋体" w:hAnsi="宋体" w:cs="宋体"/>
          <w:color w:val="000000" w:themeColor="text1"/>
          <w:sz w:val="21"/>
          <w:szCs w:val="21"/>
          <w:highlight w:val="none"/>
          <w:lang w:val="en-US" w:eastAsia="zh-CN"/>
          <w14:textFill>
            <w14:solidFill>
              <w14:schemeClr w14:val="tx1"/>
            </w14:solidFill>
          </w14:textFill>
        </w:rPr>
        <w:t>或</w:t>
      </w:r>
      <w:r>
        <w:rPr>
          <w:rFonts w:hint="eastAsia" w:ascii="宋体" w:hAnsi="宋体" w:cs="宋体"/>
          <w:color w:val="000000" w:themeColor="text1"/>
          <w:sz w:val="21"/>
          <w:szCs w:val="21"/>
          <w:highlight w:val="none"/>
          <w14:textFill>
            <w14:solidFill>
              <w14:schemeClr w14:val="tx1"/>
            </w14:solidFill>
          </w14:textFill>
        </w:rPr>
        <w:t>代建单位的领导班子成员、经营管理人员、具有工程建设类技术职称或注册执业资格的人员中产生</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其中至少1人必须</w:t>
      </w:r>
      <w:r>
        <w:rPr>
          <w:rFonts w:hint="eastAsia" w:ascii="宋体" w:hAnsi="宋体" w:cs="宋体"/>
          <w:color w:val="000000" w:themeColor="text1"/>
          <w:sz w:val="21"/>
          <w:szCs w:val="21"/>
          <w:highlight w:val="none"/>
          <w14:textFill>
            <w14:solidFill>
              <w14:schemeClr w14:val="tx1"/>
            </w14:solidFill>
          </w14:textFill>
        </w:rPr>
        <w:t>具有工程建设类技术职称或注册执业资格。</w:t>
      </w:r>
    </w:p>
    <w:p>
      <w:pPr>
        <w:keepNext w:val="0"/>
        <w:keepLines w:val="0"/>
        <w:pageBreakBefore w:val="0"/>
        <w:numPr>
          <w:ilvl w:val="0"/>
          <w:numId w:val="3"/>
        </w:numPr>
        <w:kinsoku/>
        <w:wordWrap/>
        <w:overflowPunct/>
        <w:topLinePunct w:val="0"/>
        <w:autoSpaceDE w:val="0"/>
        <w:autoSpaceDN w:val="0"/>
        <w:bidi w:val="0"/>
        <w:adjustRightInd/>
        <w:spacing w:line="360" w:lineRule="auto"/>
        <w:ind w:firstLine="397" w:firstLineChars="188"/>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本单位人员不足的，可以从</w:t>
      </w:r>
      <w:r>
        <w:rPr>
          <w:rFonts w:hint="eastAsia" w:ascii="宋体" w:hAnsi="宋体" w:cs="宋体"/>
          <w:color w:val="000000" w:themeColor="text1"/>
          <w:sz w:val="21"/>
          <w:szCs w:val="21"/>
          <w:highlight w:val="none"/>
          <w:lang w:val="en-US" w:eastAsia="zh-CN"/>
          <w14:textFill>
            <w14:solidFill>
              <w14:schemeClr w14:val="tx1"/>
            </w14:solidFill>
          </w14:textFill>
        </w:rPr>
        <w:t>上级单位</w:t>
      </w:r>
      <w:r>
        <w:rPr>
          <w:rFonts w:hint="eastAsia" w:ascii="宋体" w:hAnsi="宋体" w:cs="宋体"/>
          <w:color w:val="000000" w:themeColor="text1"/>
          <w:sz w:val="21"/>
          <w:szCs w:val="21"/>
          <w:highlight w:val="none"/>
          <w14:textFill>
            <w14:solidFill>
              <w14:schemeClr w14:val="tx1"/>
            </w14:solidFill>
          </w14:textFill>
        </w:rPr>
        <w:t>、下属单位或关联企业中选取符合条件的人员作为定标委员会成员。招标项目对技术、商务</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cs="宋体"/>
          <w:color w:val="000000" w:themeColor="text1"/>
          <w:sz w:val="21"/>
          <w:szCs w:val="21"/>
          <w:highlight w:val="none"/>
          <w14:textFill>
            <w14:solidFill>
              <w14:schemeClr w14:val="tx1"/>
            </w14:solidFill>
          </w14:textFill>
        </w:rPr>
        <w:t>有特别要求的，可以邀请与投标人无利害关系的专家，专家人数为1～2名且不超过定标委员会成员总数的1/3。</w:t>
      </w:r>
    </w:p>
    <w:p>
      <w:pPr>
        <w:keepNext w:val="0"/>
        <w:keepLines w:val="0"/>
        <w:pageBreakBefore w:val="0"/>
        <w:kinsoku/>
        <w:wordWrap/>
        <w:overflowPunct/>
        <w:topLinePunct w:val="0"/>
        <w:autoSpaceDE w:val="0"/>
        <w:autoSpaceDN w:val="0"/>
        <w:bidi w:val="0"/>
        <w:adjustRightInd/>
        <w:spacing w:line="360" w:lineRule="auto"/>
        <w:ind w:firstLine="397" w:firstLineChars="188"/>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.1.3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各区、各行业主管部门及有条件的建设单位建立定标委员会成员名录库的，建设单位可以在相应的定标委员会成员名录库中采取随机抽签的方式</w:t>
      </w:r>
      <w:r>
        <w:rPr>
          <w:rFonts w:hint="eastAsia" w:ascii="宋体" w:hAnsi="宋体" w:cs="宋体"/>
          <w:color w:val="000000" w:themeColor="text1"/>
          <w:sz w:val="21"/>
          <w:szCs w:val="21"/>
          <w:highlight w:val="none"/>
          <w:lang w:val="en-US" w:eastAsia="zh-CN"/>
          <w14:textFill>
            <w14:solidFill>
              <w14:schemeClr w14:val="tx1"/>
            </w14:solidFill>
          </w14:textFill>
        </w:rPr>
        <w:t>确定定标委员会成员</w:t>
      </w:r>
      <w:r>
        <w:rPr>
          <w:rFonts w:hint="eastAsia" w:ascii="宋体" w:hAnsi="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hint="eastAsia"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4.2陈述答辩考核（如有）</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hint="default"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4.2.1</w:t>
      </w:r>
      <w:r>
        <w:rPr>
          <w:rFonts w:hint="eastAsia" w:ascii="宋体" w:hAnsi="宋体" w:cs="Times New Roman"/>
          <w:color w:val="000000" w:themeColor="text1"/>
          <w:kern w:val="0"/>
          <w:sz w:val="21"/>
          <w:szCs w:val="21"/>
          <w:highlight w:val="none"/>
          <w:u w:val="none"/>
          <w:lang w:val="en-US" w:eastAsia="zh-CN" w:bidi="ar-SA"/>
          <w14:textFill>
            <w14:solidFill>
              <w14:schemeClr w14:val="tx1"/>
            </w14:solidFill>
          </w14:textFill>
        </w:rPr>
        <w:t>考核工作与清标工作同步开展。</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hint="default"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4.2.2定标委员会使用建设单位加密定标方案附件的CA证书，解密陈述答辩考核方案附件。</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4.2.3</w:t>
      </w:r>
      <w:r>
        <w:rPr>
          <w:rFonts w:hint="eastAsia" w:cs="宋体"/>
          <w:color w:val="000000" w:themeColor="text1"/>
          <w:sz w:val="21"/>
          <w:szCs w:val="21"/>
          <w:highlight w:val="none"/>
          <w:lang w:val="en-US" w:eastAsia="zh-CN"/>
          <w14:textFill>
            <w14:solidFill>
              <w14:schemeClr w14:val="tx1"/>
            </w14:solidFill>
          </w14:textFill>
        </w:rPr>
        <w:t>定标委员会根据陈述答辩考核方案规定的标准和程序进行陈述答辩的评审，并按照百分制计算得分乘以相应权重后汇总为各定标候选人陈述答辩得分。完成评审后，相关分值通过电子交易系统自动匹配至相应的投标人。</w:t>
      </w:r>
    </w:p>
    <w:p>
      <w:pPr>
        <w:keepNext w:val="0"/>
        <w:keepLines w:val="0"/>
        <w:pageBreakBefore w:val="0"/>
        <w:widowControl/>
        <w:tabs>
          <w:tab w:val="left" w:pos="8218"/>
        </w:tabs>
        <w:kinsoku/>
        <w:wordWrap/>
        <w:overflowPunct/>
        <w:topLinePunct w:val="0"/>
        <w:autoSpaceDE/>
        <w:autoSpaceDN/>
        <w:bidi w:val="0"/>
        <w:adjustRightInd w:val="0"/>
        <w:snapToGrid w:val="0"/>
        <w:spacing w:line="360" w:lineRule="auto"/>
        <w:ind w:firstLine="424" w:firstLineChars="200"/>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4.3定标，推荐中标人</w:t>
      </w:r>
      <w:r>
        <w:rPr>
          <w:rFonts w:hint="eastAsia" w:ascii="宋体" w:hAnsi="宋体" w:cs="宋体"/>
          <w:color w:val="000000" w:themeColor="text1"/>
          <w:sz w:val="21"/>
          <w:szCs w:val="21"/>
          <w:highlight w:val="none"/>
          <w:lang w:val="en-US" w:eastAsia="zh-CN"/>
          <w14:textFill>
            <w14:solidFill>
              <w14:schemeClr w14:val="tx1"/>
            </w14:solidFill>
          </w14:textFill>
        </w:rPr>
        <w:tab/>
      </w:r>
    </w:p>
    <w:p>
      <w:pPr>
        <w:widowControl/>
        <w:adjustRightInd/>
        <w:spacing w:line="360" w:lineRule="auto"/>
        <w:ind w:firstLine="424" w:firstLineChars="200"/>
        <w:jc w:val="left"/>
        <w:textAlignment w:val="auto"/>
        <w:rPr>
          <w:rFonts w:hint="eastAsia" w:ascii="宋体" w:hAnsi="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Times New Roman"/>
          <w:color w:val="000000" w:themeColor="text1"/>
          <w:kern w:val="0"/>
          <w:sz w:val="21"/>
          <w:szCs w:val="21"/>
          <w:highlight w:val="none"/>
          <w:u w:val="none"/>
          <w:lang w:val="en-US" w:eastAsia="zh-CN" w:bidi="ar-SA"/>
          <w14:textFill>
            <w14:solidFill>
              <w14:schemeClr w14:val="tx1"/>
            </w14:solidFill>
          </w14:textFill>
        </w:rPr>
        <w:t>4.3.1定标委员会可在清标工作结束后随即开展定标工作或按规定择期定标。招标项目存在陈述答辩考核工作的，定标委员会应在完成4.2项规定的陈述答辩考核评审工作后立即开展定标工作。</w:t>
      </w:r>
    </w:p>
    <w:p>
      <w:pPr>
        <w:widowControl/>
        <w:adjustRightInd/>
        <w:spacing w:line="360" w:lineRule="auto"/>
        <w:ind w:firstLine="424" w:firstLineChars="200"/>
        <w:jc w:val="left"/>
        <w:textAlignment w:val="auto"/>
        <w:rPr>
          <w:rFonts w:hint="default" w:ascii="宋体" w:hAnsi="宋体"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Times New Roman"/>
          <w:color w:val="000000" w:themeColor="text1"/>
          <w:kern w:val="0"/>
          <w:sz w:val="21"/>
          <w:szCs w:val="21"/>
          <w:highlight w:val="none"/>
          <w:u w:val="none"/>
          <w:lang w:val="en-US" w:eastAsia="zh-CN" w:bidi="ar-SA"/>
          <w14:textFill>
            <w14:solidFill>
              <w14:schemeClr w14:val="tx1"/>
            </w14:solidFill>
          </w14:textFill>
        </w:rPr>
        <w:t>4.3.2</w:t>
      </w:r>
      <w:r>
        <w:rPr>
          <w:rFonts w:hint="eastAsia" w:ascii="宋体" w:hAnsi="宋体" w:cs="宋体"/>
          <w:color w:val="000000" w:themeColor="text1"/>
          <w:sz w:val="21"/>
          <w:szCs w:val="21"/>
          <w:highlight w:val="none"/>
          <w:lang w:val="en-US" w:eastAsia="zh-CN"/>
          <w14:textFill>
            <w14:solidFill>
              <w14:schemeClr w14:val="tx1"/>
            </w14:solidFill>
          </w14:textFill>
        </w:rPr>
        <w:t>投标人须知前附表第7.3项以及定标方案前附表第4项规定随机抽取定标方法的，根据定标方案前附表第4项规定进行随机抽取。</w:t>
      </w:r>
    </w:p>
    <w:p>
      <w:pPr>
        <w:widowControl/>
        <w:adjustRightInd/>
        <w:spacing w:line="360" w:lineRule="auto"/>
        <w:ind w:firstLine="424" w:firstLineChars="200"/>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Times New Roman"/>
          <w:color w:val="000000" w:themeColor="text1"/>
          <w:kern w:val="0"/>
          <w:sz w:val="21"/>
          <w:szCs w:val="21"/>
          <w:highlight w:val="none"/>
          <w:u w:val="none"/>
          <w:lang w:val="en-US" w:eastAsia="zh-CN" w:bidi="ar-SA"/>
          <w14:textFill>
            <w14:solidFill>
              <w14:schemeClr w14:val="tx1"/>
            </w14:solidFill>
          </w14:textFill>
        </w:rPr>
        <w:t>4.3.3</w:t>
      </w:r>
      <w:r>
        <w:rPr>
          <w:rFonts w:hint="eastAsia" w:ascii="宋体" w:hAnsi="宋体" w:cs="宋体"/>
          <w:color w:val="000000" w:themeColor="text1"/>
          <w:sz w:val="21"/>
          <w:szCs w:val="21"/>
          <w:highlight w:val="none"/>
          <w14:textFill>
            <w14:solidFill>
              <w14:schemeClr w14:val="tx1"/>
            </w14:solidFill>
          </w14:textFill>
        </w:rPr>
        <w:t>定标委员</w:t>
      </w:r>
      <w:r>
        <w:rPr>
          <w:rFonts w:hint="eastAsia" w:ascii="宋体" w:hAnsi="宋体" w:cs="宋体"/>
          <w:color w:val="000000" w:themeColor="text1"/>
          <w:sz w:val="21"/>
          <w:szCs w:val="21"/>
          <w:highlight w:val="none"/>
          <w:lang w:val="en-US" w:eastAsia="zh-CN"/>
          <w14:textFill>
            <w14:solidFill>
              <w14:schemeClr w14:val="tx1"/>
            </w14:solidFill>
          </w14:textFill>
        </w:rPr>
        <w:t>会解密</w:t>
      </w:r>
      <w:r>
        <w:rPr>
          <w:rFonts w:hint="eastAsia" w:ascii="宋体" w:hAnsi="宋体" w:cs="宋体"/>
          <w:color w:val="000000" w:themeColor="text1"/>
          <w:sz w:val="21"/>
          <w:szCs w:val="21"/>
          <w:highlight w:val="none"/>
          <w14:textFill>
            <w14:solidFill>
              <w14:schemeClr w14:val="tx1"/>
            </w14:solidFill>
          </w14:textFill>
        </w:rPr>
        <w:t>清标报告中各定标候选人的清标得分，</w:t>
      </w:r>
      <w:r>
        <w:rPr>
          <w:rFonts w:hint="eastAsia" w:ascii="宋体" w:hAnsi="宋体" w:cs="宋体"/>
          <w:color w:val="000000" w:themeColor="text1"/>
          <w:sz w:val="21"/>
          <w:szCs w:val="21"/>
          <w:highlight w:val="none"/>
          <w:lang w:val="en-US" w:eastAsia="zh-CN"/>
          <w14:textFill>
            <w14:solidFill>
              <w14:schemeClr w14:val="tx1"/>
            </w14:solidFill>
          </w14:textFill>
        </w:rPr>
        <w:t>根据</w:t>
      </w:r>
      <w:r>
        <w:rPr>
          <w:rFonts w:hint="eastAsia" w:ascii="宋体" w:hAnsi="宋体" w:cs="宋体"/>
          <w:color w:val="000000" w:themeColor="text1"/>
          <w:sz w:val="21"/>
          <w:szCs w:val="21"/>
          <w:highlight w:val="none"/>
          <w14:textFill>
            <w14:solidFill>
              <w14:schemeClr w14:val="tx1"/>
            </w14:solidFill>
          </w14:textFill>
        </w:rPr>
        <w:t>各定标候选人</w:t>
      </w:r>
      <w:r>
        <w:rPr>
          <w:rFonts w:hint="eastAsia" w:ascii="宋体" w:hAnsi="宋体" w:cs="宋体"/>
          <w:color w:val="000000" w:themeColor="text1"/>
          <w:sz w:val="21"/>
          <w:szCs w:val="21"/>
          <w:highlight w:val="none"/>
          <w:lang w:val="en-US" w:eastAsia="zh-CN"/>
          <w14:textFill>
            <w14:solidFill>
              <w14:schemeClr w14:val="tx1"/>
            </w14:solidFill>
          </w14:textFill>
        </w:rPr>
        <w:t>项目负责人陈述答辩得分（如有）汇总</w:t>
      </w:r>
      <w:r>
        <w:rPr>
          <w:rFonts w:hint="eastAsia" w:ascii="宋体" w:hAnsi="宋体" w:cs="宋体"/>
          <w:color w:val="000000" w:themeColor="text1"/>
          <w:sz w:val="21"/>
          <w:szCs w:val="21"/>
          <w:highlight w:val="none"/>
          <w14:textFill>
            <w14:solidFill>
              <w14:schemeClr w14:val="tx1"/>
            </w14:solidFill>
          </w14:textFill>
        </w:rPr>
        <w:t>计算定标候选人的综合得分</w:t>
      </w:r>
      <w:r>
        <w:rPr>
          <w:rFonts w:hint="eastAsia" w:ascii="宋体" w:hAnsi="宋体" w:cs="宋体"/>
          <w:color w:val="000000" w:themeColor="text1"/>
          <w:sz w:val="21"/>
          <w:szCs w:val="21"/>
          <w:highlight w:val="none"/>
          <w:lang w:val="en-US" w:eastAsia="zh-CN"/>
          <w14:textFill>
            <w14:solidFill>
              <w14:schemeClr w14:val="tx1"/>
            </w14:solidFill>
          </w14:textFill>
        </w:rPr>
        <w:t>并由高往低排序</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定标委员会还需复核清标结果，如发现清标结果有误，应及时纠正并经定标委员会所有成员签字确认，纠正情况应纳入定标报告。</w:t>
      </w:r>
    </w:p>
    <w:p>
      <w:pPr>
        <w:widowControl/>
        <w:adjustRightInd/>
        <w:spacing w:line="360" w:lineRule="auto"/>
        <w:ind w:firstLine="424"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4.3.4</w:t>
      </w:r>
      <w:r>
        <w:rPr>
          <w:rFonts w:hint="eastAsia" w:ascii="宋体" w:hAnsi="宋体" w:cs="宋体"/>
          <w:color w:val="000000" w:themeColor="text1"/>
          <w:sz w:val="21"/>
          <w:szCs w:val="21"/>
          <w:highlight w:val="none"/>
          <w14:textFill>
            <w14:solidFill>
              <w14:schemeClr w14:val="tx1"/>
            </w14:solidFill>
          </w14:textFill>
        </w:rPr>
        <w:t>定标委员会根据</w:t>
      </w:r>
      <w:r>
        <w:rPr>
          <w:rFonts w:hint="eastAsia" w:ascii="宋体" w:hAnsi="宋体" w:cs="宋体"/>
          <w:color w:val="000000" w:themeColor="text1"/>
          <w:sz w:val="21"/>
          <w:szCs w:val="21"/>
          <w:highlight w:val="none"/>
          <w:lang w:val="en-US" w:eastAsia="zh-CN"/>
          <w14:textFill>
            <w14:solidFill>
              <w14:schemeClr w14:val="tx1"/>
            </w14:solidFill>
          </w14:textFill>
        </w:rPr>
        <w:t>投标人须知前附表第7.3项以及</w:t>
      </w:r>
      <w:r>
        <w:rPr>
          <w:rFonts w:hint="eastAsia" w:ascii="宋体" w:hAnsi="宋体" w:cs="宋体"/>
          <w:color w:val="000000" w:themeColor="text1"/>
          <w:sz w:val="21"/>
          <w:szCs w:val="21"/>
          <w:highlight w:val="none"/>
          <w14:textFill>
            <w14:solidFill>
              <w14:schemeClr w14:val="tx1"/>
            </w14:solidFill>
          </w14:textFill>
        </w:rPr>
        <w:t>定标方案</w:t>
      </w:r>
      <w:r>
        <w:rPr>
          <w:rFonts w:hint="eastAsia" w:ascii="宋体" w:hAnsi="宋体" w:cs="宋体"/>
          <w:color w:val="000000" w:themeColor="text1"/>
          <w:sz w:val="21"/>
          <w:szCs w:val="21"/>
          <w:highlight w:val="none"/>
          <w:lang w:val="en-US" w:eastAsia="zh-CN"/>
          <w14:textFill>
            <w14:solidFill>
              <w14:schemeClr w14:val="tx1"/>
            </w14:solidFill>
          </w14:textFill>
        </w:rPr>
        <w:t>前附表第4项</w:t>
      </w:r>
      <w:r>
        <w:rPr>
          <w:rFonts w:hint="eastAsia" w:ascii="宋体" w:hAnsi="宋体" w:cs="宋体"/>
          <w:color w:val="000000" w:themeColor="text1"/>
          <w:sz w:val="21"/>
          <w:szCs w:val="21"/>
          <w:highlight w:val="none"/>
          <w14:textFill>
            <w14:solidFill>
              <w14:schemeClr w14:val="tx1"/>
            </w14:solidFill>
          </w14:textFill>
        </w:rPr>
        <w:t>规定的</w:t>
      </w:r>
      <w:r>
        <w:rPr>
          <w:rFonts w:hint="eastAsia" w:ascii="宋体" w:hAnsi="宋体" w:cs="宋体"/>
          <w:color w:val="000000" w:themeColor="text1"/>
          <w:sz w:val="21"/>
          <w:szCs w:val="21"/>
          <w:highlight w:val="none"/>
          <w:lang w:val="en-US" w:eastAsia="zh-CN"/>
          <w14:textFill>
            <w14:solidFill>
              <w14:schemeClr w14:val="tx1"/>
            </w14:solidFill>
          </w14:textFill>
        </w:rPr>
        <w:t>定标方法</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确定中标</w:t>
      </w:r>
      <w:r>
        <w:rPr>
          <w:rFonts w:hint="eastAsia" w:ascii="宋体" w:hAnsi="宋体" w:cs="宋体"/>
          <w:color w:val="000000" w:themeColor="text1"/>
          <w:sz w:val="21"/>
          <w:szCs w:val="21"/>
          <w:highlight w:val="none"/>
          <w14:textFill>
            <w14:solidFill>
              <w14:schemeClr w14:val="tx1"/>
            </w14:solidFill>
          </w14:textFill>
        </w:rPr>
        <w:t>候选人</w:t>
      </w:r>
      <w:r>
        <w:rPr>
          <w:rFonts w:hint="eastAsia" w:ascii="宋体" w:hAnsi="宋体" w:cs="宋体"/>
          <w:color w:val="000000" w:themeColor="text1"/>
          <w:sz w:val="21"/>
          <w:szCs w:val="21"/>
          <w:highlight w:val="none"/>
          <w:lang w:val="en-US" w:eastAsia="zh-CN"/>
          <w14:textFill>
            <w14:solidFill>
              <w14:schemeClr w14:val="tx1"/>
            </w14:solidFill>
          </w14:textFill>
        </w:rPr>
        <w:t>并推荐中标人</w:t>
      </w:r>
      <w:r>
        <w:rPr>
          <w:rFonts w:hint="eastAsia" w:ascii="宋体" w:hAnsi="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adjustRightInd/>
        <w:spacing w:line="360" w:lineRule="auto"/>
        <w:ind w:firstLine="424"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4.3.5</w:t>
      </w:r>
      <w:r>
        <w:rPr>
          <w:rFonts w:hint="eastAsia" w:ascii="宋体" w:hAnsi="宋体" w:cs="宋体"/>
          <w:color w:val="000000" w:themeColor="text1"/>
          <w:sz w:val="21"/>
          <w:szCs w:val="21"/>
          <w:highlight w:val="none"/>
          <w14:textFill>
            <w14:solidFill>
              <w14:schemeClr w14:val="tx1"/>
            </w14:solidFill>
          </w14:textFill>
        </w:rPr>
        <w:t>定标完成后，定标委员会应当编制定标报告，定标报告完整载明定标过程。</w:t>
      </w:r>
    </w:p>
    <w:p>
      <w:pPr>
        <w:keepNext/>
        <w:keepLines/>
        <w:widowControl/>
        <w:adjustRightInd/>
        <w:spacing w:beforeLines="100" w:afterLines="100" w:line="360" w:lineRule="auto"/>
        <w:textAlignment w:val="auto"/>
        <w:outlineLvl w:val="2"/>
        <w:rPr>
          <w:rFonts w:hint="default" w:ascii="黑体" w:hAnsi="宋体" w:eastAsia="黑体" w:cs="黑体"/>
          <w:color w:val="000000" w:themeColor="text1"/>
          <w:kern w:val="1"/>
          <w:sz w:val="28"/>
          <w:szCs w:val="28"/>
          <w:highlight w:val="none"/>
          <w:lang w:val="en-US" w:eastAsia="zh-CN"/>
          <w14:textFill>
            <w14:solidFill>
              <w14:schemeClr w14:val="tx1"/>
            </w14:solidFill>
          </w14:textFill>
        </w:rPr>
      </w:pPr>
      <w:bookmarkStart w:id="1660" w:name="_Toc7037"/>
      <w:bookmarkStart w:id="1661" w:name="_Toc70273132"/>
      <w:bookmarkStart w:id="1662" w:name="_Toc12744"/>
      <w:bookmarkStart w:id="1663" w:name="_Toc61877316"/>
      <w:bookmarkStart w:id="1664" w:name="_Toc11344"/>
      <w:bookmarkStart w:id="1665" w:name="_Toc21865"/>
      <w:bookmarkStart w:id="1666" w:name="_Toc106703302"/>
      <w:bookmarkStart w:id="1667" w:name="_Toc1022"/>
      <w:bookmarkStart w:id="1668" w:name="_Toc13991"/>
      <w:bookmarkStart w:id="1669" w:name="_Toc18896"/>
      <w:bookmarkStart w:id="1670" w:name="_Toc21336"/>
      <w:bookmarkStart w:id="1671" w:name="_Toc29735"/>
      <w:bookmarkStart w:id="1672" w:name="_Toc28490"/>
      <w:bookmarkStart w:id="1673" w:name="_Toc21173"/>
      <w:bookmarkStart w:id="1674" w:name="_Toc988"/>
      <w:bookmarkStart w:id="1675" w:name="_Toc5732"/>
      <w:bookmarkStart w:id="1676" w:name="_Toc14597"/>
      <w:bookmarkStart w:id="1677" w:name="_Toc18621"/>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5</w:t>
      </w:r>
      <w:r>
        <w:rPr>
          <w:rFonts w:hint="eastAsia" w:ascii="黑体" w:hAnsi="宋体" w:eastAsia="黑体" w:cs="黑体"/>
          <w:color w:val="000000" w:themeColor="text1"/>
          <w:kern w:val="1"/>
          <w:sz w:val="28"/>
          <w:szCs w:val="28"/>
          <w:highlight w:val="none"/>
          <w:lang w:val="zh-CN"/>
          <w14:textFill>
            <w14:solidFill>
              <w14:schemeClr w14:val="tx1"/>
            </w14:solidFill>
          </w14:textFill>
        </w:rPr>
        <w:t>.重新定标</w:t>
      </w:r>
      <w:bookmarkEnd w:id="1660"/>
      <w:bookmarkEnd w:id="1661"/>
      <w:bookmarkEnd w:id="1662"/>
      <w:bookmarkEnd w:id="1663"/>
      <w:bookmarkEnd w:id="1664"/>
      <w:bookmarkEnd w:id="1665"/>
      <w:bookmarkEnd w:id="1666"/>
      <w:r>
        <w:rPr>
          <w:rFonts w:hint="eastAsia" w:ascii="黑体" w:hAnsi="宋体" w:eastAsia="黑体" w:cs="黑体"/>
          <w:color w:val="000000" w:themeColor="text1"/>
          <w:kern w:val="1"/>
          <w:sz w:val="28"/>
          <w:szCs w:val="28"/>
          <w:highlight w:val="none"/>
          <w:lang w:val="en-US" w:eastAsia="zh-CN"/>
          <w14:textFill>
            <w14:solidFill>
              <w14:schemeClr w14:val="tx1"/>
            </w14:solidFill>
          </w14:textFill>
        </w:rPr>
        <w:t>与重新招标</w:t>
      </w:r>
      <w:bookmarkEnd w:id="1667"/>
      <w:bookmarkEnd w:id="1668"/>
      <w:bookmarkEnd w:id="1669"/>
      <w:bookmarkEnd w:id="1670"/>
      <w:bookmarkEnd w:id="1671"/>
      <w:bookmarkEnd w:id="1672"/>
      <w:bookmarkEnd w:id="1673"/>
      <w:bookmarkEnd w:id="1674"/>
      <w:bookmarkEnd w:id="1675"/>
      <w:bookmarkEnd w:id="1676"/>
      <w:bookmarkEnd w:id="1677"/>
    </w:p>
    <w:p>
      <w:pPr>
        <w:widowControl/>
        <w:adjustRightInd w:val="0"/>
        <w:snapToGrid w:val="0"/>
        <w:spacing w:line="360" w:lineRule="auto"/>
        <w:ind w:firstLine="424"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定标后有下列情形之一的，建设单位</w:t>
      </w:r>
      <w:r>
        <w:rPr>
          <w:rFonts w:hint="eastAsia" w:cs="宋体"/>
          <w:color w:val="000000" w:themeColor="text1"/>
          <w:sz w:val="21"/>
          <w:szCs w:val="21"/>
          <w:highlight w:val="none"/>
          <w:lang w:val="en-US" w:eastAsia="zh-CN"/>
          <w14:textFill>
            <w14:solidFill>
              <w14:schemeClr w14:val="tx1"/>
            </w14:solidFill>
          </w14:textFill>
        </w:rPr>
        <w:t>组织</w:t>
      </w:r>
      <w:r>
        <w:rPr>
          <w:rFonts w:hint="eastAsia" w:cs="宋体"/>
          <w:color w:val="000000" w:themeColor="text1"/>
          <w:sz w:val="21"/>
          <w:szCs w:val="21"/>
          <w:highlight w:val="none"/>
          <w14:textFill>
            <w14:solidFill>
              <w14:schemeClr w14:val="tx1"/>
            </w14:solidFill>
          </w14:textFill>
        </w:rPr>
        <w:t>原定标委员会</w:t>
      </w:r>
      <w:r>
        <w:rPr>
          <w:rFonts w:hint="eastAsia" w:cs="宋体"/>
          <w:color w:val="000000" w:themeColor="text1"/>
          <w:sz w:val="21"/>
          <w:szCs w:val="21"/>
          <w:highlight w:val="none"/>
          <w:lang w:val="en-US" w:eastAsia="zh-CN"/>
          <w14:textFill>
            <w14:solidFill>
              <w14:schemeClr w14:val="tx1"/>
            </w14:solidFill>
          </w14:textFill>
        </w:rPr>
        <w:t>按原定标方案</w:t>
      </w:r>
      <w:r>
        <w:rPr>
          <w:rFonts w:hint="eastAsia" w:cs="宋体"/>
          <w:color w:val="000000" w:themeColor="text1"/>
          <w:sz w:val="21"/>
          <w:szCs w:val="21"/>
          <w:highlight w:val="none"/>
          <w14:textFill>
            <w14:solidFill>
              <w14:schemeClr w14:val="tx1"/>
            </w14:solidFill>
          </w14:textFill>
        </w:rPr>
        <w:t>重新确定中标人</w:t>
      </w:r>
      <w:r>
        <w:rPr>
          <w:rFonts w:hint="eastAsia" w:cs="宋体"/>
          <w:color w:val="000000" w:themeColor="text1"/>
          <w:sz w:val="21"/>
          <w:szCs w:val="21"/>
          <w:highlight w:val="none"/>
          <w:lang w:val="en-US" w:eastAsia="zh-CN"/>
          <w14:textFill>
            <w14:solidFill>
              <w14:schemeClr w14:val="tx1"/>
            </w14:solidFill>
          </w14:textFill>
        </w:rPr>
        <w:t>或重新招标，其中，除重新招标以外，已完成的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下浮率满分区间中值K</w:t>
      </w:r>
      <w:r>
        <w:rPr>
          <w:rFonts w:hint="eastAsia" w:cs="宋体"/>
          <w:color w:val="000000" w:themeColor="text1"/>
          <w:sz w:val="21"/>
          <w:szCs w:val="21"/>
          <w:highlight w:val="none"/>
          <w:lang w:val="en-US" w:eastAsia="zh-CN"/>
          <w14:textFill>
            <w14:solidFill>
              <w14:schemeClr w14:val="tx1"/>
            </w14:solidFill>
          </w14:textFill>
        </w:rPr>
        <w:t>抽取结果、定标方法抽取结果以及项目负责人陈述答辩评分（根据实际情况需要采用备选答辩评审标准重新陈述答辩考核的除外），后续无论出现何种情况都不再改变</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（1）中标人放弃中标或者拒不签订合同的；</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（2）中标人不按照招标文件要求提交履约担保的；</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未按照定标方案定标并影响中标结果的；</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经异议或投诉处理，</w:t>
      </w:r>
      <w:r>
        <w:rPr>
          <w:rFonts w:hint="eastAsia" w:ascii="宋体" w:hAnsi="宋体" w:cs="宋体"/>
          <w:color w:val="000000" w:themeColor="text1"/>
          <w:sz w:val="21"/>
          <w:szCs w:val="21"/>
          <w:highlight w:val="none"/>
          <w14:textFill>
            <w14:solidFill>
              <w14:schemeClr w14:val="tx1"/>
            </w14:solidFill>
          </w14:textFill>
        </w:rPr>
        <w:t>被查实</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cs="宋体"/>
          <w:color w:val="000000" w:themeColor="text1"/>
          <w:sz w:val="21"/>
          <w:szCs w:val="21"/>
          <w:highlight w:val="none"/>
          <w14:textFill>
            <w14:solidFill>
              <w14:schemeClr w14:val="tx1"/>
            </w14:solidFill>
          </w14:textFill>
        </w:rPr>
        <w:t>影响中标结果的；</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0"/>
        <w:jc w:val="left"/>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）法律法规规定的其他情形。</w:t>
      </w:r>
      <w:bookmarkEnd w:id="1593"/>
      <w:bookmarkEnd w:id="1594"/>
    </w:p>
    <w:p>
      <w:pPr>
        <w:rPr>
          <w:rFonts w:hint="eastAsia"/>
          <w:color w:val="000000" w:themeColor="text1"/>
          <w:highlight w:val="none"/>
          <w14:textFill>
            <w14:solidFill>
              <w14:schemeClr w14:val="tx1"/>
            </w14:solidFill>
          </w14:textFill>
        </w:rPr>
        <w:sectPr>
          <w:footnotePr>
            <w:numFmt w:val="decimalEnclosedCircleChinese"/>
            <w:numRestart w:val="eachPage"/>
          </w:footnotePr>
          <w:pgSz w:w="11905" w:h="16838"/>
          <w:pgMar w:top="1276" w:right="1559" w:bottom="1559" w:left="1417" w:header="851" w:footer="992" w:gutter="0"/>
          <w:cols w:space="0" w:num="1"/>
          <w:rtlGutter w:val="0"/>
          <w:docGrid w:type="linesAndChars" w:linePitch="318" w:charSpace="600"/>
        </w:sectPr>
      </w:pPr>
      <w:r>
        <w:rPr>
          <w:rFonts w:hint="eastAsia" w:ascii="宋体" w:hAnsi="宋体" w:cs="宋体"/>
          <w:color w:val="000000" w:themeColor="text1"/>
          <w:sz w:val="21"/>
          <w:szCs w:val="21"/>
          <w:highlight w:val="none"/>
          <w14:textFill>
            <w14:solidFill>
              <w14:schemeClr w14:val="tx1"/>
            </w14:solidFill>
          </w14:textFill>
        </w:rPr>
        <w:br w:type="page"/>
      </w:r>
    </w:p>
    <w:p>
      <w:pPr>
        <w:pStyle w:val="5"/>
        <w:spacing w:before="3000" w:after="0"/>
        <w:jc w:val="center"/>
        <w:rPr>
          <w:rFonts w:ascii="黑体" w:hAnsi="黑体" w:eastAsia="黑体"/>
          <w:b w:val="0"/>
          <w:color w:val="000000" w:themeColor="text1"/>
          <w:sz w:val="44"/>
          <w:szCs w:val="44"/>
          <w:highlight w:val="none"/>
          <w14:textFill>
            <w14:solidFill>
              <w14:schemeClr w14:val="tx1"/>
            </w14:solidFill>
          </w14:textFill>
        </w:rPr>
      </w:pPr>
      <w:bookmarkStart w:id="1678" w:name="_Toc28606"/>
      <w:bookmarkStart w:id="1679" w:name="_Toc5664"/>
      <w:bookmarkStart w:id="1680" w:name="_Toc52137834"/>
      <w:bookmarkStart w:id="1681" w:name="_Toc20730"/>
      <w:bookmarkStart w:id="1682" w:name="_Toc32019"/>
      <w:bookmarkStart w:id="1683" w:name="_Toc30129"/>
      <w:bookmarkStart w:id="1684" w:name="_Toc30512"/>
      <w:bookmarkStart w:id="1685" w:name="_Toc4419"/>
      <w:bookmarkStart w:id="1686" w:name="_Toc10925"/>
      <w:bookmarkStart w:id="1687" w:name="_Toc106719388"/>
      <w:bookmarkStart w:id="1688" w:name="_Toc27632"/>
      <w:bookmarkStart w:id="1689" w:name="_Toc24656"/>
      <w:bookmarkStart w:id="1690" w:name="_Toc20720"/>
      <w:bookmarkStart w:id="1691" w:name="_Toc17808"/>
      <w:r>
        <w:rPr>
          <w:rFonts w:hint="eastAsia" w:ascii="黑体" w:hAnsi="黑体" w:eastAsia="黑体"/>
          <w:b w:val="0"/>
          <w:color w:val="000000" w:themeColor="text1"/>
          <w:sz w:val="44"/>
          <w:szCs w:val="44"/>
          <w:highlight w:val="none"/>
          <w14:textFill>
            <w14:solidFill>
              <w14:schemeClr w14:val="tx1"/>
            </w14:solidFill>
          </w14:textFill>
        </w:rPr>
        <w:t>第五章 合同条款及格式</w:t>
      </w:r>
      <w:bookmarkEnd w:id="1538"/>
      <w:bookmarkEnd w:id="1539"/>
      <w:bookmarkEnd w:id="1540"/>
      <w:bookmarkEnd w:id="1541"/>
      <w:r>
        <w:rPr>
          <w:rStyle w:val="49"/>
          <w:rFonts w:ascii="黑体" w:hAnsi="黑体" w:eastAsia="黑体"/>
          <w:b w:val="0"/>
          <w:color w:val="000000" w:themeColor="text1"/>
          <w:sz w:val="44"/>
          <w:szCs w:val="44"/>
          <w:highlight w:val="none"/>
          <w14:textFill>
            <w14:solidFill>
              <w14:schemeClr w14:val="tx1"/>
            </w14:solidFill>
          </w14:textFill>
        </w:rPr>
        <w:footnoteReference w:id="46"/>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tabs>
          <w:tab w:val="left" w:pos="510"/>
        </w:tabs>
        <w:adjustRightInd/>
        <w:spacing w:line="360" w:lineRule="auto"/>
        <w:jc w:val="left"/>
        <w:textAlignment w:val="auto"/>
        <w:rPr>
          <w:rFonts w:ascii="宋体" w:hAnsi="宋体"/>
          <w:color w:val="000000" w:themeColor="text1"/>
          <w:kern w:val="2"/>
          <w:sz w:val="21"/>
          <w:szCs w:val="21"/>
          <w:highlight w:val="none"/>
          <w14:textFill>
            <w14:solidFill>
              <w14:schemeClr w14:val="tx1"/>
            </w14:solidFill>
          </w14:textFill>
        </w:rPr>
      </w:pPr>
    </w:p>
    <w:p>
      <w:pPr>
        <w:pStyle w:val="6"/>
        <w:jc w:val="center"/>
        <w:rPr>
          <w:rFonts w:ascii="黑体" w:hAnsi="黑体" w:eastAsia="黑体"/>
          <w:b w:val="0"/>
          <w:color w:val="000000" w:themeColor="text1"/>
          <w:sz w:val="28"/>
          <w:szCs w:val="28"/>
          <w:highlight w:val="none"/>
          <w14:textFill>
            <w14:solidFill>
              <w14:schemeClr w14:val="tx1"/>
            </w14:solidFill>
          </w14:textFill>
        </w:rPr>
      </w:pPr>
      <w:bookmarkStart w:id="1692" w:name="_Toc52137835"/>
      <w:bookmarkStart w:id="1693" w:name="_Toc16981"/>
      <w:bookmarkStart w:id="1694" w:name="_Toc4145"/>
      <w:bookmarkStart w:id="1695" w:name="_Toc30125"/>
      <w:bookmarkStart w:id="1696" w:name="_Toc18255"/>
      <w:bookmarkStart w:id="1697" w:name="_Toc7761"/>
      <w:bookmarkStart w:id="1698" w:name="_Toc12988"/>
      <w:bookmarkStart w:id="1699" w:name="_Toc351203480"/>
      <w:bookmarkStart w:id="1700" w:name="_Toc106719389"/>
      <w:bookmarkStart w:id="1701" w:name="_Toc16977"/>
      <w:bookmarkStart w:id="1702" w:name="_Toc17641"/>
      <w:bookmarkStart w:id="1703" w:name="_Toc9606"/>
      <w:bookmarkStart w:id="1704" w:name="_Toc12349"/>
      <w:bookmarkStart w:id="1705" w:name="_Toc26461"/>
      <w:bookmarkStart w:id="1706" w:name="_Toc20501"/>
      <w:r>
        <w:rPr>
          <w:rFonts w:ascii="黑体" w:hAnsi="黑体" w:eastAsia="黑体"/>
          <w:b w:val="0"/>
          <w:color w:val="000000" w:themeColor="text1"/>
          <w:sz w:val="28"/>
          <w:szCs w:val="28"/>
          <w:highlight w:val="none"/>
          <w14:textFill>
            <w14:solidFill>
              <w14:schemeClr w14:val="tx1"/>
            </w14:solidFill>
          </w14:textFill>
        </w:rPr>
        <w:t>第</w:t>
      </w:r>
      <w:r>
        <w:rPr>
          <w:rFonts w:hint="eastAsia" w:ascii="黑体" w:hAnsi="黑体" w:eastAsia="黑体"/>
          <w:b w:val="0"/>
          <w:color w:val="000000" w:themeColor="text1"/>
          <w:sz w:val="28"/>
          <w:szCs w:val="28"/>
          <w:highlight w:val="none"/>
          <w14:textFill>
            <w14:solidFill>
              <w14:schemeClr w14:val="tx1"/>
            </w14:solidFill>
          </w14:textFill>
        </w:rPr>
        <w:t>一节</w:t>
      </w:r>
      <w:r>
        <w:rPr>
          <w:rFonts w:ascii="黑体" w:hAnsi="黑体" w:eastAsia="黑体"/>
          <w:b w:val="0"/>
          <w:color w:val="000000" w:themeColor="text1"/>
          <w:sz w:val="28"/>
          <w:szCs w:val="28"/>
          <w:highlight w:val="none"/>
          <w14:textFill>
            <w14:solidFill>
              <w14:schemeClr w14:val="tx1"/>
            </w14:solidFill>
          </w14:textFill>
        </w:rPr>
        <w:t xml:space="preserve"> 合同协议书</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pPr>
        <w:snapToGrid w:val="0"/>
        <w:spacing w:line="360" w:lineRule="auto"/>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发包人（全称）：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勘察人（全称）：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根据《中华人民共和国民法典》、《中华人民共和国建筑法》、</w:t>
      </w:r>
      <w:r>
        <w:rPr>
          <w:rFonts w:hint="eastAsia" w:ascii="宋体" w:hAnsi="宋体"/>
          <w:color w:val="000000" w:themeColor="text1"/>
          <w:sz w:val="21"/>
          <w:szCs w:val="21"/>
          <w:highlight w:val="none"/>
          <w14:textFill>
            <w14:solidFill>
              <w14:schemeClr w14:val="tx1"/>
            </w14:solidFill>
          </w14:textFill>
        </w:rPr>
        <w:t>《中华人民共和国招标投标法》</w:t>
      </w:r>
      <w:r>
        <w:rPr>
          <w:rFonts w:hint="eastAsia" w:ascii="宋体" w:hAnsi="宋体" w:cs="宋体"/>
          <w:color w:val="000000" w:themeColor="text1"/>
          <w:sz w:val="21"/>
          <w:szCs w:val="21"/>
          <w:highlight w:val="none"/>
          <w14:textFill>
            <w14:solidFill>
              <w14:schemeClr w14:val="tx1"/>
            </w14:solidFill>
          </w14:textFill>
        </w:rPr>
        <w:t>等相关法律法规的规定，遵循平等、自愿、公平和诚实信用的原则，双方就</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项目工程勘察有关事项协商一致，达成如下协议。</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07" w:name="_Toc31129"/>
      <w:bookmarkStart w:id="1708" w:name="_Toc11129"/>
      <w:bookmarkStart w:id="1709" w:name="_Toc22258"/>
      <w:bookmarkStart w:id="1710" w:name="_Toc7842"/>
      <w:bookmarkStart w:id="1711" w:name="_Toc25839"/>
      <w:bookmarkStart w:id="1712" w:name="_Toc457826139"/>
      <w:bookmarkStart w:id="1713" w:name="_Toc106719390"/>
      <w:bookmarkStart w:id="1714" w:name="_Toc406150410"/>
      <w:bookmarkStart w:id="1715" w:name="_Toc14153"/>
      <w:bookmarkStart w:id="1716" w:name="_Toc22387"/>
      <w:bookmarkStart w:id="1717" w:name="_Toc27651"/>
      <w:bookmarkStart w:id="1718" w:name="_Toc16628"/>
      <w:bookmarkStart w:id="1719" w:name="_Toc1213"/>
      <w:bookmarkStart w:id="1720" w:name="_Toc947"/>
      <w:bookmarkStart w:id="1721" w:name="_Toc1130"/>
      <w:r>
        <w:rPr>
          <w:rFonts w:hint="eastAsia" w:ascii="黑体" w:hAnsi="黑体" w:eastAsia="黑体"/>
          <w:b w:val="0"/>
          <w:color w:val="000000" w:themeColor="text1"/>
          <w:sz w:val="28"/>
          <w:szCs w:val="28"/>
          <w:highlight w:val="none"/>
          <w14:textFill>
            <w14:solidFill>
              <w14:schemeClr w14:val="tx1"/>
            </w14:solidFill>
          </w14:textFill>
        </w:rPr>
        <w:t>一、工程概况</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工程名称：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工程地点：</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    3.</w:t>
      </w:r>
      <w:r>
        <w:rPr>
          <w:rFonts w:hint="eastAsia" w:ascii="宋体" w:hAnsi="宋体" w:cs="宋体"/>
          <w:color w:val="000000" w:themeColor="text1"/>
          <w:sz w:val="21"/>
          <w:szCs w:val="21"/>
          <w:highlight w:val="none"/>
          <w14:textFill>
            <w14:solidFill>
              <w14:schemeClr w14:val="tx1"/>
            </w14:solidFill>
          </w14:textFill>
        </w:rPr>
        <w:t>工程规模、特征：</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22" w:name="_Toc12614"/>
      <w:bookmarkStart w:id="1723" w:name="_Toc13565"/>
      <w:bookmarkStart w:id="1724" w:name="_Toc7661"/>
      <w:bookmarkStart w:id="1725" w:name="_Toc457826140"/>
      <w:bookmarkStart w:id="1726" w:name="_Toc24948"/>
      <w:bookmarkStart w:id="1727" w:name="_Toc27997"/>
      <w:bookmarkStart w:id="1728" w:name="_Toc106719391"/>
      <w:bookmarkStart w:id="1729" w:name="_Toc24885"/>
      <w:bookmarkStart w:id="1730" w:name="_Toc6336"/>
      <w:bookmarkStart w:id="1731" w:name="_Toc8304"/>
      <w:bookmarkStart w:id="1732" w:name="_Toc29526"/>
      <w:bookmarkStart w:id="1733" w:name="_Toc13308"/>
      <w:bookmarkStart w:id="1734" w:name="_Toc30293"/>
      <w:bookmarkStart w:id="1735" w:name="_Toc3757"/>
      <w:r>
        <w:rPr>
          <w:rFonts w:hint="eastAsia" w:ascii="黑体" w:hAnsi="黑体" w:eastAsia="黑体"/>
          <w:b w:val="0"/>
          <w:color w:val="000000" w:themeColor="text1"/>
          <w:sz w:val="28"/>
          <w:szCs w:val="28"/>
          <w:highlight w:val="none"/>
          <w14:textFill>
            <w14:solidFill>
              <w14:schemeClr w14:val="tx1"/>
            </w14:solidFill>
          </w14:textFill>
        </w:rPr>
        <w:t>二、勘察范围和阶段、技术要求及工作量</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勘察范围和阶段：</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技术要求：</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工作量：</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36" w:name="_Toc870"/>
      <w:bookmarkStart w:id="1737" w:name="_Toc406150412"/>
      <w:bookmarkStart w:id="1738" w:name="_Toc106719392"/>
      <w:bookmarkStart w:id="1739" w:name="_Toc13971"/>
      <w:bookmarkStart w:id="1740" w:name="_Toc5095"/>
      <w:bookmarkStart w:id="1741" w:name="_Toc18246"/>
      <w:bookmarkStart w:id="1742" w:name="_Toc457826141"/>
      <w:bookmarkStart w:id="1743" w:name="_Toc6422"/>
      <w:bookmarkStart w:id="1744" w:name="_Toc3645"/>
      <w:bookmarkStart w:id="1745" w:name="_Toc15445"/>
      <w:bookmarkStart w:id="1746" w:name="_Toc12166"/>
      <w:bookmarkStart w:id="1747" w:name="_Toc16219"/>
      <w:bookmarkStart w:id="1748" w:name="_Toc4728"/>
      <w:bookmarkStart w:id="1749" w:name="_Toc28520"/>
      <w:bookmarkStart w:id="1750" w:name="_Toc18520"/>
      <w:r>
        <w:rPr>
          <w:rFonts w:hint="eastAsia" w:ascii="黑体" w:hAnsi="黑体" w:eastAsia="黑体"/>
          <w:b w:val="0"/>
          <w:color w:val="000000" w:themeColor="text1"/>
          <w:sz w:val="28"/>
          <w:szCs w:val="28"/>
          <w:highlight w:val="none"/>
          <w14:textFill>
            <w14:solidFill>
              <w14:schemeClr w14:val="tx1"/>
            </w14:solidFill>
          </w14:textFill>
        </w:rPr>
        <w:t>三、合同工期</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开工日期：</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成果提交日期：</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合同工期（勘察服务期限，总日历天数）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天</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51" w:name="_Toc31944"/>
      <w:bookmarkStart w:id="1752" w:name="_Toc20861"/>
      <w:bookmarkStart w:id="1753" w:name="_Toc10336"/>
      <w:bookmarkStart w:id="1754" w:name="_Toc25865"/>
      <w:bookmarkStart w:id="1755" w:name="_Toc106719393"/>
      <w:bookmarkStart w:id="1756" w:name="_Toc29376"/>
      <w:bookmarkStart w:id="1757" w:name="_Toc30622"/>
      <w:bookmarkStart w:id="1758" w:name="_Toc13781"/>
      <w:bookmarkStart w:id="1759" w:name="_Toc16453"/>
      <w:bookmarkStart w:id="1760" w:name="_Toc24642"/>
      <w:bookmarkStart w:id="1761" w:name="_Toc17956"/>
      <w:bookmarkStart w:id="1762" w:name="_Toc457826142"/>
      <w:bookmarkStart w:id="1763" w:name="_Toc406150413"/>
      <w:bookmarkStart w:id="1764" w:name="_Toc4648"/>
      <w:bookmarkStart w:id="1765" w:name="_Toc13005"/>
      <w:r>
        <w:rPr>
          <w:rFonts w:hint="eastAsia" w:ascii="黑体" w:hAnsi="黑体" w:eastAsia="黑体"/>
          <w:b w:val="0"/>
          <w:color w:val="000000" w:themeColor="text1"/>
          <w:sz w:val="28"/>
          <w:szCs w:val="28"/>
          <w:highlight w:val="none"/>
          <w14:textFill>
            <w14:solidFill>
              <w14:schemeClr w14:val="tx1"/>
            </w14:solidFill>
          </w14:textFill>
        </w:rPr>
        <w:t>四、质量标准</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质量标准：</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66" w:name="_Toc1923"/>
      <w:bookmarkStart w:id="1767" w:name="_Toc457826143"/>
      <w:bookmarkStart w:id="1768" w:name="_Toc406150414"/>
      <w:bookmarkStart w:id="1769" w:name="_Toc14454"/>
      <w:bookmarkStart w:id="1770" w:name="_Toc21646"/>
      <w:bookmarkStart w:id="1771" w:name="_Toc16432"/>
      <w:bookmarkStart w:id="1772" w:name="_Toc4974"/>
      <w:bookmarkStart w:id="1773" w:name="_Toc7365"/>
      <w:bookmarkStart w:id="1774" w:name="_Toc4700"/>
      <w:bookmarkStart w:id="1775" w:name="_Toc7640"/>
      <w:bookmarkStart w:id="1776" w:name="_Toc860"/>
      <w:bookmarkStart w:id="1777" w:name="_Toc29732"/>
      <w:bookmarkStart w:id="1778" w:name="_Toc106719394"/>
      <w:bookmarkStart w:id="1779" w:name="_Toc26490"/>
      <w:bookmarkStart w:id="1780" w:name="_Toc8587"/>
      <w:r>
        <w:rPr>
          <w:rFonts w:hint="eastAsia" w:ascii="黑体" w:hAnsi="黑体" w:eastAsia="黑体"/>
          <w:b w:val="0"/>
          <w:color w:val="000000" w:themeColor="text1"/>
          <w:sz w:val="28"/>
          <w:szCs w:val="28"/>
          <w:highlight w:val="none"/>
          <w14:textFill>
            <w14:solidFill>
              <w14:schemeClr w14:val="tx1"/>
            </w14:solidFill>
          </w14:textFill>
        </w:rPr>
        <w:t>五、合同价款</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合同价款金额：人民币（大写）</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w:t>
      </w:r>
      <w:r>
        <w:rPr>
          <w:rFonts w:ascii="宋体" w:hAnsi="宋体" w:cs="宋体"/>
          <w:color w:val="000000" w:themeColor="text1"/>
          <w:sz w:val="21"/>
          <w:szCs w:val="21"/>
          <w:highlight w:val="none"/>
          <w14:textFill>
            <w14:solidFill>
              <w14:schemeClr w14:val="tx1"/>
            </w14:solidFill>
          </w14:textFill>
        </w:rPr>
        <w:t>)</w:t>
      </w:r>
    </w:p>
    <w:p>
      <w:pPr>
        <w:snapToGrid w:val="0"/>
        <w:spacing w:line="360" w:lineRule="auto"/>
        <w:ind w:firstLine="420" w:firstLineChars="200"/>
        <w:jc w:val="left"/>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合同价款形式：</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81" w:name="_Toc14964"/>
      <w:bookmarkStart w:id="1782" w:name="_Toc457826144"/>
      <w:bookmarkStart w:id="1783" w:name="_Toc106719395"/>
      <w:bookmarkStart w:id="1784" w:name="_Toc27337"/>
      <w:bookmarkStart w:id="1785" w:name="_Toc14528"/>
      <w:bookmarkStart w:id="1786" w:name="_Toc18915"/>
      <w:bookmarkStart w:id="1787" w:name="_Toc25125"/>
      <w:bookmarkStart w:id="1788" w:name="_Toc17887"/>
      <w:bookmarkStart w:id="1789" w:name="_Toc18713"/>
      <w:bookmarkStart w:id="1790" w:name="_Toc406150415"/>
      <w:bookmarkStart w:id="1791" w:name="_Toc14788"/>
      <w:bookmarkStart w:id="1792" w:name="_Toc21115"/>
      <w:bookmarkStart w:id="1793" w:name="_Toc27742"/>
      <w:bookmarkStart w:id="1794" w:name="_Toc377"/>
      <w:bookmarkStart w:id="1795" w:name="_Toc7584"/>
      <w:r>
        <w:rPr>
          <w:rFonts w:hint="eastAsia" w:ascii="黑体" w:hAnsi="黑体" w:eastAsia="黑体"/>
          <w:b w:val="0"/>
          <w:color w:val="000000" w:themeColor="text1"/>
          <w:sz w:val="28"/>
          <w:szCs w:val="28"/>
          <w:highlight w:val="none"/>
          <w14:textFill>
            <w14:solidFill>
              <w14:schemeClr w14:val="tx1"/>
            </w14:solidFill>
          </w14:textFill>
        </w:rPr>
        <w:t>六、合同文件构成</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组成本合同的文件包括：</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）合同协议书；</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）专用合同条款及其附件；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）通用合同条款；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）中标通知书；</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）投标文件及其附件；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）技术标准和要求；</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）图纸；</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8</w:t>
      </w:r>
      <w:r>
        <w:rPr>
          <w:rFonts w:hint="eastAsia" w:ascii="宋体" w:hAnsi="宋体" w:cs="宋体"/>
          <w:color w:val="000000" w:themeColor="text1"/>
          <w:sz w:val="21"/>
          <w:szCs w:val="21"/>
          <w:highlight w:val="none"/>
          <w14:textFill>
            <w14:solidFill>
              <w14:schemeClr w14:val="tx1"/>
            </w14:solidFill>
          </w14:textFill>
        </w:rPr>
        <w:t>）其他合同文件。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在合同履行过程中形成的与合同有关的文件构成合同文件组成部分。</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796" w:name="_Toc25196"/>
      <w:bookmarkStart w:id="1797" w:name="_Toc31855"/>
      <w:bookmarkStart w:id="1798" w:name="_Toc10720"/>
      <w:bookmarkStart w:id="1799" w:name="_Toc29271"/>
      <w:bookmarkStart w:id="1800" w:name="_Toc6345"/>
      <w:bookmarkStart w:id="1801" w:name="_Toc18787"/>
      <w:bookmarkStart w:id="1802" w:name="_Toc28823"/>
      <w:bookmarkStart w:id="1803" w:name="_Toc23816"/>
      <w:bookmarkStart w:id="1804" w:name="_Toc17300"/>
      <w:bookmarkStart w:id="1805" w:name="_Toc25140"/>
      <w:bookmarkStart w:id="1806" w:name="_Toc457826145"/>
      <w:bookmarkStart w:id="1807" w:name="_Toc17859"/>
      <w:bookmarkStart w:id="1808" w:name="_Toc27700"/>
      <w:bookmarkStart w:id="1809" w:name="_Toc106719396"/>
      <w:r>
        <w:rPr>
          <w:rFonts w:hint="eastAsia" w:ascii="黑体" w:hAnsi="黑体" w:eastAsia="黑体"/>
          <w:b w:val="0"/>
          <w:color w:val="000000" w:themeColor="text1"/>
          <w:sz w:val="28"/>
          <w:szCs w:val="28"/>
          <w:highlight w:val="none"/>
          <w14:textFill>
            <w14:solidFill>
              <w14:schemeClr w14:val="tx1"/>
            </w14:solidFill>
          </w14:textFill>
        </w:rPr>
        <w:t>七、承诺</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pPr>
        <w:tabs>
          <w:tab w:val="left" w:pos="72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 1.</w:t>
      </w:r>
      <w:r>
        <w:rPr>
          <w:rFonts w:hint="eastAsia" w:ascii="宋体" w:hAnsi="宋体" w:cs="宋体"/>
          <w:color w:val="000000" w:themeColor="text1"/>
          <w:sz w:val="21"/>
          <w:szCs w:val="21"/>
          <w:highlight w:val="none"/>
          <w14:textFill>
            <w14:solidFill>
              <w14:schemeClr w14:val="tx1"/>
            </w14:solidFill>
          </w14:textFill>
        </w:rPr>
        <w:t>发包人承诺按照法律规定履行项目审批手续，按照合同约定提供工程勘察条件和相关资料，并按照合同约定的期限和方式支付合同价款。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 2.</w:t>
      </w:r>
      <w:r>
        <w:rPr>
          <w:rFonts w:hint="eastAsia" w:ascii="宋体" w:hAnsi="宋体" w:cs="宋体"/>
          <w:color w:val="000000" w:themeColor="text1"/>
          <w:sz w:val="21"/>
          <w:szCs w:val="21"/>
          <w:highlight w:val="none"/>
          <w14:textFill>
            <w14:solidFill>
              <w14:schemeClr w14:val="tx1"/>
            </w14:solidFill>
          </w14:textFill>
        </w:rPr>
        <w:t>勘察人承诺按照法律法规和技术标准规定及合同约定提供勘察技术服务。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810" w:name="_Toc17242"/>
      <w:bookmarkStart w:id="1811" w:name="_Toc14925"/>
      <w:bookmarkStart w:id="1812" w:name="_Toc9111"/>
      <w:bookmarkStart w:id="1813" w:name="_Toc7658"/>
      <w:bookmarkStart w:id="1814" w:name="_Toc22707"/>
      <w:bookmarkStart w:id="1815" w:name="_Toc2310"/>
      <w:bookmarkStart w:id="1816" w:name="_Toc26942"/>
      <w:bookmarkStart w:id="1817" w:name="_Toc406150417"/>
      <w:bookmarkStart w:id="1818" w:name="_Toc16418"/>
      <w:bookmarkStart w:id="1819" w:name="_Toc23809"/>
      <w:bookmarkStart w:id="1820" w:name="_Toc457826146"/>
      <w:bookmarkStart w:id="1821" w:name="_Toc20953"/>
      <w:bookmarkStart w:id="1822" w:name="_Toc28603"/>
      <w:bookmarkStart w:id="1823" w:name="_Toc106719397"/>
      <w:bookmarkStart w:id="1824" w:name="_Toc16437"/>
      <w:r>
        <w:rPr>
          <w:rFonts w:hint="eastAsia" w:ascii="黑体" w:hAnsi="黑体" w:eastAsia="黑体"/>
          <w:b w:val="0"/>
          <w:color w:val="000000" w:themeColor="text1"/>
          <w:sz w:val="28"/>
          <w:szCs w:val="28"/>
          <w:highlight w:val="none"/>
          <w14:textFill>
            <w14:solidFill>
              <w14:schemeClr w14:val="tx1"/>
            </w14:solidFill>
          </w14:textFill>
        </w:rPr>
        <w:t>八、词语定义</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pPr>
        <w:tabs>
          <w:tab w:val="left" w:pos="540"/>
          <w:tab w:val="left" w:pos="72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本合同协议书中词语含义与合同第二部分《通用合同条款》中的词语含义相同。</w:t>
      </w:r>
      <w:bookmarkStart w:id="1825" w:name="_Toc351203489"/>
      <w:bookmarkStart w:id="1826" w:name="_Toc457826147"/>
      <w:bookmarkStart w:id="1827" w:name="_Toc406150418"/>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828" w:name="_Toc8048"/>
      <w:bookmarkStart w:id="1829" w:name="_Toc20121"/>
      <w:bookmarkStart w:id="1830" w:name="_Toc30141"/>
      <w:bookmarkStart w:id="1831" w:name="_Toc4262"/>
      <w:bookmarkStart w:id="1832" w:name="_Toc106719398"/>
      <w:bookmarkStart w:id="1833" w:name="_Toc166"/>
      <w:bookmarkStart w:id="1834" w:name="_Toc25308"/>
      <w:bookmarkStart w:id="1835" w:name="_Toc13434"/>
      <w:bookmarkStart w:id="1836" w:name="_Toc1960"/>
      <w:bookmarkStart w:id="1837" w:name="_Toc32733"/>
      <w:bookmarkStart w:id="1838" w:name="_Toc3001"/>
      <w:bookmarkStart w:id="1839" w:name="_Toc21109"/>
      <w:bookmarkStart w:id="1840" w:name="_Toc25332"/>
      <w:r>
        <w:rPr>
          <w:rFonts w:hint="eastAsia" w:ascii="黑体" w:hAnsi="黑体" w:eastAsia="黑体"/>
          <w:b w:val="0"/>
          <w:color w:val="000000" w:themeColor="text1"/>
          <w:sz w:val="28"/>
          <w:szCs w:val="28"/>
          <w:highlight w:val="none"/>
          <w14:textFill>
            <w14:solidFill>
              <w14:schemeClr w14:val="tx1"/>
            </w14:solidFill>
          </w14:textFill>
        </w:rPr>
        <w:t>九、签订时间</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pPr>
        <w:snapToGrid w:val="0"/>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本合同于</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年</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月</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日签订。</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841" w:name="_Toc10894"/>
      <w:bookmarkStart w:id="1842" w:name="_Toc19311"/>
      <w:bookmarkStart w:id="1843" w:name="_Toc6403"/>
      <w:bookmarkStart w:id="1844" w:name="_Toc351203490"/>
      <w:bookmarkStart w:id="1845" w:name="_Toc5037"/>
      <w:bookmarkStart w:id="1846" w:name="_Toc5908"/>
      <w:bookmarkStart w:id="1847" w:name="_Toc31954"/>
      <w:bookmarkStart w:id="1848" w:name="_Toc106719399"/>
      <w:bookmarkStart w:id="1849" w:name="_Toc406150419"/>
      <w:bookmarkStart w:id="1850" w:name="_Toc20633"/>
      <w:bookmarkStart w:id="1851" w:name="_Toc26228"/>
      <w:bookmarkStart w:id="1852" w:name="_Toc31544"/>
      <w:bookmarkStart w:id="1853" w:name="_Toc18861"/>
      <w:bookmarkStart w:id="1854" w:name="_Toc4251"/>
      <w:bookmarkStart w:id="1855" w:name="_Toc2143"/>
      <w:bookmarkStart w:id="1856" w:name="_Toc457826148"/>
      <w:r>
        <w:rPr>
          <w:rFonts w:hint="eastAsia" w:ascii="黑体" w:hAnsi="黑体" w:eastAsia="黑体"/>
          <w:b w:val="0"/>
          <w:color w:val="000000" w:themeColor="text1"/>
          <w:sz w:val="28"/>
          <w:szCs w:val="28"/>
          <w:highlight w:val="none"/>
          <w14:textFill>
            <w14:solidFill>
              <w14:schemeClr w14:val="tx1"/>
            </w14:solidFill>
          </w14:textFill>
        </w:rPr>
        <w:t>十、签订地点</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pPr>
        <w:snapToGrid w:val="0"/>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本合同在</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签订。</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857" w:name="_Toc457826149"/>
      <w:bookmarkStart w:id="1858" w:name="_Toc7972"/>
      <w:bookmarkStart w:id="1859" w:name="_Toc1033"/>
      <w:bookmarkStart w:id="1860" w:name="_Toc14916"/>
      <w:bookmarkStart w:id="1861" w:name="_Toc1573"/>
      <w:bookmarkStart w:id="1862" w:name="_Toc21599"/>
      <w:bookmarkStart w:id="1863" w:name="_Toc351203492"/>
      <w:bookmarkStart w:id="1864" w:name="_Toc512"/>
      <w:bookmarkStart w:id="1865" w:name="_Toc19533"/>
      <w:bookmarkStart w:id="1866" w:name="_Toc12463"/>
      <w:bookmarkStart w:id="1867" w:name="_Toc31998"/>
      <w:bookmarkStart w:id="1868" w:name="_Toc28708"/>
      <w:bookmarkStart w:id="1869" w:name="_Toc106719400"/>
      <w:bookmarkStart w:id="1870" w:name="_Toc16338"/>
      <w:bookmarkStart w:id="1871" w:name="_Toc23822"/>
      <w:bookmarkStart w:id="1872" w:name="_Toc406150420"/>
      <w:r>
        <w:rPr>
          <w:rFonts w:hint="eastAsia" w:ascii="黑体" w:hAnsi="黑体" w:eastAsia="黑体"/>
          <w:b w:val="0"/>
          <w:color w:val="000000" w:themeColor="text1"/>
          <w:sz w:val="28"/>
          <w:szCs w:val="28"/>
          <w:highlight w:val="none"/>
          <w14:textFill>
            <w14:solidFill>
              <w14:schemeClr w14:val="tx1"/>
            </w14:solidFill>
          </w14:textFill>
        </w:rPr>
        <w:t>十一、合同生效</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pPr>
        <w:snapToGrid w:val="0"/>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本合同自</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生效。</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1873" w:name="_Toc14889"/>
      <w:bookmarkStart w:id="1874" w:name="_Toc25569"/>
      <w:bookmarkStart w:id="1875" w:name="_Toc457826150"/>
      <w:bookmarkStart w:id="1876" w:name="_Toc29628"/>
      <w:bookmarkStart w:id="1877" w:name="_Toc23747"/>
      <w:bookmarkStart w:id="1878" w:name="_Toc27927"/>
      <w:bookmarkStart w:id="1879" w:name="_Toc15700"/>
      <w:bookmarkStart w:id="1880" w:name="_Toc10273"/>
      <w:bookmarkStart w:id="1881" w:name="_Toc27094"/>
      <w:bookmarkStart w:id="1882" w:name="_Toc17362"/>
      <w:bookmarkStart w:id="1883" w:name="_Toc29873"/>
      <w:bookmarkStart w:id="1884" w:name="_Toc6573"/>
      <w:bookmarkStart w:id="1885" w:name="_Toc5034"/>
      <w:bookmarkStart w:id="1886" w:name="_Toc106719401"/>
      <w:r>
        <w:rPr>
          <w:rFonts w:hint="eastAsia" w:ascii="黑体" w:hAnsi="黑体" w:eastAsia="黑体"/>
          <w:b w:val="0"/>
          <w:color w:val="000000" w:themeColor="text1"/>
          <w:sz w:val="28"/>
          <w:szCs w:val="28"/>
          <w:highlight w:val="none"/>
          <w14:textFill>
            <w14:solidFill>
              <w14:schemeClr w14:val="tx1"/>
            </w14:solidFill>
          </w14:textFill>
        </w:rPr>
        <w:t>十二、合同份数</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p>
    <w:p>
      <w:pPr>
        <w:snapToGrid w:val="0"/>
        <w:spacing w:line="360" w:lineRule="auto"/>
        <w:ind w:firstLine="420" w:firstLineChars="200"/>
        <w:jc w:val="left"/>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本合同一式</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份，具有同等法律效力，发包人执</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份，勘察人执</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份。</w:t>
      </w:r>
    </w:p>
    <w:p>
      <w:pPr>
        <w:snapToGrid w:val="0"/>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p>
    <w:p>
      <w:pPr>
        <w:snapToGrid w:val="0"/>
        <w:spacing w:line="360" w:lineRule="auto"/>
        <w:ind w:firstLine="420" w:firstLineChars="200"/>
        <w:jc w:val="left"/>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发包人：（印章）</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勘察人：（印章）</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法定代表人或其委托代理人：      法定代表人或其委托代理人：</w:t>
      </w:r>
    </w:p>
    <w:p>
      <w:pPr>
        <w:snapToGrid w:val="0"/>
        <w:spacing w:line="360" w:lineRule="auto"/>
        <w:ind w:firstLine="420" w:firstLineChars="200"/>
        <w:jc w:val="left"/>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（签字）</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（签字）</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统一社会信用代码：</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统一社会信用代码：</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地址：</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地址：</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邮政编码：</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邮政编码：</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电话：</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电话：</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传真：</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传真：</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电子邮箱：</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电子邮箱：</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开户银行：</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开户银行：</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账号：</w:t>
      </w:r>
      <w:r>
        <w:rPr>
          <w:rFonts w:hint="eastAsia" w:ascii="宋体" w:hAnsi="宋体"/>
          <w:bCs/>
          <w:color w:val="000000" w:themeColor="text1"/>
          <w:sz w:val="21"/>
          <w:szCs w:val="21"/>
          <w:highlight w:val="none"/>
          <w:u w:val="singl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 xml:space="preserve">    账号：</w:t>
      </w:r>
      <w:r>
        <w:rPr>
          <w:rFonts w:hint="eastAsia" w:ascii="宋体" w:hAnsi="宋体"/>
          <w:bCs/>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u w:val="single"/>
          <w14:textFill>
            <w14:solidFill>
              <w14:schemeClr w14:val="tx1"/>
            </w14:solidFill>
          </w14:textFill>
        </w:rPr>
      </w:pPr>
    </w:p>
    <w:p>
      <w:pPr>
        <w:snapToGrid w:val="0"/>
        <w:spacing w:line="360" w:lineRule="auto"/>
        <w:ind w:firstLine="420" w:firstLineChars="200"/>
        <w:jc w:val="left"/>
        <w:textAlignment w:val="auto"/>
        <w:rPr>
          <w:rFonts w:ascii="宋体" w:hAnsi="宋体"/>
          <w:bCs/>
          <w:color w:val="000000" w:themeColor="text1"/>
          <w:sz w:val="21"/>
          <w:szCs w:val="21"/>
          <w:highlight w:val="none"/>
          <w14:textFill>
            <w14:solidFill>
              <w14:schemeClr w14:val="tx1"/>
            </w14:solidFill>
          </w14:textFill>
        </w:rPr>
      </w:pPr>
    </w:p>
    <w:p>
      <w:pPr>
        <w:pStyle w:val="6"/>
        <w:jc w:val="center"/>
        <w:rPr>
          <w:rFonts w:ascii="黑体" w:hAnsi="黑体" w:eastAsia="黑体"/>
          <w:b w:val="0"/>
          <w:color w:val="000000" w:themeColor="text1"/>
          <w:sz w:val="28"/>
          <w:szCs w:val="28"/>
          <w:highlight w:val="none"/>
          <w14:textFill>
            <w14:solidFill>
              <w14:schemeClr w14:val="tx1"/>
            </w14:solidFill>
          </w14:textFill>
        </w:rPr>
      </w:pPr>
      <w:bookmarkStart w:id="1887" w:name="_Toc9987"/>
      <w:bookmarkStart w:id="1888" w:name="_Toc7030"/>
      <w:bookmarkStart w:id="1889" w:name="_Toc30249"/>
      <w:bookmarkStart w:id="1890" w:name="_Toc26676"/>
      <w:bookmarkStart w:id="1891" w:name="_Toc106719402"/>
      <w:bookmarkStart w:id="1892" w:name="_Toc9741"/>
      <w:bookmarkStart w:id="1893" w:name="_Toc13329"/>
      <w:bookmarkStart w:id="1894" w:name="_Toc27266"/>
      <w:bookmarkStart w:id="1895" w:name="_Toc351203494"/>
      <w:bookmarkStart w:id="1896" w:name="_Toc15113"/>
      <w:bookmarkStart w:id="1897" w:name="_Toc17155"/>
      <w:bookmarkStart w:id="1898" w:name="_Toc24753"/>
      <w:bookmarkStart w:id="1899" w:name="_Toc52137848"/>
      <w:bookmarkStart w:id="1900" w:name="_Toc14811"/>
      <w:bookmarkStart w:id="1901" w:name="_Toc9506"/>
      <w:r>
        <w:rPr>
          <w:rFonts w:ascii="黑体" w:hAnsi="黑体" w:eastAsia="黑体"/>
          <w:b w:val="0"/>
          <w:color w:val="000000" w:themeColor="text1"/>
          <w:sz w:val="28"/>
          <w:szCs w:val="28"/>
          <w:highlight w:val="none"/>
          <w14:textFill>
            <w14:solidFill>
              <w14:schemeClr w14:val="tx1"/>
            </w14:solidFill>
          </w14:textFill>
        </w:rPr>
        <w:t>第</w:t>
      </w:r>
      <w:r>
        <w:rPr>
          <w:rFonts w:hint="eastAsia" w:ascii="黑体" w:hAnsi="黑体" w:eastAsia="黑体"/>
          <w:b w:val="0"/>
          <w:color w:val="000000" w:themeColor="text1"/>
          <w:sz w:val="28"/>
          <w:szCs w:val="28"/>
          <w:highlight w:val="none"/>
          <w14:textFill>
            <w14:solidFill>
              <w14:schemeClr w14:val="tx1"/>
            </w14:solidFill>
          </w14:textFill>
        </w:rPr>
        <w:t>二节</w:t>
      </w:r>
      <w:r>
        <w:rPr>
          <w:rFonts w:ascii="黑体" w:hAnsi="黑体" w:eastAsia="黑体"/>
          <w:b w:val="0"/>
          <w:color w:val="000000" w:themeColor="text1"/>
          <w:sz w:val="28"/>
          <w:szCs w:val="28"/>
          <w:highlight w:val="none"/>
          <w14:textFill>
            <w14:solidFill>
              <w14:schemeClr w14:val="tx1"/>
            </w14:solidFill>
          </w14:textFill>
        </w:rPr>
        <w:t xml:space="preserve"> 通用合同条款</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Start w:id="1902" w:name="_Toc337558727"/>
    </w:p>
    <w:bookmarkEnd w:id="1902"/>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1903" w:name="_Toc457826152"/>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w:t>
      </w:r>
      <w:r>
        <w:rPr>
          <w:rFonts w:hint="eastAsia" w:ascii="黑体" w:hAnsi="黑体" w:eastAsia="黑体" w:cs="Times New Roman"/>
          <w:b w:val="0"/>
          <w:color w:val="000000" w:themeColor="text1"/>
          <w:highlight w:val="none"/>
          <w14:textFill>
            <w14:solidFill>
              <w14:schemeClr w14:val="tx1"/>
            </w14:solidFill>
          </w14:textFill>
        </w:rPr>
        <w:t>条 一般约定</w:t>
      </w:r>
      <w:bookmarkEnd w:id="1903"/>
    </w:p>
    <w:p>
      <w:pPr>
        <w:pStyle w:val="6"/>
        <w:keepNext w:val="0"/>
        <w:keepLines w:val="0"/>
        <w:tabs>
          <w:tab w:val="left" w:pos="180"/>
          <w:tab w:val="left" w:pos="36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1904" w:name="_Toc30471"/>
      <w:bookmarkStart w:id="1905" w:name="_Toc26466"/>
      <w:bookmarkStart w:id="1906" w:name="_Toc457826153"/>
      <w:bookmarkStart w:id="1907" w:name="_Toc25496"/>
      <w:bookmarkStart w:id="1908" w:name="_Toc3991"/>
      <w:bookmarkStart w:id="1909" w:name="_Toc30130"/>
      <w:bookmarkStart w:id="1910" w:name="_Toc31661"/>
      <w:bookmarkStart w:id="1911" w:name="_Toc15845"/>
      <w:bookmarkStart w:id="1912" w:name="_Toc106719403"/>
      <w:bookmarkStart w:id="1913" w:name="_Toc8977"/>
      <w:bookmarkStart w:id="1914" w:name="_Toc406150424"/>
      <w:bookmarkStart w:id="1915" w:name="_Toc12630"/>
      <w:bookmarkStart w:id="1916" w:name="_Toc27179"/>
      <w:bookmarkStart w:id="1917" w:name="_Toc848"/>
      <w:bookmarkStart w:id="1918" w:name="_Toc27445"/>
      <w:r>
        <w:rPr>
          <w:rFonts w:ascii="宋体" w:hAnsi="宋体"/>
          <w:color w:val="000000" w:themeColor="text1"/>
          <w:sz w:val="21"/>
          <w:szCs w:val="21"/>
          <w:highlight w:val="none"/>
          <w14:textFill>
            <w14:solidFill>
              <w14:schemeClr w14:val="tx1"/>
            </w14:solidFill>
          </w14:textFill>
        </w:rPr>
        <w:t xml:space="preserve">1.1 </w:t>
      </w:r>
      <w:r>
        <w:rPr>
          <w:rFonts w:hint="eastAsia" w:ascii="宋体" w:hAnsi="宋体" w:cs="宋体"/>
          <w:color w:val="000000" w:themeColor="text1"/>
          <w:sz w:val="21"/>
          <w:szCs w:val="21"/>
          <w:highlight w:val="none"/>
          <w14:textFill>
            <w14:solidFill>
              <w14:schemeClr w14:val="tx1"/>
            </w14:solidFill>
          </w14:textFill>
        </w:rPr>
        <w:t>词语定义</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下列词语除专用合同条款另有约定外，应具有本条所赋予的含义。</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1.1.1 </w:t>
      </w:r>
      <w:r>
        <w:rPr>
          <w:rFonts w:hint="eastAsia" w:ascii="宋体" w:hAnsi="宋体" w:cs="宋体"/>
          <w:color w:val="000000" w:themeColor="text1"/>
          <w:sz w:val="21"/>
          <w:szCs w:val="21"/>
          <w:highlight w:val="none"/>
          <w14:textFill>
            <w14:solidFill>
              <w14:schemeClr w14:val="tx1"/>
            </w14:solidFill>
          </w14:textFill>
        </w:rPr>
        <w:t>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1.1.2 </w:t>
      </w:r>
      <w:r>
        <w:rPr>
          <w:rFonts w:hint="eastAsia" w:ascii="宋体" w:hAnsi="宋体" w:cs="宋体"/>
          <w:color w:val="000000" w:themeColor="text1"/>
          <w:sz w:val="21"/>
          <w:szCs w:val="21"/>
          <w:highlight w:val="none"/>
          <w14:textFill>
            <w14:solidFill>
              <w14:schemeClr w14:val="tx1"/>
            </w14:solidFill>
          </w14:textFill>
        </w:rPr>
        <w:t>合同协议书：指构成合同的由发包人和勘察人共同签署的称为“合同协议书”的书面文件。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1.1.3 </w:t>
      </w:r>
      <w:r>
        <w:rPr>
          <w:rFonts w:hint="eastAsia" w:ascii="宋体" w:hAnsi="宋体" w:cs="宋体"/>
          <w:color w:val="000000" w:themeColor="text1"/>
          <w:sz w:val="21"/>
          <w:szCs w:val="21"/>
          <w:highlight w:val="none"/>
          <w14:textFill>
            <w14:solidFill>
              <w14:schemeClr w14:val="tx1"/>
            </w14:solidFill>
          </w14:textFill>
        </w:rPr>
        <w:t>通用合同条款：是根据法律、行政法规规定及建设工程勘察的需要订立，通用于建设工程勘察的合同条款。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1.1.4 </w:t>
      </w:r>
      <w:r>
        <w:rPr>
          <w:rFonts w:hint="eastAsia" w:ascii="宋体" w:hAnsi="宋体" w:cs="宋体"/>
          <w:color w:val="000000" w:themeColor="text1"/>
          <w:sz w:val="21"/>
          <w:szCs w:val="21"/>
          <w:highlight w:val="none"/>
          <w14:textFill>
            <w14:solidFill>
              <w14:schemeClr w14:val="tx1"/>
            </w14:solidFill>
          </w14:textFill>
        </w:rPr>
        <w:t>专用合同条款：是发包人与勘察人根据法律、行政法规规定，结合具体工程实际，经协商达成一致意见的合同条款，是对通用合同条款的细化、完善、补充、修改或另行约定。</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1.1.5</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发包人：指与勘察人签定合同协议书的当事人以及取得该当事人资格的合法继承人。</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1.1.6 </w:t>
      </w:r>
      <w:r>
        <w:rPr>
          <w:rFonts w:hint="eastAsia" w:ascii="宋体" w:hAnsi="宋体" w:cs="宋体"/>
          <w:color w:val="000000" w:themeColor="text1"/>
          <w:sz w:val="21"/>
          <w:szCs w:val="21"/>
          <w:highlight w:val="none"/>
          <w14:textFill>
            <w14:solidFill>
              <w14:schemeClr w14:val="tx1"/>
            </w14:solidFill>
          </w14:textFill>
        </w:rPr>
        <w:t>勘察人：指在合同协议书中约定，被发包人接受的具有工程勘察资质的当事人以及取得该当事人资格的合法继承人。</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1.1.7 </w:t>
      </w:r>
      <w:r>
        <w:rPr>
          <w:rFonts w:hint="eastAsia" w:ascii="宋体" w:hAnsi="宋体" w:cs="宋体"/>
          <w:color w:val="000000" w:themeColor="text1"/>
          <w:sz w:val="21"/>
          <w:szCs w:val="21"/>
          <w:highlight w:val="none"/>
          <w14:textFill>
            <w14:solidFill>
              <w14:schemeClr w14:val="tx1"/>
            </w14:solidFill>
          </w14:textFill>
        </w:rPr>
        <w:t>工程：指发包人与勘察人在合同协议书中约定的勘察范围内的项目。</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1.1.8 </w:t>
      </w:r>
      <w:r>
        <w:rPr>
          <w:rFonts w:hint="eastAsia" w:ascii="宋体" w:hAnsi="宋体" w:cs="宋体"/>
          <w:color w:val="000000" w:themeColor="text1"/>
          <w:sz w:val="21"/>
          <w:szCs w:val="21"/>
          <w:highlight w:val="none"/>
          <w14:textFill>
            <w14:solidFill>
              <w14:schemeClr w14:val="tx1"/>
            </w14:solidFill>
          </w14:textFill>
        </w:rPr>
        <w:t>勘察任务书：指由发包人就工程勘察范围、内容和技术标准等提出要求的书面文件。勘察任务书构成合同文件组成部分。</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1.1.9 </w:t>
      </w:r>
      <w:r>
        <w:rPr>
          <w:rFonts w:hint="eastAsia" w:ascii="宋体" w:hAnsi="宋体" w:cs="宋体"/>
          <w:color w:val="000000" w:themeColor="text1"/>
          <w:sz w:val="21"/>
          <w:szCs w:val="21"/>
          <w:highlight w:val="none"/>
          <w14:textFill>
            <w14:solidFill>
              <w14:schemeClr w14:val="tx1"/>
            </w14:solidFill>
          </w14:textFill>
        </w:rPr>
        <w:t>合同价款：指合同当事人在合同协议书中约定，发包人用以支付勘察人完成合同约定范围内工程勘察工作的款项。</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1.1.10 </w:t>
      </w:r>
      <w:r>
        <w:rPr>
          <w:rFonts w:ascii="宋体" w:hAnsi="宋体" w:cs="宋体"/>
          <w:color w:val="000000" w:themeColor="text1"/>
          <w:sz w:val="21"/>
          <w:szCs w:val="21"/>
          <w:highlight w:val="none"/>
          <w14:textFill>
            <w14:solidFill>
              <w14:schemeClr w14:val="tx1"/>
            </w14:solidFill>
          </w14:textFill>
        </w:rPr>
        <w:t>费用：指为履行合同所发生的或将要发生的</w:t>
      </w:r>
      <w:r>
        <w:rPr>
          <w:rFonts w:hint="eastAsia" w:ascii="宋体" w:hAnsi="宋体" w:cs="宋体"/>
          <w:color w:val="000000" w:themeColor="text1"/>
          <w:sz w:val="21"/>
          <w:szCs w:val="21"/>
          <w:highlight w:val="none"/>
          <w14:textFill>
            <w14:solidFill>
              <w14:schemeClr w14:val="tx1"/>
            </w14:solidFill>
          </w14:textFill>
        </w:rPr>
        <w:t>必需的支出。</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1.1.1</w:t>
      </w:r>
      <w:r>
        <w:rPr>
          <w:rFonts w:hint="eastAsia" w:ascii="宋体" w:hAnsi="宋体" w:cs="宋体"/>
          <w:color w:val="000000" w:themeColor="text1"/>
          <w:sz w:val="21"/>
          <w:szCs w:val="21"/>
          <w:highlight w:val="none"/>
          <w14:textFill>
            <w14:solidFill>
              <w14:schemeClr w14:val="tx1"/>
            </w14:solidFill>
          </w14:textFill>
        </w:rPr>
        <w:t>1 工期：指合同当事人在合同协议书中约定，按总日历天数（包括法定节假日）计算的工作天数。</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2 </w:t>
      </w:r>
      <w:r>
        <w:rPr>
          <w:rFonts w:hint="eastAsia" w:ascii="宋体" w:hAnsi="宋体" w:cs="宋体"/>
          <w:color w:val="000000" w:themeColor="text1"/>
          <w:sz w:val="21"/>
          <w:szCs w:val="21"/>
          <w:highlight w:val="none"/>
          <w14:textFill>
            <w14:solidFill>
              <w14:schemeClr w14:val="tx1"/>
            </w14:solidFill>
          </w14:textFill>
        </w:rPr>
        <w:t>天：除特别指明外，均指日历天。约定按天计算时间的，开始当天不计入，从次日开始计算。时限的最后一天是休息日或者其他法定节假日的，以节假日次日为时限的最后一天，时限的最后一天的截止时间为当日</w:t>
      </w:r>
      <w:r>
        <w:rPr>
          <w:rFonts w:ascii="宋体" w:hAnsi="宋体" w:cs="宋体"/>
          <w:color w:val="000000" w:themeColor="text1"/>
          <w:sz w:val="21"/>
          <w:szCs w:val="21"/>
          <w:highlight w:val="none"/>
          <w14:textFill>
            <w14:solidFill>
              <w14:schemeClr w14:val="tx1"/>
            </w14:solidFill>
          </w14:textFill>
        </w:rPr>
        <w:t>24</w:t>
      </w:r>
      <w:r>
        <w:rPr>
          <w:rFonts w:hint="eastAsia" w:ascii="宋体" w:hAnsi="宋体" w:cs="宋体"/>
          <w:color w:val="000000" w:themeColor="text1"/>
          <w:sz w:val="21"/>
          <w:szCs w:val="21"/>
          <w:highlight w:val="none"/>
          <w14:textFill>
            <w14:solidFill>
              <w14:schemeClr w14:val="tx1"/>
            </w14:solidFill>
          </w14:textFill>
        </w:rPr>
        <w:t>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3 </w:t>
      </w:r>
      <w:r>
        <w:rPr>
          <w:rFonts w:hint="eastAsia" w:ascii="宋体" w:hAnsi="宋体" w:cs="宋体"/>
          <w:color w:val="000000" w:themeColor="text1"/>
          <w:sz w:val="21"/>
          <w:szCs w:val="21"/>
          <w:highlight w:val="none"/>
          <w14:textFill>
            <w14:solidFill>
              <w14:schemeClr w14:val="tx1"/>
            </w14:solidFill>
          </w14:textFill>
        </w:rPr>
        <w:t>开工日期：指合同当事人在合同中约定，勘察人开始工作的绝对或相对日期。</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4 </w:t>
      </w:r>
      <w:r>
        <w:rPr>
          <w:rFonts w:hint="eastAsia" w:ascii="宋体" w:hAnsi="宋体" w:cs="宋体"/>
          <w:color w:val="000000" w:themeColor="text1"/>
          <w:sz w:val="21"/>
          <w:szCs w:val="21"/>
          <w:highlight w:val="none"/>
          <w14:textFill>
            <w14:solidFill>
              <w14:schemeClr w14:val="tx1"/>
            </w14:solidFill>
          </w14:textFill>
        </w:rPr>
        <w:t>成果提交日期：指合同当事人在合同中约定，勘察人完成合同范围内工作并提交成果资料的绝对或相对日期。</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5 </w:t>
      </w:r>
      <w:r>
        <w:rPr>
          <w:rFonts w:hint="eastAsia" w:ascii="宋体" w:hAnsi="宋体" w:cs="宋体"/>
          <w:color w:val="000000" w:themeColor="text1"/>
          <w:sz w:val="21"/>
          <w:szCs w:val="21"/>
          <w:highlight w:val="none"/>
          <w14:textFill>
            <w14:solidFill>
              <w14:schemeClr w14:val="tx1"/>
            </w14:solidFill>
          </w14:textFill>
        </w:rPr>
        <w:t>图纸：指由发包人提供或由勘察人提供并经发包人认可，满足勘察人开展工作需要的所有图件，包括相关说明和资料。</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6 </w:t>
      </w:r>
      <w:r>
        <w:rPr>
          <w:rFonts w:hint="eastAsia" w:ascii="宋体" w:hAnsi="宋体" w:cs="宋体"/>
          <w:color w:val="000000" w:themeColor="text1"/>
          <w:sz w:val="21"/>
          <w:szCs w:val="21"/>
          <w:highlight w:val="none"/>
          <w14:textFill>
            <w14:solidFill>
              <w14:schemeClr w14:val="tx1"/>
            </w14:solidFill>
          </w14:textFill>
        </w:rPr>
        <w:t>作业场地：指工程勘察作业的场所以及发包人具体指定的供工程勘察作业使用的其他场所。</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7 </w:t>
      </w:r>
      <w:r>
        <w:rPr>
          <w:rFonts w:hint="eastAsia" w:ascii="宋体" w:hAnsi="宋体" w:cs="宋体"/>
          <w:color w:val="000000" w:themeColor="text1"/>
          <w:sz w:val="21"/>
          <w:szCs w:val="21"/>
          <w:highlight w:val="none"/>
          <w14:textFill>
            <w14:solidFill>
              <w14:schemeClr w14:val="tx1"/>
            </w14:solidFill>
          </w14:textFill>
        </w:rPr>
        <w:t>书面形式：指合同书、信件和数据电文（包括电报、电传、传真、电子数据交换和电子邮件）等可以有形地表现所载内容的形式。</w:t>
      </w:r>
    </w:p>
    <w:p>
      <w:pPr>
        <w:snapToGrid w:val="0"/>
        <w:spacing w:line="360" w:lineRule="auto"/>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1.1.1</w:t>
      </w:r>
      <w:r>
        <w:rPr>
          <w:rFonts w:hint="eastAsia" w:ascii="宋体" w:hAnsi="宋体"/>
          <w:color w:val="000000" w:themeColor="text1"/>
          <w:sz w:val="21"/>
          <w:szCs w:val="21"/>
          <w:highlight w:val="none"/>
          <w14:textFill>
            <w14:solidFill>
              <w14:schemeClr w14:val="tx1"/>
            </w14:solidFill>
          </w14:textFill>
        </w:rPr>
        <w:t xml:space="preserve">8 </w:t>
      </w:r>
      <w:r>
        <w:rPr>
          <w:rFonts w:hint="eastAsia" w:ascii="宋体" w:hAnsi="宋体" w:cs="宋体"/>
          <w:color w:val="000000" w:themeColor="text1"/>
          <w:sz w:val="21"/>
          <w:szCs w:val="21"/>
          <w:highlight w:val="none"/>
          <w14:textFill>
            <w14:solidFill>
              <w14:schemeClr w14:val="tx1"/>
            </w14:solidFill>
          </w14:textFill>
        </w:rPr>
        <w:t>索赔：指在合同履行过程中，一方违反合同约定，直接或间接地给另一方造成实际损失，受损方向违约方提出经济赔偿和（或）工期顺延的要求。</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 xml:space="preserve">9 </w:t>
      </w:r>
      <w:r>
        <w:rPr>
          <w:rFonts w:hint="eastAsia" w:ascii="宋体" w:hAnsi="宋体" w:cs="宋体"/>
          <w:color w:val="000000" w:themeColor="text1"/>
          <w:sz w:val="21"/>
          <w:szCs w:val="21"/>
          <w:highlight w:val="none"/>
          <w14:textFill>
            <w14:solidFill>
              <w14:schemeClr w14:val="tx1"/>
            </w14:solidFill>
          </w14:textFill>
        </w:rPr>
        <w:t>不利物质条件：指勘察人在作业场地遇到的不可预见的自然物质条件、非自然的物质障碍和污染物。</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 xml:space="preserve">20 </w:t>
      </w:r>
      <w:r>
        <w:rPr>
          <w:rFonts w:hint="eastAsia" w:ascii="宋体" w:hAnsi="宋体" w:cs="宋体"/>
          <w:color w:val="000000" w:themeColor="text1"/>
          <w:sz w:val="21"/>
          <w:szCs w:val="21"/>
          <w:highlight w:val="none"/>
          <w14:textFill>
            <w14:solidFill>
              <w14:schemeClr w14:val="tx1"/>
            </w14:solidFill>
          </w14:textFill>
        </w:rPr>
        <w:t>后期服务：指勘察人提交成果资料后，为发包人提供的后续技术服务工作和程序性工作，如报告成果咨询、基槽检验、现场交桩和竣工验收等。</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1919" w:name="_Toc13952"/>
      <w:bookmarkStart w:id="1920" w:name="_Toc12799"/>
      <w:bookmarkStart w:id="1921" w:name="_Toc29328"/>
      <w:bookmarkStart w:id="1922" w:name="_Toc18887"/>
      <w:bookmarkStart w:id="1923" w:name="_Toc5071"/>
      <w:bookmarkStart w:id="1924" w:name="_Toc21068"/>
      <w:bookmarkStart w:id="1925" w:name="_Toc25679"/>
      <w:bookmarkStart w:id="1926" w:name="_Toc16041"/>
      <w:bookmarkStart w:id="1927" w:name="_Toc5335"/>
      <w:bookmarkStart w:id="1928" w:name="_Toc2950"/>
      <w:bookmarkStart w:id="1929" w:name="_Toc18846"/>
      <w:bookmarkStart w:id="1930" w:name="_Toc457826154"/>
      <w:bookmarkStart w:id="1931" w:name="_Toc106719404"/>
      <w:bookmarkStart w:id="1932" w:name="_Toc17674"/>
      <w:bookmarkStart w:id="1933" w:name="_Toc406150425"/>
      <w:r>
        <w:rPr>
          <w:rFonts w:ascii="宋体" w:hAnsi="宋体"/>
          <w:color w:val="000000" w:themeColor="text1"/>
          <w:sz w:val="21"/>
          <w:szCs w:val="21"/>
          <w:highlight w:val="none"/>
          <w14:textFill>
            <w14:solidFill>
              <w14:schemeClr w14:val="tx1"/>
            </w14:solidFill>
          </w14:textFill>
        </w:rPr>
        <w:t>1.2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合同文件及优先解释顺序</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1.2.1 </w:t>
      </w:r>
      <w:r>
        <w:rPr>
          <w:rFonts w:hint="eastAsia" w:ascii="宋体" w:hAnsi="宋体" w:cs="宋体"/>
          <w:color w:val="000000" w:themeColor="text1"/>
          <w:sz w:val="21"/>
          <w:szCs w:val="21"/>
          <w:highlight w:val="none"/>
          <w14:textFill>
            <w14:solidFill>
              <w14:schemeClr w14:val="tx1"/>
            </w14:solidFill>
          </w14:textFill>
        </w:rPr>
        <w:t>合同文件应能相互解释，互为说明。除专用合同条款另有约定外，组成本合同的文件及优先解释顺序如下：</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）合同协议书；</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）专用合同条款及其附件；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）通用合同条款；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）中标通知书（如果有）；</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）投标文件及其附件（如果有）；</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）技术标准和要求；</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）图纸；</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8</w:t>
      </w:r>
      <w:r>
        <w:rPr>
          <w:rFonts w:hint="eastAsia" w:ascii="宋体" w:hAnsi="宋体" w:cs="宋体"/>
          <w:color w:val="000000" w:themeColor="text1"/>
          <w:sz w:val="21"/>
          <w:szCs w:val="21"/>
          <w:highlight w:val="none"/>
          <w14:textFill>
            <w14:solidFill>
              <w14:schemeClr w14:val="tx1"/>
            </w14:solidFill>
          </w14:textFill>
        </w:rPr>
        <w:t>）其他合同文件。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上述合同文件包括合同当事人就该项合同文件所作出的补充和修改，属于同一类内容的文件，应以最新签署的为准。</w:t>
      </w:r>
    </w:p>
    <w:p>
      <w:pPr>
        <w:tabs>
          <w:tab w:val="left" w:pos="180"/>
        </w:tabs>
        <w:adjustRightInd/>
        <w:snapToGrid w:val="0"/>
        <w:spacing w:line="360"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bookmarkStart w:id="1934" w:name="_Toc457826155"/>
      <w:r>
        <w:rPr>
          <w:rFonts w:ascii="宋体" w:hAnsi="宋体" w:cs="宋体"/>
          <w:color w:val="000000" w:themeColor="text1"/>
          <w:sz w:val="21"/>
          <w:szCs w:val="21"/>
          <w:highlight w:val="none"/>
          <w14:textFill>
            <w14:solidFill>
              <w14:schemeClr w14:val="tx1"/>
            </w14:solidFill>
          </w14:textFill>
        </w:rPr>
        <w:t xml:space="preserve">1.2.2 </w:t>
      </w:r>
      <w:r>
        <w:rPr>
          <w:rFonts w:hint="eastAsia" w:ascii="宋体" w:hAnsi="宋体" w:cs="宋体"/>
          <w:color w:val="000000" w:themeColor="text1"/>
          <w:sz w:val="21"/>
          <w:szCs w:val="21"/>
          <w:highlight w:val="none"/>
          <w14:textFill>
            <w14:solidFill>
              <w14:schemeClr w14:val="tx1"/>
            </w14:solidFill>
          </w14:textFill>
        </w:rPr>
        <w:t>当合同文件内容含糊不清或不相一致时，在不影响工作正常进行的情况下，由发包人和勘察人协商解决。双方协商不成时，按第</w:t>
      </w:r>
      <w:r>
        <w:rPr>
          <w:rFonts w:ascii="宋体" w:hAnsi="宋体" w:cs="宋体"/>
          <w:color w:val="000000" w:themeColor="text1"/>
          <w:sz w:val="21"/>
          <w:szCs w:val="21"/>
          <w:highlight w:val="none"/>
          <w14:textFill>
            <w14:solidFill>
              <w14:schemeClr w14:val="tx1"/>
            </w14:solidFill>
          </w14:textFill>
        </w:rPr>
        <w:t>16</w:t>
      </w:r>
      <w:r>
        <w:rPr>
          <w:rFonts w:hint="eastAsia" w:ascii="宋体" w:hAnsi="宋体" w:cs="宋体"/>
          <w:color w:val="000000" w:themeColor="text1"/>
          <w:sz w:val="21"/>
          <w:szCs w:val="21"/>
          <w:highlight w:val="none"/>
          <w14:textFill>
            <w14:solidFill>
              <w14:schemeClr w14:val="tx1"/>
            </w14:solidFill>
          </w14:textFill>
        </w:rPr>
        <w:t>条〔争议解决〕的约定处理。</w:t>
      </w:r>
      <w:bookmarkEnd w:id="1933"/>
      <w:bookmarkEnd w:id="1934"/>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1935" w:name="_Toc13517"/>
      <w:bookmarkStart w:id="1936" w:name="_Toc9484"/>
      <w:bookmarkStart w:id="1937" w:name="_Toc32054"/>
      <w:bookmarkStart w:id="1938" w:name="_Toc32558"/>
      <w:bookmarkStart w:id="1939" w:name="_Toc406150426"/>
      <w:bookmarkStart w:id="1940" w:name="_Toc457826156"/>
      <w:bookmarkStart w:id="1941" w:name="_Toc106719405"/>
      <w:bookmarkStart w:id="1942" w:name="_Toc21942"/>
      <w:bookmarkStart w:id="1943" w:name="_Toc12089"/>
      <w:bookmarkStart w:id="1944" w:name="_Toc19625"/>
      <w:bookmarkStart w:id="1945" w:name="_Toc18488"/>
      <w:bookmarkStart w:id="1946" w:name="_Toc3658"/>
      <w:bookmarkStart w:id="1947" w:name="_Toc13388"/>
      <w:bookmarkStart w:id="1948" w:name="_Toc8950"/>
      <w:bookmarkStart w:id="1949" w:name="_Toc31212"/>
      <w:r>
        <w:rPr>
          <w:rFonts w:ascii="宋体" w:hAnsi="宋体"/>
          <w:color w:val="000000" w:themeColor="text1"/>
          <w:sz w:val="21"/>
          <w:szCs w:val="21"/>
          <w:highlight w:val="none"/>
          <w14:textFill>
            <w14:solidFill>
              <w14:schemeClr w14:val="tx1"/>
            </w14:solidFill>
          </w14:textFill>
        </w:rPr>
        <w:t>1.3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适用法律法规、技术标准</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1.3.1 </w:t>
      </w:r>
      <w:r>
        <w:rPr>
          <w:rFonts w:hint="eastAsia" w:ascii="宋体" w:hAnsi="宋体" w:cs="宋体"/>
          <w:color w:val="000000" w:themeColor="text1"/>
          <w:sz w:val="21"/>
          <w:szCs w:val="21"/>
          <w:highlight w:val="none"/>
          <w14:textFill>
            <w14:solidFill>
              <w14:schemeClr w14:val="tx1"/>
            </w14:solidFill>
          </w14:textFill>
        </w:rPr>
        <w:t>适用法律法规</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本合同文件适用中华人民共和国法律、行政法规、部门规章以及工程所在地的地方性法规、自治条例、单行条例和地方政府规章等。其他需要明示的规范性文件，由合同当事人在专用合同条款中约定。</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适用技术标准</w:t>
      </w:r>
    </w:p>
    <w:p>
      <w:pPr>
        <w:autoSpaceDE w:val="0"/>
        <w:autoSpaceDN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适用于工程的现行有效国家标准、行业标准、工程所在地的地方标准以及相应的规范、规程为本合同文件适用的技术标准。合同当事人有特别要求的，应在专用合同条款中约定。</w:t>
      </w:r>
    </w:p>
    <w:p>
      <w:pPr>
        <w:autoSpaceDE w:val="0"/>
        <w:autoSpaceDN w:val="0"/>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发包人要求使用国外技术标准的，应在专用合同条款中约定所使用技术标准的名称及提供方，并约定技术标准原文版、中译本的份数、时间及费用承担等事项。</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1950" w:name="_Toc17260"/>
      <w:bookmarkStart w:id="1951" w:name="_Toc24483"/>
      <w:bookmarkStart w:id="1952" w:name="_Toc2422"/>
      <w:bookmarkStart w:id="1953" w:name="_Toc19212"/>
      <w:bookmarkStart w:id="1954" w:name="_Toc11071"/>
      <w:bookmarkStart w:id="1955" w:name="_Toc2557"/>
      <w:bookmarkStart w:id="1956" w:name="_Toc457826157"/>
      <w:bookmarkStart w:id="1957" w:name="_Toc13934"/>
      <w:bookmarkStart w:id="1958" w:name="_Toc17421"/>
      <w:bookmarkStart w:id="1959" w:name="_Toc13600"/>
      <w:bookmarkStart w:id="1960" w:name="_Toc454"/>
      <w:bookmarkStart w:id="1961" w:name="_Toc30291"/>
      <w:bookmarkStart w:id="1962" w:name="_Toc106719406"/>
      <w:bookmarkStart w:id="1963" w:name="_Toc26210"/>
      <w:r>
        <w:rPr>
          <w:rFonts w:ascii="宋体" w:hAnsi="宋体"/>
          <w:color w:val="000000" w:themeColor="text1"/>
          <w:sz w:val="21"/>
          <w:szCs w:val="21"/>
          <w:highlight w:val="none"/>
          <w14:textFill>
            <w14:solidFill>
              <w14:schemeClr w14:val="tx1"/>
            </w14:solidFill>
          </w14:textFill>
        </w:rPr>
        <w:t xml:space="preserve">1.4 </w:t>
      </w:r>
      <w:r>
        <w:rPr>
          <w:rFonts w:hint="eastAsia" w:ascii="宋体" w:hAnsi="宋体" w:cs="宋体"/>
          <w:color w:val="000000" w:themeColor="text1"/>
          <w:sz w:val="21"/>
          <w:szCs w:val="21"/>
          <w:highlight w:val="none"/>
          <w14:textFill>
            <w14:solidFill>
              <w14:schemeClr w14:val="tx1"/>
            </w14:solidFill>
          </w14:textFill>
        </w:rPr>
        <w:t>语言文字</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本合同文件使用汉语语言文字书写、解释和说明。如专用合同条款约定使用两种以上（含两种）语言时，汉语为优先解释和说明本合同的语言。</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1964" w:name="_Toc406150428"/>
      <w:bookmarkStart w:id="1965" w:name="_Toc27940"/>
      <w:bookmarkStart w:id="1966" w:name="_Toc106719407"/>
      <w:bookmarkStart w:id="1967" w:name="_Toc15383"/>
      <w:bookmarkStart w:id="1968" w:name="_Toc351203502"/>
      <w:bookmarkStart w:id="1969" w:name="_Toc13665"/>
      <w:bookmarkStart w:id="1970" w:name="_Toc15666"/>
      <w:bookmarkStart w:id="1971" w:name="_Toc4431"/>
      <w:bookmarkStart w:id="1972" w:name="_Toc21630"/>
      <w:bookmarkStart w:id="1973" w:name="_Toc457826158"/>
      <w:bookmarkStart w:id="1974" w:name="_Toc25054"/>
      <w:bookmarkStart w:id="1975" w:name="_Toc12154"/>
      <w:bookmarkStart w:id="1976" w:name="_Toc27180"/>
      <w:bookmarkStart w:id="1977" w:name="_Toc9587"/>
      <w:bookmarkStart w:id="1978" w:name="_Toc13132"/>
      <w:bookmarkStart w:id="1979" w:name="_Toc29581"/>
      <w:bookmarkStart w:id="1980" w:name="_Toc296503033"/>
      <w:bookmarkStart w:id="1981" w:name="_Toc296346534"/>
      <w:bookmarkStart w:id="1982" w:name="_Toc337558733"/>
      <w:r>
        <w:rPr>
          <w:rFonts w:ascii="宋体" w:hAnsi="宋体"/>
          <w:color w:val="000000" w:themeColor="text1"/>
          <w:sz w:val="21"/>
          <w:szCs w:val="21"/>
          <w:highlight w:val="none"/>
          <w14:textFill>
            <w14:solidFill>
              <w14:schemeClr w14:val="tx1"/>
            </w14:solidFill>
          </w14:textFill>
        </w:rPr>
        <w:t xml:space="preserve">1.5 </w:t>
      </w:r>
      <w:r>
        <w:rPr>
          <w:rFonts w:hint="eastAsia" w:ascii="宋体" w:hAnsi="宋体" w:cs="宋体"/>
          <w:color w:val="000000" w:themeColor="text1"/>
          <w:sz w:val="21"/>
          <w:szCs w:val="21"/>
          <w:highlight w:val="none"/>
          <w14:textFill>
            <w14:solidFill>
              <w14:schemeClr w14:val="tx1"/>
            </w14:solidFill>
          </w14:textFill>
        </w:rPr>
        <w:t>联络</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bookmarkEnd w:id="1980"/>
    <w:bookmarkEnd w:id="1981"/>
    <w:bookmarkEnd w:id="1982"/>
    <w:p>
      <w:pPr>
        <w:tabs>
          <w:tab w:val="left" w:pos="540"/>
          <w:tab w:val="left" w:pos="72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1.5.1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与合同有关的批准文件、通知、证明、证书、指示、指令、要求、请求、意见、确定和决定等，均应采用书面形式或合同双方确认的其他形式，并应在合同约定的期限内送达接收人。</w:t>
      </w:r>
    </w:p>
    <w:p>
      <w:pPr>
        <w:tabs>
          <w:tab w:val="left" w:pos="540"/>
          <w:tab w:val="left" w:pos="1260"/>
        </w:tabs>
        <w:snapToGrid w:val="0"/>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1.5.2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发包人和勘察人应在专用合同条款中约定各自的送达接收人、送达形式及联系方式。合同当事人指定的接收人、送达地点或联系方式发生变动的，应提前</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天以书面形式通知对方，否则视为未发生变动。</w:t>
      </w:r>
    </w:p>
    <w:p>
      <w:pPr>
        <w:tabs>
          <w:tab w:val="left" w:pos="540"/>
          <w:tab w:val="left" w:pos="126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1.5.3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发包人、勘察人应及时签收对方送达至约定送达地点和指定接收人的来往信函；如确有充分证据证明一方无正当理由拒不签收的，视为拒绝签收一方认可往来信函的内容。</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1983" w:name="_Toc6001"/>
      <w:bookmarkStart w:id="1984" w:name="_Toc5174"/>
      <w:bookmarkStart w:id="1985" w:name="_Toc28803"/>
      <w:bookmarkStart w:id="1986" w:name="_Toc106719408"/>
      <w:bookmarkStart w:id="1987" w:name="_Toc351203503"/>
      <w:bookmarkStart w:id="1988" w:name="_Toc9089"/>
      <w:bookmarkStart w:id="1989" w:name="_Toc406150429"/>
      <w:bookmarkStart w:id="1990" w:name="_Toc283"/>
      <w:bookmarkStart w:id="1991" w:name="_Toc14550"/>
      <w:bookmarkStart w:id="1992" w:name="_Toc449383259"/>
      <w:bookmarkStart w:id="1993" w:name="_Toc6603"/>
      <w:bookmarkStart w:id="1994" w:name="_Toc6711"/>
      <w:bookmarkStart w:id="1995" w:name="_Toc12445"/>
      <w:bookmarkStart w:id="1996" w:name="_Toc5124"/>
      <w:bookmarkStart w:id="1997" w:name="_Toc12853"/>
      <w:bookmarkStart w:id="1998" w:name="_Toc14705"/>
      <w:bookmarkStart w:id="1999" w:name="_Toc296346536"/>
      <w:bookmarkStart w:id="2000" w:name="_Toc337558734"/>
      <w:bookmarkStart w:id="2001" w:name="_Toc296503035"/>
      <w:bookmarkStart w:id="2002" w:name="_Toc406150430"/>
      <w:bookmarkStart w:id="2003" w:name="_Toc457826159"/>
      <w:bookmarkStart w:id="2004" w:name="_Toc337558738"/>
      <w:r>
        <w:rPr>
          <w:rFonts w:ascii="宋体" w:hAnsi="宋体"/>
          <w:color w:val="000000" w:themeColor="text1"/>
          <w:sz w:val="21"/>
          <w:szCs w:val="21"/>
          <w:highlight w:val="none"/>
          <w14:textFill>
            <w14:solidFill>
              <w14:schemeClr w14:val="tx1"/>
            </w14:solidFill>
          </w14:textFill>
        </w:rPr>
        <w:t xml:space="preserve">1.6 </w:t>
      </w:r>
      <w:r>
        <w:rPr>
          <w:rFonts w:hint="eastAsia" w:ascii="宋体" w:hAnsi="宋体" w:cs="宋体"/>
          <w:color w:val="000000" w:themeColor="text1"/>
          <w:sz w:val="21"/>
          <w:szCs w:val="21"/>
          <w:highlight w:val="none"/>
          <w14:textFill>
            <w14:solidFill>
              <w14:schemeClr w14:val="tx1"/>
            </w14:solidFill>
          </w14:textFill>
        </w:rPr>
        <w:t>严禁贿赂</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bookmarkEnd w:id="1999"/>
    <w:bookmarkEnd w:id="2000"/>
    <w:bookmarkEnd w:id="2001"/>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合同当事人不得以贿赂或变相贿赂的方式，谋取非法利益或损害对方权益。因一方的贿赂造成对方损失的，应赔偿损失并承担相应的法律责任。</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005" w:name="_Toc106719409"/>
      <w:bookmarkStart w:id="2006" w:name="_Toc21375"/>
      <w:bookmarkStart w:id="2007" w:name="_Toc24504"/>
      <w:bookmarkStart w:id="2008" w:name="_Toc15150"/>
      <w:bookmarkStart w:id="2009" w:name="_Toc4127"/>
      <w:bookmarkStart w:id="2010" w:name="_Toc12168"/>
      <w:bookmarkStart w:id="2011" w:name="_Toc25363"/>
      <w:bookmarkStart w:id="2012" w:name="_Toc12538"/>
      <w:bookmarkStart w:id="2013" w:name="_Toc17847"/>
      <w:bookmarkStart w:id="2014" w:name="_Toc24216"/>
      <w:bookmarkStart w:id="2015" w:name="_Toc21233"/>
      <w:bookmarkStart w:id="2016" w:name="_Toc25253"/>
      <w:bookmarkStart w:id="2017" w:name="_Toc11841"/>
      <w:r>
        <w:rPr>
          <w:rFonts w:ascii="宋体" w:hAnsi="宋体" w:cs="宋体"/>
          <w:color w:val="000000" w:themeColor="text1"/>
          <w:sz w:val="21"/>
          <w:szCs w:val="21"/>
          <w:highlight w:val="none"/>
          <w14:textFill>
            <w14:solidFill>
              <w14:schemeClr w14:val="tx1"/>
            </w14:solidFill>
          </w14:textFill>
        </w:rPr>
        <w:t xml:space="preserve">1.7 </w:t>
      </w:r>
      <w:r>
        <w:rPr>
          <w:rFonts w:hint="eastAsia" w:ascii="宋体" w:hAnsi="宋体" w:cs="宋体"/>
          <w:color w:val="000000" w:themeColor="text1"/>
          <w:sz w:val="21"/>
          <w:szCs w:val="21"/>
          <w:highlight w:val="none"/>
          <w14:textFill>
            <w14:solidFill>
              <w14:schemeClr w14:val="tx1"/>
            </w14:solidFill>
          </w14:textFill>
        </w:rPr>
        <w:t>保密</w:t>
      </w:r>
      <w:bookmarkEnd w:id="2002"/>
      <w:bookmarkEnd w:id="2003"/>
      <w:bookmarkEnd w:id="2005"/>
      <w:bookmarkEnd w:id="2006"/>
      <w:bookmarkEnd w:id="2007"/>
      <w:bookmarkEnd w:id="2008"/>
      <w:bookmarkEnd w:id="2009"/>
      <w:bookmarkEnd w:id="2010"/>
      <w:bookmarkEnd w:id="2011"/>
      <w:bookmarkEnd w:id="2012"/>
      <w:bookmarkEnd w:id="2013"/>
      <w:bookmarkEnd w:id="2014"/>
      <w:bookmarkEnd w:id="2015"/>
      <w:bookmarkEnd w:id="2016"/>
      <w:bookmarkEnd w:id="2017"/>
    </w:p>
    <w:bookmarkEnd w:id="2004"/>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除法律法规规定或合同另有约定外，未经发包人同意，勘察人不得将发包人提供的图纸、文件以及声明需要保密的资料信息等商业秘密泄露给第三方。</w:t>
      </w:r>
    </w:p>
    <w:p>
      <w:pPr>
        <w:snapToGrid w:val="0"/>
        <w:spacing w:line="360" w:lineRule="auto"/>
        <w:ind w:firstLine="482" w:firstLineChars="230"/>
        <w:jc w:val="lef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除法律法规规定或合同另有约定外，未经勘察人同意，发包人不得将勘察人提供的技术文件、成果资料、技术秘密及声明需要保密的资料信息等商业秘密泄露给第三方。</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018" w:name="_Toc406150431"/>
      <w:bookmarkStart w:id="2019" w:name="_Toc457826160"/>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2</w:t>
      </w:r>
      <w:r>
        <w:rPr>
          <w:rFonts w:hint="eastAsia" w:ascii="黑体" w:hAnsi="黑体" w:eastAsia="黑体" w:cs="Times New Roman"/>
          <w:b w:val="0"/>
          <w:color w:val="000000" w:themeColor="text1"/>
          <w:highlight w:val="none"/>
          <w14:textFill>
            <w14:solidFill>
              <w14:schemeClr w14:val="tx1"/>
            </w14:solidFill>
          </w14:textFill>
        </w:rPr>
        <w:t>条 发包人</w:t>
      </w:r>
      <w:bookmarkEnd w:id="2018"/>
      <w:bookmarkEnd w:id="2019"/>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020" w:name="_Toc24061"/>
      <w:bookmarkStart w:id="2021" w:name="_Toc9426"/>
      <w:bookmarkStart w:id="2022" w:name="_Toc106719410"/>
      <w:bookmarkStart w:id="2023" w:name="_Toc17082"/>
      <w:bookmarkStart w:id="2024" w:name="_Toc28906"/>
      <w:bookmarkStart w:id="2025" w:name="_Toc9181"/>
      <w:bookmarkStart w:id="2026" w:name="_Toc457826161"/>
      <w:bookmarkStart w:id="2027" w:name="_Toc406150432"/>
      <w:bookmarkStart w:id="2028" w:name="_Toc6286"/>
      <w:bookmarkStart w:id="2029" w:name="_Toc16428"/>
      <w:bookmarkStart w:id="2030" w:name="_Toc8421"/>
      <w:bookmarkStart w:id="2031" w:name="_Toc20109"/>
      <w:bookmarkStart w:id="2032" w:name="_Toc31693"/>
      <w:bookmarkStart w:id="2033" w:name="_Toc27072"/>
      <w:bookmarkStart w:id="2034" w:name="_Toc30047"/>
      <w:r>
        <w:rPr>
          <w:rFonts w:ascii="宋体" w:hAnsi="宋体"/>
          <w:color w:val="000000" w:themeColor="text1"/>
          <w:sz w:val="21"/>
          <w:szCs w:val="21"/>
          <w:highlight w:val="none"/>
          <w14:textFill>
            <w14:solidFill>
              <w14:schemeClr w14:val="tx1"/>
            </w14:solidFill>
          </w14:textFill>
        </w:rPr>
        <w:t xml:space="preserve">2.1 </w:t>
      </w:r>
      <w:r>
        <w:rPr>
          <w:rFonts w:hint="eastAsia" w:ascii="宋体" w:hAnsi="宋体" w:cs="宋体"/>
          <w:color w:val="000000" w:themeColor="text1"/>
          <w:sz w:val="21"/>
          <w:szCs w:val="21"/>
          <w:highlight w:val="none"/>
          <w14:textFill>
            <w14:solidFill>
              <w14:schemeClr w14:val="tx1"/>
            </w14:solidFill>
          </w14:textFill>
        </w:rPr>
        <w:t>发包人权利</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2.1.1 </w:t>
      </w:r>
      <w:r>
        <w:rPr>
          <w:rFonts w:hint="eastAsia" w:ascii="宋体" w:hAnsi="宋体" w:cs="宋体"/>
          <w:color w:val="000000" w:themeColor="text1"/>
          <w:sz w:val="21"/>
          <w:szCs w:val="21"/>
          <w:highlight w:val="none"/>
          <w14:textFill>
            <w14:solidFill>
              <w14:schemeClr w14:val="tx1"/>
            </w14:solidFill>
          </w14:textFill>
        </w:rPr>
        <w:t>发包人对勘察人的勘察工作有权依照合同约定实施监督，并对勘察成果予以验收。</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2.1.2 </w:t>
      </w:r>
      <w:r>
        <w:rPr>
          <w:rFonts w:hint="eastAsia" w:ascii="宋体" w:hAnsi="宋体" w:cs="宋体"/>
          <w:color w:val="000000" w:themeColor="text1"/>
          <w:sz w:val="21"/>
          <w:szCs w:val="21"/>
          <w:highlight w:val="none"/>
          <w14:textFill>
            <w14:solidFill>
              <w14:schemeClr w14:val="tx1"/>
            </w14:solidFill>
          </w14:textFill>
        </w:rPr>
        <w:t>发包人对勘察人无法胜任工程勘察工作的人员有权提出更换。</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2.1.3 </w:t>
      </w:r>
      <w:r>
        <w:rPr>
          <w:rFonts w:hint="eastAsia" w:ascii="宋体" w:hAnsi="宋体" w:cs="宋体"/>
          <w:color w:val="000000" w:themeColor="text1"/>
          <w:sz w:val="21"/>
          <w:szCs w:val="21"/>
          <w:highlight w:val="none"/>
          <w14:textFill>
            <w14:solidFill>
              <w14:schemeClr w14:val="tx1"/>
            </w14:solidFill>
          </w14:textFill>
        </w:rPr>
        <w:t>发包人拥有勘察人为其项目编制的所有文件资料的使用权，包括投标文件、成果资料和数据等。</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035" w:name="_Toc4858"/>
      <w:bookmarkStart w:id="2036" w:name="_Toc26746"/>
      <w:bookmarkStart w:id="2037" w:name="_Toc9562"/>
      <w:bookmarkStart w:id="2038" w:name="_Toc18615"/>
      <w:bookmarkStart w:id="2039" w:name="_Toc17996"/>
      <w:bookmarkStart w:id="2040" w:name="_Toc106719411"/>
      <w:bookmarkStart w:id="2041" w:name="_Toc457826162"/>
      <w:bookmarkStart w:id="2042" w:name="_Toc7246"/>
      <w:bookmarkStart w:id="2043" w:name="_Toc7315"/>
      <w:bookmarkStart w:id="2044" w:name="_Toc406150433"/>
      <w:bookmarkStart w:id="2045" w:name="_Toc7195"/>
      <w:bookmarkStart w:id="2046" w:name="_Toc22845"/>
      <w:bookmarkStart w:id="2047" w:name="_Toc25733"/>
      <w:bookmarkStart w:id="2048" w:name="_Toc4910"/>
      <w:bookmarkStart w:id="2049" w:name="_Toc27768"/>
      <w:r>
        <w:rPr>
          <w:rFonts w:ascii="宋体" w:hAnsi="宋体"/>
          <w:color w:val="000000" w:themeColor="text1"/>
          <w:sz w:val="21"/>
          <w:szCs w:val="21"/>
          <w:highlight w:val="none"/>
          <w14:textFill>
            <w14:solidFill>
              <w14:schemeClr w14:val="tx1"/>
            </w14:solidFill>
          </w14:textFill>
        </w:rPr>
        <w:t xml:space="preserve">2.2 </w:t>
      </w:r>
      <w:r>
        <w:rPr>
          <w:rFonts w:hint="eastAsia" w:ascii="宋体" w:hAnsi="宋体" w:cs="宋体"/>
          <w:color w:val="000000" w:themeColor="text1"/>
          <w:sz w:val="21"/>
          <w:szCs w:val="21"/>
          <w:highlight w:val="none"/>
          <w14:textFill>
            <w14:solidFill>
              <w14:schemeClr w14:val="tx1"/>
            </w14:solidFill>
          </w14:textFill>
        </w:rPr>
        <w:t>发包人义务</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2.2.1 </w:t>
      </w:r>
      <w:r>
        <w:rPr>
          <w:rFonts w:hint="eastAsia" w:ascii="宋体" w:hAnsi="宋体" w:cs="宋体"/>
          <w:color w:val="000000" w:themeColor="text1"/>
          <w:sz w:val="21"/>
          <w:szCs w:val="21"/>
          <w:highlight w:val="none"/>
          <w14:textFill>
            <w14:solidFill>
              <w14:schemeClr w14:val="tx1"/>
            </w14:solidFill>
          </w14:textFill>
        </w:rPr>
        <w:t>发包人应以书面形式向勘察人明确勘察任务及技术要求。</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2.2.2 </w:t>
      </w:r>
      <w:r>
        <w:rPr>
          <w:rFonts w:hint="eastAsia" w:ascii="宋体" w:hAnsi="宋体" w:cs="宋体"/>
          <w:color w:val="000000" w:themeColor="text1"/>
          <w:sz w:val="21"/>
          <w:szCs w:val="21"/>
          <w:highlight w:val="none"/>
          <w14:textFill>
            <w14:solidFill>
              <w14:schemeClr w14:val="tx1"/>
            </w14:solidFill>
          </w14:textFill>
        </w:rPr>
        <w:t>发包人应提供开展工程勘察工作所需要的图纸及技术资料，包括总平面图、地形图、已有水准点和坐标控制点等，若上述资料由勘察人负责搜集时，发包人应承担相关费用。</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2.2.3 </w:t>
      </w:r>
      <w:r>
        <w:rPr>
          <w:rFonts w:hint="eastAsia" w:ascii="宋体" w:hAnsi="宋体" w:cs="宋体"/>
          <w:color w:val="000000" w:themeColor="text1"/>
          <w:sz w:val="21"/>
          <w:szCs w:val="21"/>
          <w:highlight w:val="none"/>
          <w14:textFill>
            <w14:solidFill>
              <w14:schemeClr w14:val="tx1"/>
            </w14:solidFill>
          </w14:textFill>
        </w:rPr>
        <w:t>发包人应提供工程勘察作业所需的批准及许可文件，包括立项批复、占用和挖掘道路许可等。</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2.2.4</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发包人应为勘察人提供具备条件的作业场地及进场通道（包括土地征用、障碍物清除、场地平整、提供水电接口和青苗赔偿等）并承担相关费用。</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2.2.5</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2.2.6 </w:t>
      </w:r>
      <w:r>
        <w:rPr>
          <w:rFonts w:hint="eastAsia" w:ascii="宋体" w:hAnsi="宋体" w:cs="宋体"/>
          <w:color w:val="000000" w:themeColor="text1"/>
          <w:sz w:val="21"/>
          <w:szCs w:val="21"/>
          <w:highlight w:val="none"/>
          <w14:textFill>
            <w14:solidFill>
              <w14:schemeClr w14:val="tx1"/>
            </w14:solidFill>
          </w14:textFill>
        </w:rPr>
        <w:t>发包人应按照法律法规规定为勘察人安全生产提供条件并支付安全生产防护费用，发包人不得要求勘察人违反安全生产管理规定进行作业。</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2.2.7 </w:t>
      </w:r>
      <w:r>
        <w:rPr>
          <w:rFonts w:hint="eastAsia" w:ascii="宋体" w:hAnsi="宋体" w:cs="宋体"/>
          <w:color w:val="000000" w:themeColor="text1"/>
          <w:sz w:val="21"/>
          <w:szCs w:val="21"/>
          <w:highlight w:val="none"/>
          <w14:textFill>
            <w14:solidFill>
              <w14:schemeClr w14:val="tx1"/>
            </w14:solidFill>
          </w14:textFill>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2.2.8</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发包人应对勘察人满足质量标准的已完工作，按照合同约定及时支付相应的工程勘察合同价款及费用。</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050" w:name="_Toc106719412"/>
      <w:bookmarkStart w:id="2051" w:name="_Toc17324"/>
      <w:bookmarkStart w:id="2052" w:name="_Toc18836"/>
      <w:bookmarkStart w:id="2053" w:name="_Toc457826163"/>
      <w:bookmarkStart w:id="2054" w:name="_Toc21422"/>
      <w:bookmarkStart w:id="2055" w:name="_Toc31985"/>
      <w:bookmarkStart w:id="2056" w:name="_Toc3551"/>
      <w:bookmarkStart w:id="2057" w:name="_Toc406150434"/>
      <w:bookmarkStart w:id="2058" w:name="_Toc905"/>
      <w:bookmarkStart w:id="2059" w:name="_Toc26780"/>
      <w:bookmarkStart w:id="2060" w:name="_Toc9005"/>
      <w:bookmarkStart w:id="2061" w:name="_Toc21001"/>
      <w:bookmarkStart w:id="2062" w:name="_Toc22373"/>
      <w:bookmarkStart w:id="2063" w:name="_Toc3105"/>
      <w:bookmarkStart w:id="2064" w:name="_Toc27815"/>
      <w:r>
        <w:rPr>
          <w:rFonts w:ascii="宋体" w:hAnsi="宋体"/>
          <w:color w:val="000000" w:themeColor="text1"/>
          <w:sz w:val="21"/>
          <w:szCs w:val="21"/>
          <w:highlight w:val="none"/>
          <w14:textFill>
            <w14:solidFill>
              <w14:schemeClr w14:val="tx1"/>
            </w14:solidFill>
          </w14:textFill>
        </w:rPr>
        <w:t xml:space="preserve">2.3 </w:t>
      </w:r>
      <w:r>
        <w:rPr>
          <w:rFonts w:hint="eastAsia" w:ascii="宋体" w:hAnsi="宋体" w:cs="宋体"/>
          <w:color w:val="000000" w:themeColor="text1"/>
          <w:sz w:val="21"/>
          <w:szCs w:val="21"/>
          <w:highlight w:val="none"/>
          <w14:textFill>
            <w14:solidFill>
              <w14:schemeClr w14:val="tx1"/>
            </w14:solidFill>
          </w14:textFill>
        </w:rPr>
        <w:t>发包人代表</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发包人应在专用合同条款中明确其负责工程勘察的发包人代表的姓名、职务、联系方式及授权范围等事项。发包人代表在发包人的授权范围内，负责处理合同履行过程中与发包人有关的具体事宜。</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065" w:name="_Toc457826164"/>
      <w:bookmarkStart w:id="2066" w:name="_Toc406150435"/>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3</w:t>
      </w:r>
      <w:r>
        <w:rPr>
          <w:rFonts w:hint="eastAsia" w:ascii="黑体" w:hAnsi="黑体" w:eastAsia="黑体" w:cs="Times New Roman"/>
          <w:b w:val="0"/>
          <w:color w:val="000000" w:themeColor="text1"/>
          <w:highlight w:val="none"/>
          <w14:textFill>
            <w14:solidFill>
              <w14:schemeClr w14:val="tx1"/>
            </w14:solidFill>
          </w14:textFill>
        </w:rPr>
        <w:t>条 勘察人</w:t>
      </w:r>
      <w:bookmarkEnd w:id="2065"/>
      <w:bookmarkEnd w:id="2066"/>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067" w:name="_Toc457826165"/>
      <w:bookmarkStart w:id="2068" w:name="_Toc21479"/>
      <w:bookmarkStart w:id="2069" w:name="_Toc9792"/>
      <w:bookmarkStart w:id="2070" w:name="_Toc406150436"/>
      <w:bookmarkStart w:id="2071" w:name="_Toc30423"/>
      <w:bookmarkStart w:id="2072" w:name="_Toc24145"/>
      <w:bookmarkStart w:id="2073" w:name="_Toc19928"/>
      <w:bookmarkStart w:id="2074" w:name="_Toc23698"/>
      <w:bookmarkStart w:id="2075" w:name="_Toc7448"/>
      <w:bookmarkStart w:id="2076" w:name="_Toc28129"/>
      <w:bookmarkStart w:id="2077" w:name="_Toc20138"/>
      <w:bookmarkStart w:id="2078" w:name="_Toc7738"/>
      <w:bookmarkStart w:id="2079" w:name="_Toc11712"/>
      <w:bookmarkStart w:id="2080" w:name="_Toc2372"/>
      <w:bookmarkStart w:id="2081" w:name="_Toc106719413"/>
      <w:r>
        <w:rPr>
          <w:rFonts w:ascii="宋体" w:hAnsi="宋体"/>
          <w:color w:val="000000" w:themeColor="text1"/>
          <w:sz w:val="21"/>
          <w:szCs w:val="21"/>
          <w:highlight w:val="none"/>
          <w14:textFill>
            <w14:solidFill>
              <w14:schemeClr w14:val="tx1"/>
            </w14:solidFill>
          </w14:textFill>
        </w:rPr>
        <w:t>3.1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勘察人权利</w:t>
      </w:r>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3.1.1 </w:t>
      </w:r>
      <w:r>
        <w:rPr>
          <w:rFonts w:hint="eastAsia" w:ascii="宋体" w:hAnsi="宋体" w:cs="宋体"/>
          <w:color w:val="000000" w:themeColor="text1"/>
          <w:sz w:val="21"/>
          <w:szCs w:val="21"/>
          <w:highlight w:val="none"/>
          <w14:textFill>
            <w14:solidFill>
              <w14:schemeClr w14:val="tx1"/>
            </w14:solidFill>
          </w14:textFill>
        </w:rPr>
        <w:t>勘察人在工程勘察期间，根据项目条件和技术标准、法律法规规定等方面的变化，有权向发包人提出增减合同工作量或修改技术方案的建议。</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3.1.2 </w:t>
      </w:r>
      <w:r>
        <w:rPr>
          <w:rFonts w:hint="eastAsia" w:ascii="宋体" w:hAnsi="宋体" w:cs="宋体"/>
          <w:color w:val="000000" w:themeColor="text1"/>
          <w:sz w:val="21"/>
          <w:szCs w:val="21"/>
          <w:highlight w:val="none"/>
          <w14:textFill>
            <w14:solidFill>
              <w14:schemeClr w14:val="tx1"/>
            </w14:solidFill>
          </w14:textFill>
        </w:rPr>
        <w:t>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3.1.3 </w:t>
      </w:r>
      <w:r>
        <w:rPr>
          <w:rFonts w:hint="eastAsia" w:ascii="宋体" w:hAnsi="宋体" w:cs="宋体"/>
          <w:color w:val="000000" w:themeColor="text1"/>
          <w:sz w:val="21"/>
          <w:szCs w:val="21"/>
          <w:highlight w:val="none"/>
          <w14:textFill>
            <w14:solidFill>
              <w14:schemeClr w14:val="tx1"/>
            </w14:solidFill>
          </w14:textFill>
        </w:rPr>
        <w:t>勘察人对其编制的所有文件资料，包括投标文件、成果资料、数据和专利技术等拥有知识产权。</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082" w:name="_Toc457826166"/>
      <w:bookmarkStart w:id="2083" w:name="_Toc1189"/>
      <w:bookmarkStart w:id="2084" w:name="_Toc9860"/>
      <w:bookmarkStart w:id="2085" w:name="_Toc106719414"/>
      <w:bookmarkStart w:id="2086" w:name="_Toc1711"/>
      <w:bookmarkStart w:id="2087" w:name="_Toc406150437"/>
      <w:bookmarkStart w:id="2088" w:name="_Toc8261"/>
      <w:bookmarkStart w:id="2089" w:name="_Toc20877"/>
      <w:bookmarkStart w:id="2090" w:name="_Toc11208"/>
      <w:bookmarkStart w:id="2091" w:name="_Toc21072"/>
      <w:bookmarkStart w:id="2092" w:name="_Toc19126"/>
      <w:bookmarkStart w:id="2093" w:name="_Toc14121"/>
      <w:bookmarkStart w:id="2094" w:name="_Toc4473"/>
      <w:bookmarkStart w:id="2095" w:name="_Toc28722"/>
      <w:bookmarkStart w:id="2096" w:name="_Toc28127"/>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勘察人义务</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3.2.1 </w:t>
      </w:r>
      <w:r>
        <w:rPr>
          <w:rFonts w:hint="eastAsia" w:ascii="宋体" w:hAnsi="宋体" w:cs="宋体"/>
          <w:color w:val="000000" w:themeColor="text1"/>
          <w:sz w:val="21"/>
          <w:szCs w:val="21"/>
          <w:highlight w:val="none"/>
          <w14:textFill>
            <w14:solidFill>
              <w14:schemeClr w14:val="tx1"/>
            </w14:solidFill>
          </w14:textFill>
        </w:rPr>
        <w:t>勘察人应按勘察任务书和技术要求并依据有关技术标准进行工程勘察工作。</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勘察人应建立质量保证体系，按本合同约定的时间提交质量合格的成果资料，并对其质量负责。</w:t>
      </w:r>
    </w:p>
    <w:p>
      <w:pPr>
        <w:tabs>
          <w:tab w:val="left" w:pos="0"/>
        </w:tabs>
        <w:snapToGrid w:val="0"/>
        <w:spacing w:line="360" w:lineRule="auto"/>
        <w:ind w:firstLine="396" w:firstLineChars="189"/>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3.2.3 </w:t>
      </w:r>
      <w:r>
        <w:rPr>
          <w:rFonts w:hint="eastAsia" w:ascii="宋体" w:hAnsi="宋体" w:cs="宋体"/>
          <w:color w:val="000000" w:themeColor="text1"/>
          <w:sz w:val="21"/>
          <w:szCs w:val="21"/>
          <w:highlight w:val="none"/>
          <w14:textFill>
            <w14:solidFill>
              <w14:schemeClr w14:val="tx1"/>
            </w14:solidFill>
          </w14:textFill>
        </w:rPr>
        <w:t>勘察人在提交成果资料后，应为发包人继续提供后期服务。</w:t>
      </w:r>
    </w:p>
    <w:p>
      <w:pPr>
        <w:tabs>
          <w:tab w:val="left" w:pos="0"/>
        </w:tabs>
        <w:snapToGrid w:val="0"/>
        <w:spacing w:line="360" w:lineRule="auto"/>
        <w:ind w:firstLine="396" w:firstLineChars="189"/>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3.2.4</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勘察人在工程勘察期间遇到地下文物时，应及时向发包人和文物主管部门报告并妥善保护。</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3.2.5 </w:t>
      </w:r>
      <w:r>
        <w:rPr>
          <w:rFonts w:hint="eastAsia" w:ascii="宋体" w:hAnsi="宋体" w:cs="宋体"/>
          <w:color w:val="000000" w:themeColor="text1"/>
          <w:sz w:val="21"/>
          <w:szCs w:val="21"/>
          <w:highlight w:val="none"/>
          <w14:textFill>
            <w14:solidFill>
              <w14:schemeClr w14:val="tx1"/>
            </w14:solidFill>
          </w14:textFill>
        </w:rPr>
        <w:t>勘察人开展工程勘察活动时应遵守有关职业健康及安全生产方面的各项法律法规的规定，采取安全防护措施，确保人员、设备和设施的安全。</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3.2.6 </w:t>
      </w:r>
      <w:r>
        <w:rPr>
          <w:rFonts w:hint="eastAsia" w:ascii="宋体" w:hAnsi="宋体" w:cs="宋体"/>
          <w:color w:val="000000" w:themeColor="text1"/>
          <w:sz w:val="21"/>
          <w:szCs w:val="21"/>
          <w:highlight w:val="none"/>
          <w14:textFill>
            <w14:solidFill>
              <w14:schemeClr w14:val="tx1"/>
            </w14:solidFill>
          </w14:textFill>
        </w:rPr>
        <w:t>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tabs>
          <w:tab w:val="left" w:pos="54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3.2.7</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勘察人应在勘察方案中列明环境保护的具体措施，并在合同履行期间采取合理措施保护作业现场环境。</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097" w:name="_Toc406150438"/>
      <w:bookmarkStart w:id="2098" w:name="_Toc11935"/>
      <w:bookmarkStart w:id="2099" w:name="_Toc13197"/>
      <w:bookmarkStart w:id="2100" w:name="_Toc6960"/>
      <w:bookmarkStart w:id="2101" w:name="_Toc457826167"/>
      <w:bookmarkStart w:id="2102" w:name="_Toc19489"/>
      <w:bookmarkStart w:id="2103" w:name="_Toc2042"/>
      <w:bookmarkStart w:id="2104" w:name="_Toc31206"/>
      <w:bookmarkStart w:id="2105" w:name="_Toc935"/>
      <w:bookmarkStart w:id="2106" w:name="_Toc15437"/>
      <w:bookmarkStart w:id="2107" w:name="_Toc106719415"/>
      <w:bookmarkStart w:id="2108" w:name="_Toc8810"/>
      <w:bookmarkStart w:id="2109" w:name="_Toc25982"/>
      <w:bookmarkStart w:id="2110" w:name="_Toc21240"/>
      <w:bookmarkStart w:id="2111" w:name="_Toc20486"/>
      <w:r>
        <w:rPr>
          <w:rFonts w:ascii="宋体" w:hAnsi="宋体"/>
          <w:color w:val="000000" w:themeColor="text1"/>
          <w:sz w:val="21"/>
          <w:szCs w:val="21"/>
          <w:highlight w:val="none"/>
          <w14:textFill>
            <w14:solidFill>
              <w14:schemeClr w14:val="tx1"/>
            </w14:solidFill>
          </w14:textFill>
        </w:rPr>
        <w:t xml:space="preserve">3.3 </w:t>
      </w:r>
      <w:r>
        <w:rPr>
          <w:rFonts w:hint="eastAsia" w:ascii="宋体" w:hAnsi="宋体" w:cs="宋体"/>
          <w:color w:val="000000" w:themeColor="text1"/>
          <w:sz w:val="21"/>
          <w:szCs w:val="21"/>
          <w:highlight w:val="none"/>
          <w14:textFill>
            <w14:solidFill>
              <w14:schemeClr w14:val="tx1"/>
            </w14:solidFill>
          </w14:textFill>
        </w:rPr>
        <w:t>勘察人代表</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pPr>
        <w:tabs>
          <w:tab w:val="left" w:pos="360"/>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勘察人接受任务时，应在专用合同条款中明确其负责工程勘察的勘察人代表的姓名、职务、联系方式及授权范围等事项。勘察人代表在勘察人的授权范围内，负责处理合同履行过程中与勘察人有关的具体事宜。</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112" w:name="_Toc457826168"/>
      <w:bookmarkStart w:id="2113" w:name="_Toc406150439"/>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4</w:t>
      </w:r>
      <w:r>
        <w:rPr>
          <w:rFonts w:hint="eastAsia" w:ascii="黑体" w:hAnsi="黑体" w:eastAsia="黑体" w:cs="Times New Roman"/>
          <w:b w:val="0"/>
          <w:color w:val="000000" w:themeColor="text1"/>
          <w:highlight w:val="none"/>
          <w14:textFill>
            <w14:solidFill>
              <w14:schemeClr w14:val="tx1"/>
            </w14:solidFill>
          </w14:textFill>
        </w:rPr>
        <w:t>条 工期</w:t>
      </w:r>
      <w:bookmarkEnd w:id="2112"/>
      <w:bookmarkEnd w:id="2113"/>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114" w:name="_Toc406150440"/>
      <w:bookmarkStart w:id="2115" w:name="_Toc25589"/>
      <w:bookmarkStart w:id="2116" w:name="_Toc9638"/>
      <w:bookmarkStart w:id="2117" w:name="_Toc30452"/>
      <w:bookmarkStart w:id="2118" w:name="_Toc31724"/>
      <w:bookmarkStart w:id="2119" w:name="_Toc11415"/>
      <w:bookmarkStart w:id="2120" w:name="_Toc26016"/>
      <w:bookmarkStart w:id="2121" w:name="_Toc3703"/>
      <w:bookmarkStart w:id="2122" w:name="_Toc457826169"/>
      <w:bookmarkStart w:id="2123" w:name="_Toc14090"/>
      <w:bookmarkStart w:id="2124" w:name="_Toc10909"/>
      <w:bookmarkStart w:id="2125" w:name="_Toc106719416"/>
      <w:bookmarkStart w:id="2126" w:name="_Toc25547"/>
      <w:bookmarkStart w:id="2127" w:name="_Toc5464"/>
      <w:bookmarkStart w:id="2128" w:name="_Toc3363"/>
      <w:r>
        <w:rPr>
          <w:rFonts w:ascii="宋体" w:hAnsi="宋体"/>
          <w:color w:val="000000" w:themeColor="text1"/>
          <w:sz w:val="21"/>
          <w:szCs w:val="21"/>
          <w:highlight w:val="none"/>
          <w14:textFill>
            <w14:solidFill>
              <w14:schemeClr w14:val="tx1"/>
            </w14:solidFill>
          </w14:textFill>
        </w:rPr>
        <w:t>4.1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开工及延期开工</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4.1.1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勘察人应按合同约定的工期进行工程勘察工作，并接受发包人对工程勘察工作进度的监督、检查。</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4.1.2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因发包人原因不能按照合同约定的日期开工，发包人应以书面形式通知勘察人，推迟开工日期并相应顺延工期。</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129" w:name="_Toc406150441"/>
      <w:bookmarkStart w:id="2130" w:name="_Toc457826170"/>
      <w:bookmarkStart w:id="2131" w:name="_Toc27967"/>
      <w:bookmarkStart w:id="2132" w:name="_Toc23001"/>
      <w:bookmarkStart w:id="2133" w:name="_Toc413"/>
      <w:bookmarkStart w:id="2134" w:name="_Toc17114"/>
      <w:bookmarkStart w:id="2135" w:name="_Toc106719417"/>
      <w:bookmarkStart w:id="2136" w:name="_Toc7395"/>
      <w:bookmarkStart w:id="2137" w:name="_Toc4498"/>
      <w:bookmarkStart w:id="2138" w:name="_Toc28693"/>
      <w:bookmarkStart w:id="2139" w:name="_Toc3755"/>
      <w:bookmarkStart w:id="2140" w:name="_Toc15759"/>
      <w:bookmarkStart w:id="2141" w:name="_Toc18674"/>
      <w:bookmarkStart w:id="2142" w:name="_Toc31440"/>
      <w:bookmarkStart w:id="2143" w:name="_Toc4962"/>
      <w:r>
        <w:rPr>
          <w:rFonts w:ascii="宋体" w:hAnsi="宋体"/>
          <w:color w:val="000000" w:themeColor="text1"/>
          <w:sz w:val="21"/>
          <w:szCs w:val="21"/>
          <w:highlight w:val="none"/>
          <w14:textFill>
            <w14:solidFill>
              <w14:schemeClr w14:val="tx1"/>
            </w14:solidFill>
          </w14:textFill>
        </w:rPr>
        <w:t xml:space="preserve">4.2 </w:t>
      </w:r>
      <w:r>
        <w:rPr>
          <w:rFonts w:hint="eastAsia" w:ascii="宋体" w:hAnsi="宋体" w:cs="宋体"/>
          <w:color w:val="000000" w:themeColor="text1"/>
          <w:sz w:val="21"/>
          <w:szCs w:val="21"/>
          <w:highlight w:val="none"/>
          <w14:textFill>
            <w14:solidFill>
              <w14:schemeClr w14:val="tx1"/>
            </w14:solidFill>
          </w14:textFill>
        </w:rPr>
        <w:t>成果提交日期</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勘察人应按照合同约定的日期或双方同意顺延的工期提交成果资料，具体可在专用合同条款中约定。</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144" w:name="_Toc16708"/>
      <w:bookmarkStart w:id="2145" w:name="_Toc5244"/>
      <w:bookmarkStart w:id="2146" w:name="_Toc11898"/>
      <w:bookmarkStart w:id="2147" w:name="_Toc1534"/>
      <w:bookmarkStart w:id="2148" w:name="_Toc16004"/>
      <w:bookmarkStart w:id="2149" w:name="_Toc27163"/>
      <w:bookmarkStart w:id="2150" w:name="_Toc18440"/>
      <w:bookmarkStart w:id="2151" w:name="_Toc21619"/>
      <w:bookmarkStart w:id="2152" w:name="_Toc3525"/>
      <w:bookmarkStart w:id="2153" w:name="_Toc29976"/>
      <w:bookmarkStart w:id="2154" w:name="_Toc457826171"/>
      <w:bookmarkStart w:id="2155" w:name="_Toc11688"/>
      <w:bookmarkStart w:id="2156" w:name="_Toc106719418"/>
      <w:bookmarkStart w:id="2157" w:name="_Toc25512"/>
      <w:r>
        <w:rPr>
          <w:rFonts w:ascii="宋体" w:hAnsi="宋体"/>
          <w:color w:val="000000" w:themeColor="text1"/>
          <w:sz w:val="21"/>
          <w:szCs w:val="21"/>
          <w:highlight w:val="none"/>
          <w14:textFill>
            <w14:solidFill>
              <w14:schemeClr w14:val="tx1"/>
            </w14:solidFill>
          </w14:textFill>
        </w:rPr>
        <w:t xml:space="preserve">4.3 </w:t>
      </w:r>
      <w:r>
        <w:rPr>
          <w:rFonts w:hint="eastAsia" w:ascii="宋体" w:hAnsi="宋体" w:cs="宋体"/>
          <w:color w:val="000000" w:themeColor="text1"/>
          <w:sz w:val="21"/>
          <w:szCs w:val="21"/>
          <w:highlight w:val="none"/>
          <w14:textFill>
            <w14:solidFill>
              <w14:schemeClr w14:val="tx1"/>
            </w14:solidFill>
          </w14:textFill>
        </w:rPr>
        <w:t>发包人造成的工期延误</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4.3.1 </w:t>
      </w:r>
      <w:r>
        <w:rPr>
          <w:rFonts w:hint="eastAsia" w:ascii="宋体" w:hAnsi="宋体" w:cs="宋体"/>
          <w:color w:val="000000" w:themeColor="text1"/>
          <w:sz w:val="21"/>
          <w:szCs w:val="21"/>
          <w:highlight w:val="none"/>
          <w14:textFill>
            <w14:solidFill>
              <w14:schemeClr w14:val="tx1"/>
            </w14:solidFill>
          </w14:textFill>
        </w:rPr>
        <w:t>因以下情形造成工期延误，勘察人有权要求发包人延长工期、增加合同价款和（或）补偿费用：</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）发包人未能按合同约定提供图纸及开工条件；</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）发包人未能按合同约定及时支付定金、预付款和（或）进度款；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）变更导致合同工作量增加；</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）发包人增加合同工作内容；</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）发包人改变工程勘察技术要求；</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）发包人导致工期延误的其他情形。</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4.3.2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bCs/>
          <w:color w:val="000000" w:themeColor="text1"/>
          <w:sz w:val="21"/>
          <w:szCs w:val="21"/>
          <w:highlight w:val="none"/>
          <w14:textFill>
            <w14:solidFill>
              <w14:schemeClr w14:val="tx1"/>
            </w14:solidFill>
          </w14:textFill>
        </w:rPr>
        <w:t>除专用合同条款对期限另有约定外，</w:t>
      </w:r>
      <w:r>
        <w:rPr>
          <w:rFonts w:hint="eastAsia" w:ascii="宋体" w:hAnsi="宋体" w:cs="宋体"/>
          <w:color w:val="000000" w:themeColor="text1"/>
          <w:sz w:val="21"/>
          <w:szCs w:val="21"/>
          <w:highlight w:val="none"/>
          <w14:textFill>
            <w14:solidFill>
              <w14:schemeClr w14:val="tx1"/>
            </w14:solidFill>
          </w14:textFill>
        </w:rPr>
        <w:t>勘察人在第</w:t>
      </w:r>
      <w:r>
        <w:rPr>
          <w:rFonts w:ascii="宋体" w:hAnsi="宋体" w:cs="宋体"/>
          <w:color w:val="000000" w:themeColor="text1"/>
          <w:sz w:val="21"/>
          <w:szCs w:val="21"/>
          <w:highlight w:val="none"/>
          <w14:textFill>
            <w14:solidFill>
              <w14:schemeClr w14:val="tx1"/>
            </w14:solidFill>
          </w14:textFill>
        </w:rPr>
        <w:t>4.3.1</w:t>
      </w:r>
      <w:r>
        <w:rPr>
          <w:rFonts w:hint="eastAsia" w:ascii="宋体" w:hAnsi="宋体" w:cs="宋体"/>
          <w:color w:val="000000" w:themeColor="text1"/>
          <w:sz w:val="21"/>
          <w:szCs w:val="21"/>
          <w:highlight w:val="none"/>
          <w14:textFill>
            <w14:solidFill>
              <w14:schemeClr w14:val="tx1"/>
            </w14:solidFill>
          </w14:textFill>
        </w:rPr>
        <w:t>款情形发生后</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天内，应就延误的工期以书面形式向发包人提出报告。发包人在收到报告后</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天内予以确认；逾期不予确认也不提出修改意见，视为同意顺延工期。补偿费用的确认程序参照第</w:t>
      </w:r>
      <w:r>
        <w:rPr>
          <w:rFonts w:ascii="宋体" w:hAnsi="宋体" w:cs="宋体"/>
          <w:color w:val="000000" w:themeColor="text1"/>
          <w:sz w:val="21"/>
          <w:szCs w:val="21"/>
          <w:highlight w:val="none"/>
          <w14:textFill>
            <w14:solidFill>
              <w14:schemeClr w14:val="tx1"/>
            </w14:solidFill>
          </w14:textFill>
        </w:rPr>
        <w:t>7.1</w:t>
      </w:r>
      <w:r>
        <w:rPr>
          <w:rFonts w:hint="eastAsia" w:ascii="宋体" w:hAnsi="宋体" w:cs="宋体"/>
          <w:color w:val="000000" w:themeColor="text1"/>
          <w:sz w:val="21"/>
          <w:szCs w:val="21"/>
          <w:highlight w:val="none"/>
          <w14:textFill>
            <w14:solidFill>
              <w14:schemeClr w14:val="tx1"/>
            </w14:solidFill>
          </w14:textFill>
        </w:rPr>
        <w:t>款〔合同价款与调整〕执行。</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158" w:name="_Toc17556"/>
      <w:bookmarkStart w:id="2159" w:name="_Toc25861"/>
      <w:bookmarkStart w:id="2160" w:name="_Toc8815"/>
      <w:bookmarkStart w:id="2161" w:name="_Toc406150443"/>
      <w:bookmarkStart w:id="2162" w:name="_Toc17796"/>
      <w:bookmarkStart w:id="2163" w:name="_Toc9261"/>
      <w:bookmarkStart w:id="2164" w:name="_Toc7384"/>
      <w:bookmarkStart w:id="2165" w:name="_Toc235"/>
      <w:bookmarkStart w:id="2166" w:name="_Toc28289"/>
      <w:bookmarkStart w:id="2167" w:name="_Toc457826172"/>
      <w:bookmarkStart w:id="2168" w:name="_Toc13227"/>
      <w:bookmarkStart w:id="2169" w:name="_Toc106719419"/>
      <w:bookmarkStart w:id="2170" w:name="_Toc31853"/>
      <w:bookmarkStart w:id="2171" w:name="_Toc31573"/>
      <w:bookmarkStart w:id="2172" w:name="_Toc27133"/>
      <w:r>
        <w:rPr>
          <w:rFonts w:ascii="宋体" w:hAnsi="宋体"/>
          <w:color w:val="000000" w:themeColor="text1"/>
          <w:sz w:val="21"/>
          <w:szCs w:val="21"/>
          <w:highlight w:val="none"/>
          <w14:textFill>
            <w14:solidFill>
              <w14:schemeClr w14:val="tx1"/>
            </w14:solidFill>
          </w14:textFill>
        </w:rPr>
        <w:t>4.4</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勘察人造成的工期延误</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勘察人因以下情形不能按照合同约定的日期或双方同意顺延的工期提交成果资料的，勘察人承担违约责任：</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173" w:name="_Toc406150444"/>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）勘察人未按合同约定开工日期开展工作造成工期延误的；</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）勘察人管理不善、组织不力造成工期延误的；</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）因弥补勘察人自身原因导致的质量缺陷而造成工期延误的；</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）因勘察人成果资料不合格返工造成工期延误的；</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）勘察人导致工期延误的其他情形。</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174" w:name="_Toc5137"/>
      <w:bookmarkStart w:id="2175" w:name="_Toc14754"/>
      <w:bookmarkStart w:id="2176" w:name="_Toc18289"/>
      <w:bookmarkStart w:id="2177" w:name="_Toc11692"/>
      <w:bookmarkStart w:id="2178" w:name="_Toc28149"/>
      <w:bookmarkStart w:id="2179" w:name="_Toc29675"/>
      <w:bookmarkStart w:id="2180" w:name="_Toc20045"/>
      <w:bookmarkStart w:id="2181" w:name="_Toc29010"/>
      <w:bookmarkStart w:id="2182" w:name="_Toc106719420"/>
      <w:bookmarkStart w:id="2183" w:name="_Toc8184"/>
      <w:bookmarkStart w:id="2184" w:name="_Toc7771"/>
      <w:bookmarkStart w:id="2185" w:name="_Toc457826173"/>
      <w:bookmarkStart w:id="2186" w:name="_Toc31117"/>
      <w:bookmarkStart w:id="2187" w:name="_Toc13056"/>
      <w:r>
        <w:rPr>
          <w:rFonts w:ascii="宋体" w:hAnsi="宋体"/>
          <w:color w:val="000000" w:themeColor="text1"/>
          <w:sz w:val="21"/>
          <w:szCs w:val="21"/>
          <w:highlight w:val="none"/>
          <w14:textFill>
            <w14:solidFill>
              <w14:schemeClr w14:val="tx1"/>
            </w14:solidFill>
          </w14:textFill>
        </w:rPr>
        <w:t xml:space="preserve">4.5 </w:t>
      </w:r>
      <w:r>
        <w:rPr>
          <w:rFonts w:hint="eastAsia" w:ascii="宋体" w:hAnsi="宋体" w:cs="宋体"/>
          <w:color w:val="000000" w:themeColor="text1"/>
          <w:sz w:val="21"/>
          <w:szCs w:val="21"/>
          <w:highlight w:val="none"/>
          <w14:textFill>
            <w14:solidFill>
              <w14:schemeClr w14:val="tx1"/>
            </w14:solidFill>
          </w14:textFill>
        </w:rPr>
        <w:t>恶劣气候条件</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恶劣气候条件影响现场作业，导致现场作业难以进行，造成工期延误的，勘察人有权要求发包人延长工期，具体可参照第</w:t>
      </w:r>
      <w:r>
        <w:rPr>
          <w:rFonts w:ascii="宋体" w:hAnsi="宋体" w:cs="宋体"/>
          <w:color w:val="000000" w:themeColor="text1"/>
          <w:sz w:val="21"/>
          <w:szCs w:val="21"/>
          <w:highlight w:val="none"/>
          <w14:textFill>
            <w14:solidFill>
              <w14:schemeClr w14:val="tx1"/>
            </w14:solidFill>
          </w14:textFill>
        </w:rPr>
        <w:t>4.3.2</w:t>
      </w:r>
      <w:r>
        <w:rPr>
          <w:rFonts w:hint="eastAsia" w:ascii="宋体" w:hAnsi="宋体" w:cs="宋体"/>
          <w:color w:val="000000" w:themeColor="text1"/>
          <w:sz w:val="21"/>
          <w:szCs w:val="21"/>
          <w:highlight w:val="none"/>
          <w14:textFill>
            <w14:solidFill>
              <w14:schemeClr w14:val="tx1"/>
            </w14:solidFill>
          </w14:textFill>
        </w:rPr>
        <w:t>款处理。</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188" w:name="_Toc457826174"/>
      <w:bookmarkStart w:id="2189" w:name="_Toc406150445"/>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5</w:t>
      </w:r>
      <w:r>
        <w:rPr>
          <w:rFonts w:hint="eastAsia" w:ascii="黑体" w:hAnsi="黑体" w:eastAsia="黑体" w:cs="Times New Roman"/>
          <w:b w:val="0"/>
          <w:color w:val="000000" w:themeColor="text1"/>
          <w:highlight w:val="none"/>
          <w14:textFill>
            <w14:solidFill>
              <w14:schemeClr w14:val="tx1"/>
            </w14:solidFill>
          </w14:textFill>
        </w:rPr>
        <w:t>条 成果资料</w:t>
      </w:r>
      <w:bookmarkEnd w:id="2188"/>
      <w:bookmarkEnd w:id="2189"/>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190" w:name="_Toc27059"/>
      <w:bookmarkStart w:id="2191" w:name="_Toc8056"/>
      <w:bookmarkStart w:id="2192" w:name="_Toc406150446"/>
      <w:bookmarkStart w:id="2193" w:name="_Toc26071"/>
      <w:bookmarkStart w:id="2194" w:name="_Toc457826175"/>
      <w:bookmarkStart w:id="2195" w:name="_Toc9851"/>
      <w:bookmarkStart w:id="2196" w:name="_Toc106719421"/>
      <w:bookmarkStart w:id="2197" w:name="_Toc20512"/>
      <w:bookmarkStart w:id="2198" w:name="_Toc3013"/>
      <w:bookmarkStart w:id="2199" w:name="_Toc12449"/>
      <w:bookmarkStart w:id="2200" w:name="_Toc23471"/>
      <w:bookmarkStart w:id="2201" w:name="_Toc21981"/>
      <w:bookmarkStart w:id="2202" w:name="_Toc18498"/>
      <w:bookmarkStart w:id="2203" w:name="_Toc28550"/>
      <w:bookmarkStart w:id="2204" w:name="_Toc376"/>
      <w:r>
        <w:rPr>
          <w:rFonts w:ascii="宋体" w:hAnsi="宋体"/>
          <w:color w:val="000000" w:themeColor="text1"/>
          <w:sz w:val="21"/>
          <w:szCs w:val="21"/>
          <w:highlight w:val="none"/>
          <w14:textFill>
            <w14:solidFill>
              <w14:schemeClr w14:val="tx1"/>
            </w14:solidFill>
          </w14:textFill>
        </w:rPr>
        <w:t xml:space="preserve">5.1 </w:t>
      </w:r>
      <w:r>
        <w:rPr>
          <w:rFonts w:hint="eastAsia" w:ascii="宋体" w:hAnsi="宋体" w:cs="宋体"/>
          <w:color w:val="000000" w:themeColor="text1"/>
          <w:sz w:val="21"/>
          <w:szCs w:val="21"/>
          <w:highlight w:val="none"/>
          <w14:textFill>
            <w14:solidFill>
              <w14:schemeClr w14:val="tx1"/>
            </w14:solidFill>
          </w14:textFill>
        </w:rPr>
        <w:t>成果质量</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pPr>
        <w:tabs>
          <w:tab w:val="left" w:pos="540"/>
          <w:tab w:val="left" w:pos="126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5.1.1 </w:t>
      </w:r>
      <w:r>
        <w:rPr>
          <w:rFonts w:hint="eastAsia" w:ascii="宋体" w:hAnsi="宋体" w:cs="宋体"/>
          <w:color w:val="000000" w:themeColor="text1"/>
          <w:sz w:val="21"/>
          <w:szCs w:val="21"/>
          <w:highlight w:val="none"/>
          <w14:textFill>
            <w14:solidFill>
              <w14:schemeClr w14:val="tx1"/>
            </w14:solidFill>
          </w14:textFill>
        </w:rPr>
        <w:t>成果质量应符合相关技术标准和深度规定，且满足合同约定的质量要求。</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5.1.2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双方对工程勘察成果质量有争议时，由双方同意的第三方机构鉴定，所需费用及因此造成的损失，由责任方承担；双方均有责任的，由双方根据其责任分别承担。</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05" w:name="_Toc16689"/>
      <w:bookmarkStart w:id="2206" w:name="_Toc29219"/>
      <w:bookmarkStart w:id="2207" w:name="_Toc457826176"/>
      <w:bookmarkStart w:id="2208" w:name="_Toc406150447"/>
      <w:bookmarkStart w:id="2209" w:name="_Toc106719422"/>
      <w:bookmarkStart w:id="2210" w:name="_Toc15574"/>
      <w:bookmarkStart w:id="2211" w:name="_Toc25704"/>
      <w:bookmarkStart w:id="2212" w:name="_Toc24668"/>
      <w:bookmarkStart w:id="2213" w:name="_Toc30003"/>
      <w:bookmarkStart w:id="2214" w:name="_Toc11470"/>
      <w:bookmarkStart w:id="2215" w:name="_Toc18760"/>
      <w:bookmarkStart w:id="2216" w:name="_Toc11496"/>
      <w:bookmarkStart w:id="2217" w:name="_Toc661"/>
      <w:bookmarkStart w:id="2218" w:name="_Toc11076"/>
      <w:bookmarkStart w:id="2219" w:name="_Toc1893"/>
      <w:r>
        <w:rPr>
          <w:rFonts w:ascii="宋体" w:hAnsi="宋体"/>
          <w:color w:val="000000" w:themeColor="text1"/>
          <w:sz w:val="21"/>
          <w:szCs w:val="21"/>
          <w:highlight w:val="none"/>
          <w14:textFill>
            <w14:solidFill>
              <w14:schemeClr w14:val="tx1"/>
            </w14:solidFill>
          </w14:textFill>
        </w:rPr>
        <w:t xml:space="preserve">5.2 </w:t>
      </w:r>
      <w:r>
        <w:rPr>
          <w:rFonts w:hint="eastAsia" w:ascii="宋体" w:hAnsi="宋体" w:cs="宋体"/>
          <w:color w:val="000000" w:themeColor="text1"/>
          <w:sz w:val="21"/>
          <w:szCs w:val="21"/>
          <w:highlight w:val="none"/>
          <w14:textFill>
            <w14:solidFill>
              <w14:schemeClr w14:val="tx1"/>
            </w14:solidFill>
          </w14:textFill>
        </w:rPr>
        <w:t>成果份数</w:t>
      </w:r>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勘察人应向发包人提交成果资料四份，发包人要求增加的份数，在专用合同条款中另行约定，发包人另行支付相应的费用。</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20" w:name="_Toc457826177"/>
      <w:r>
        <w:rPr>
          <w:rFonts w:ascii="宋体" w:hAnsi="宋体"/>
          <w:b/>
          <w:bCs/>
          <w:color w:val="000000" w:themeColor="text1"/>
          <w:sz w:val="21"/>
          <w:szCs w:val="21"/>
          <w:highlight w:val="none"/>
          <w14:textFill>
            <w14:solidFill>
              <w14:schemeClr w14:val="tx1"/>
            </w14:solidFill>
          </w14:textFill>
        </w:rPr>
        <w:t xml:space="preserve">5.3 </w:t>
      </w:r>
      <w:r>
        <w:rPr>
          <w:rFonts w:hint="eastAsia" w:ascii="宋体" w:hAnsi="宋体"/>
          <w:b/>
          <w:bCs/>
          <w:color w:val="000000" w:themeColor="text1"/>
          <w:sz w:val="21"/>
          <w:szCs w:val="21"/>
          <w:highlight w:val="none"/>
          <w14:textFill>
            <w14:solidFill>
              <w14:schemeClr w14:val="tx1"/>
            </w14:solidFill>
          </w14:textFill>
        </w:rPr>
        <w:t>成果交付</w:t>
      </w:r>
      <w:bookmarkEnd w:id="2220"/>
    </w:p>
    <w:p>
      <w:pPr>
        <w:tabs>
          <w:tab w:val="left" w:pos="540"/>
        </w:tabs>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勘察人按照约定时间和地点向发包人交付成果资料，发包人应出具书面签收单，内容包括成果名称、成果组成、成果份数、提交和签收日期、提交人与接收人的亲笔签名等。</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21" w:name="_Toc11359"/>
      <w:bookmarkStart w:id="2222" w:name="_Toc19227"/>
      <w:bookmarkStart w:id="2223" w:name="_Toc16539"/>
      <w:bookmarkStart w:id="2224" w:name="_Toc89"/>
      <w:bookmarkStart w:id="2225" w:name="_Toc23303"/>
      <w:bookmarkStart w:id="2226" w:name="_Toc8725"/>
      <w:bookmarkStart w:id="2227" w:name="_Toc13098"/>
      <w:bookmarkStart w:id="2228" w:name="_Toc9515"/>
      <w:bookmarkStart w:id="2229" w:name="_Toc19018"/>
      <w:bookmarkStart w:id="2230" w:name="_Toc106719423"/>
      <w:bookmarkStart w:id="2231" w:name="_Toc457826178"/>
      <w:bookmarkStart w:id="2232" w:name="_Toc23920"/>
      <w:bookmarkStart w:id="2233" w:name="_Toc22209"/>
      <w:bookmarkStart w:id="2234" w:name="_Toc22878"/>
      <w:r>
        <w:rPr>
          <w:rFonts w:ascii="宋体" w:hAnsi="宋体"/>
          <w:color w:val="000000" w:themeColor="text1"/>
          <w:sz w:val="21"/>
          <w:szCs w:val="21"/>
          <w:highlight w:val="none"/>
          <w14:textFill>
            <w14:solidFill>
              <w14:schemeClr w14:val="tx1"/>
            </w14:solidFill>
          </w14:textFill>
        </w:rPr>
        <w:t xml:space="preserve">5.4 </w:t>
      </w:r>
      <w:r>
        <w:rPr>
          <w:rFonts w:hint="eastAsia" w:ascii="宋体" w:hAnsi="宋体" w:cs="宋体"/>
          <w:color w:val="000000" w:themeColor="text1"/>
          <w:sz w:val="21"/>
          <w:szCs w:val="21"/>
          <w:highlight w:val="none"/>
          <w14:textFill>
            <w14:solidFill>
              <w14:schemeClr w14:val="tx1"/>
            </w14:solidFill>
          </w14:textFill>
        </w:rPr>
        <w:t>成果验收</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勘察人向发包人提交成果资料后，如需对勘察成果组织验收的，发包人应及时组织验收。</w:t>
      </w:r>
      <w:r>
        <w:rPr>
          <w:rFonts w:hint="eastAsia" w:ascii="宋体" w:hAnsi="宋体"/>
          <w:bCs/>
          <w:color w:val="000000" w:themeColor="text1"/>
          <w:sz w:val="21"/>
          <w:szCs w:val="21"/>
          <w:highlight w:val="none"/>
          <w14:textFill>
            <w14:solidFill>
              <w14:schemeClr w14:val="tx1"/>
            </w14:solidFill>
          </w14:textFill>
        </w:rPr>
        <w:t>除专用合同条款对期限另有约定外，</w:t>
      </w:r>
      <w:r>
        <w:rPr>
          <w:rFonts w:hint="eastAsia" w:ascii="宋体" w:hAnsi="宋体" w:cs="宋体"/>
          <w:color w:val="000000" w:themeColor="text1"/>
          <w:sz w:val="21"/>
          <w:szCs w:val="21"/>
          <w:highlight w:val="none"/>
          <w14:textFill>
            <w14:solidFill>
              <w14:schemeClr w14:val="tx1"/>
            </w14:solidFill>
          </w14:textFill>
        </w:rPr>
        <w:t>发包人</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天内无正当理由不予组织验收，视为验收通过。</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235" w:name="_Toc457826179"/>
      <w:bookmarkStart w:id="2236" w:name="_Toc406150449"/>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6</w:t>
      </w:r>
      <w:r>
        <w:rPr>
          <w:rFonts w:hint="eastAsia" w:ascii="黑体" w:hAnsi="黑体" w:eastAsia="黑体" w:cs="Times New Roman"/>
          <w:b w:val="0"/>
          <w:color w:val="000000" w:themeColor="text1"/>
          <w:highlight w:val="none"/>
          <w14:textFill>
            <w14:solidFill>
              <w14:schemeClr w14:val="tx1"/>
            </w14:solidFill>
          </w14:textFill>
        </w:rPr>
        <w:t>条 后期服务</w:t>
      </w:r>
      <w:bookmarkEnd w:id="2235"/>
      <w:bookmarkEnd w:id="2236"/>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37" w:name="_Toc24214"/>
      <w:bookmarkStart w:id="2238" w:name="_Toc12681"/>
      <w:bookmarkStart w:id="2239" w:name="_Toc2590"/>
      <w:bookmarkStart w:id="2240" w:name="_Toc7279"/>
      <w:bookmarkStart w:id="2241" w:name="_Toc16999"/>
      <w:bookmarkStart w:id="2242" w:name="_Toc12712"/>
      <w:bookmarkStart w:id="2243" w:name="_Toc30812"/>
      <w:bookmarkStart w:id="2244" w:name="_Toc406150450"/>
      <w:bookmarkStart w:id="2245" w:name="_Toc106719424"/>
      <w:bookmarkStart w:id="2246" w:name="_Toc10510"/>
      <w:bookmarkStart w:id="2247" w:name="_Toc32296"/>
      <w:bookmarkStart w:id="2248" w:name="_Toc7745"/>
      <w:bookmarkStart w:id="2249" w:name="_Toc457826180"/>
      <w:bookmarkStart w:id="2250" w:name="_Toc14040"/>
      <w:bookmarkStart w:id="2251" w:name="_Toc18165"/>
      <w:r>
        <w:rPr>
          <w:rFonts w:ascii="宋体" w:hAnsi="宋体"/>
          <w:color w:val="000000" w:themeColor="text1"/>
          <w:sz w:val="21"/>
          <w:szCs w:val="21"/>
          <w:highlight w:val="none"/>
          <w14:textFill>
            <w14:solidFill>
              <w14:schemeClr w14:val="tx1"/>
            </w14:solidFill>
          </w14:textFill>
        </w:rPr>
        <w:t>6.1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后续技术服务</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勘察人应派专业技术人员为发包人提供后续技术服务，发包人应为其提供必要的工作和生活条件，后续技术服务的内容、费用和时限应由双方在专用合同条款中另行约定。</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52" w:name="_Toc4990"/>
      <w:bookmarkStart w:id="2253" w:name="_Toc406150451"/>
      <w:bookmarkStart w:id="2254" w:name="_Toc26173"/>
      <w:bookmarkStart w:id="2255" w:name="_Toc106719425"/>
      <w:bookmarkStart w:id="2256" w:name="_Toc7449"/>
      <w:bookmarkStart w:id="2257" w:name="_Toc1280"/>
      <w:bookmarkStart w:id="2258" w:name="_Toc27524"/>
      <w:bookmarkStart w:id="2259" w:name="_Toc9324"/>
      <w:bookmarkStart w:id="2260" w:name="_Toc30228"/>
      <w:bookmarkStart w:id="2261" w:name="_Toc457826181"/>
      <w:bookmarkStart w:id="2262" w:name="_Toc23311"/>
      <w:bookmarkStart w:id="2263" w:name="_Toc16686"/>
      <w:bookmarkStart w:id="2264" w:name="_Toc12037"/>
      <w:bookmarkStart w:id="2265" w:name="_Toc22664"/>
      <w:bookmarkStart w:id="2266" w:name="_Toc26709"/>
      <w:r>
        <w:rPr>
          <w:rFonts w:ascii="宋体" w:hAnsi="宋体"/>
          <w:color w:val="000000" w:themeColor="text1"/>
          <w:sz w:val="21"/>
          <w:szCs w:val="21"/>
          <w:highlight w:val="none"/>
          <w14:textFill>
            <w14:solidFill>
              <w14:schemeClr w14:val="tx1"/>
            </w14:solidFill>
          </w14:textFill>
        </w:rPr>
        <w:t xml:space="preserve">6.2 </w:t>
      </w:r>
      <w:r>
        <w:rPr>
          <w:rFonts w:hint="eastAsia" w:ascii="宋体" w:hAnsi="宋体" w:cs="宋体"/>
          <w:color w:val="000000" w:themeColor="text1"/>
          <w:sz w:val="21"/>
          <w:szCs w:val="21"/>
          <w:highlight w:val="none"/>
          <w14:textFill>
            <w14:solidFill>
              <w14:schemeClr w14:val="tx1"/>
            </w14:solidFill>
          </w14:textFill>
        </w:rPr>
        <w:t>竣工验收</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工程竣工验收时，勘察人应按发包人要求参加竣工验收工作，并提供竣工验收所需相关资料。</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267" w:name="_Toc406150452"/>
      <w:bookmarkStart w:id="2268" w:name="_Toc457826182"/>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7</w:t>
      </w:r>
      <w:r>
        <w:rPr>
          <w:rFonts w:hint="eastAsia" w:ascii="黑体" w:hAnsi="黑体" w:eastAsia="黑体" w:cs="Times New Roman"/>
          <w:b w:val="0"/>
          <w:color w:val="000000" w:themeColor="text1"/>
          <w:highlight w:val="none"/>
          <w14:textFill>
            <w14:solidFill>
              <w14:schemeClr w14:val="tx1"/>
            </w14:solidFill>
          </w14:textFill>
        </w:rPr>
        <w:t>条 合同价款与支付</w:t>
      </w:r>
      <w:bookmarkEnd w:id="2267"/>
      <w:bookmarkEnd w:id="2268"/>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69" w:name="_Toc30647"/>
      <w:bookmarkStart w:id="2270" w:name="_Toc17394"/>
      <w:bookmarkStart w:id="2271" w:name="_Toc24543"/>
      <w:bookmarkStart w:id="2272" w:name="_Toc9999"/>
      <w:bookmarkStart w:id="2273" w:name="_Toc5923"/>
      <w:bookmarkStart w:id="2274" w:name="_Toc8524"/>
      <w:bookmarkStart w:id="2275" w:name="_Toc457826183"/>
      <w:bookmarkStart w:id="2276" w:name="_Toc106719426"/>
      <w:bookmarkStart w:id="2277" w:name="_Toc26583"/>
      <w:bookmarkStart w:id="2278" w:name="_Toc22499"/>
      <w:bookmarkStart w:id="2279" w:name="_Toc25162"/>
      <w:bookmarkStart w:id="2280" w:name="_Toc25929"/>
      <w:bookmarkStart w:id="2281" w:name="_Toc406150453"/>
      <w:bookmarkStart w:id="2282" w:name="_Toc27302"/>
      <w:bookmarkStart w:id="2283" w:name="_Toc29529"/>
      <w:r>
        <w:rPr>
          <w:rFonts w:ascii="宋体" w:hAnsi="宋体"/>
          <w:color w:val="000000" w:themeColor="text1"/>
          <w:sz w:val="21"/>
          <w:szCs w:val="21"/>
          <w:highlight w:val="none"/>
          <w14:textFill>
            <w14:solidFill>
              <w14:schemeClr w14:val="tx1"/>
            </w14:solidFill>
          </w14:textFill>
        </w:rPr>
        <w:t>7.1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合同价款与调整</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7.1.1 </w:t>
      </w:r>
      <w:r>
        <w:rPr>
          <w:rFonts w:hint="eastAsia" w:ascii="宋体" w:hAnsi="宋体"/>
          <w:color w:val="000000" w:themeColor="text1"/>
          <w:sz w:val="21"/>
          <w:szCs w:val="21"/>
          <w:highlight w:val="none"/>
          <w14:textFill>
            <w14:solidFill>
              <w14:schemeClr w14:val="tx1"/>
            </w14:solidFill>
          </w14:textFill>
        </w:rPr>
        <w:t>依照法定程序进行</w:t>
      </w:r>
      <w:r>
        <w:rPr>
          <w:rFonts w:hint="eastAsia" w:ascii="宋体" w:hAnsi="宋体" w:cs="宋体"/>
          <w:color w:val="000000" w:themeColor="text1"/>
          <w:sz w:val="21"/>
          <w:szCs w:val="21"/>
          <w:highlight w:val="none"/>
          <w14:textFill>
            <w14:solidFill>
              <w14:schemeClr w14:val="tx1"/>
            </w14:solidFill>
          </w14:textFill>
        </w:rPr>
        <w:t>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7.1.2 </w:t>
      </w:r>
      <w:r>
        <w:rPr>
          <w:rFonts w:hint="eastAsia" w:ascii="宋体" w:hAnsi="宋体" w:cs="宋体"/>
          <w:color w:val="000000" w:themeColor="text1"/>
          <w:sz w:val="21"/>
          <w:szCs w:val="21"/>
          <w:highlight w:val="none"/>
          <w14:textFill>
            <w14:solidFill>
              <w14:schemeClr w14:val="tx1"/>
            </w14:solidFill>
          </w14:textFill>
        </w:rPr>
        <w:t>合同当事人可任选下列一种合同价款的形式，双方可在专用合同条款中约定：</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）总价合同</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双方在专用合同条款中约定合同价款包含的风险范围和风险费用的计算方法，在约定的风险范围内合同价款不再调整。风险范围以外的合同价款调整因素和方法，应在专用合同条款中约定。</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）单价合同</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合同价款根据工作量的变化而调整，合同单价在风险范围内一般不予调整，双方可在专用合同条款中约定合同单价调整因素和方法。</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）其他合同价款形式</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合同当事人可在专用合同条款中约定其他合同价格形式。</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7.1.</w:t>
      </w:r>
      <w:bookmarkStart w:id="2284" w:name="_Toc406150454"/>
      <w:r>
        <w:rPr>
          <w:rFonts w:ascii="宋体" w:hAnsi="宋体"/>
          <w:color w:val="000000" w:themeColor="text1"/>
          <w:sz w:val="21"/>
          <w:szCs w:val="21"/>
          <w:highlight w:val="none"/>
          <w14:textFill>
            <w14:solidFill>
              <w14:schemeClr w14:val="tx1"/>
            </w14:solidFill>
          </w14:textFill>
        </w:rPr>
        <w:t xml:space="preserve">3 </w:t>
      </w:r>
      <w:r>
        <w:rPr>
          <w:rFonts w:hint="eastAsia" w:ascii="宋体" w:hAnsi="宋体"/>
          <w:color w:val="000000" w:themeColor="text1"/>
          <w:sz w:val="21"/>
          <w:szCs w:val="21"/>
          <w:highlight w:val="none"/>
          <w14:textFill>
            <w14:solidFill>
              <w14:schemeClr w14:val="tx1"/>
            </w14:solidFill>
          </w14:textFill>
        </w:rPr>
        <w:t>需</w:t>
      </w:r>
      <w:r>
        <w:rPr>
          <w:rFonts w:hint="eastAsia" w:ascii="宋体" w:hAnsi="宋体" w:cs="宋体"/>
          <w:color w:val="000000" w:themeColor="text1"/>
          <w:sz w:val="21"/>
          <w:szCs w:val="21"/>
          <w:highlight w:val="none"/>
          <w14:textFill>
            <w14:solidFill>
              <w14:schemeClr w14:val="tx1"/>
            </w14:solidFill>
          </w14:textFill>
        </w:rPr>
        <w:t>调整合同价款时，合同一方应及时将调整原因、调整金额以书面形式通知对方，双方共同确认调整金额后作为追加或减少的合同价款，与进度款同期支付。</w:t>
      </w:r>
      <w:r>
        <w:rPr>
          <w:rFonts w:hint="eastAsia" w:ascii="宋体" w:hAnsi="宋体"/>
          <w:bCs/>
          <w:color w:val="000000" w:themeColor="text1"/>
          <w:sz w:val="21"/>
          <w:szCs w:val="21"/>
          <w:highlight w:val="none"/>
          <w14:textFill>
            <w14:solidFill>
              <w14:schemeClr w14:val="tx1"/>
            </w14:solidFill>
          </w14:textFill>
        </w:rPr>
        <w:t>除专用合同条款对期限另有约定外，</w:t>
      </w:r>
      <w:r>
        <w:rPr>
          <w:rFonts w:hint="eastAsia" w:ascii="宋体" w:hAnsi="宋体" w:cs="宋体"/>
          <w:color w:val="000000" w:themeColor="text1"/>
          <w:sz w:val="21"/>
          <w:szCs w:val="21"/>
          <w:highlight w:val="none"/>
          <w14:textFill>
            <w14:solidFill>
              <w14:schemeClr w14:val="tx1"/>
            </w14:solidFill>
          </w14:textFill>
        </w:rPr>
        <w:t>一方在收到对方的通知后</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天内不予确认也不提出修改意见，视为已经同意该项调整。合同当事人就调整事项不能达成一致的，则按照第</w:t>
      </w:r>
      <w:r>
        <w:rPr>
          <w:rFonts w:ascii="宋体" w:hAnsi="宋体" w:cs="宋体"/>
          <w:color w:val="000000" w:themeColor="text1"/>
          <w:sz w:val="21"/>
          <w:szCs w:val="21"/>
          <w:highlight w:val="none"/>
          <w14:textFill>
            <w14:solidFill>
              <w14:schemeClr w14:val="tx1"/>
            </w14:solidFill>
          </w14:textFill>
        </w:rPr>
        <w:t>16</w:t>
      </w:r>
      <w:r>
        <w:rPr>
          <w:rFonts w:hint="eastAsia" w:ascii="宋体" w:hAnsi="宋体" w:cs="宋体"/>
          <w:color w:val="000000" w:themeColor="text1"/>
          <w:sz w:val="21"/>
          <w:szCs w:val="21"/>
          <w:highlight w:val="none"/>
          <w14:textFill>
            <w14:solidFill>
              <w14:schemeClr w14:val="tx1"/>
            </w14:solidFill>
          </w14:textFill>
        </w:rPr>
        <w:t>条〔争议解决〕的约定处理。</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85" w:name="_Toc19825"/>
      <w:bookmarkStart w:id="2286" w:name="_Toc16520"/>
      <w:bookmarkStart w:id="2287" w:name="_Toc24464"/>
      <w:bookmarkStart w:id="2288" w:name="_Toc28635"/>
      <w:bookmarkStart w:id="2289" w:name="_Toc30428"/>
      <w:bookmarkStart w:id="2290" w:name="_Toc20843"/>
      <w:bookmarkStart w:id="2291" w:name="_Toc31638"/>
      <w:bookmarkStart w:id="2292" w:name="_Toc5806"/>
      <w:bookmarkStart w:id="2293" w:name="_Toc188"/>
      <w:bookmarkStart w:id="2294" w:name="_Toc457826184"/>
      <w:bookmarkStart w:id="2295" w:name="_Toc28833"/>
      <w:bookmarkStart w:id="2296" w:name="_Toc31557"/>
      <w:bookmarkStart w:id="2297" w:name="_Toc106719427"/>
      <w:bookmarkStart w:id="2298" w:name="_Toc4819"/>
      <w:r>
        <w:rPr>
          <w:rFonts w:ascii="宋体" w:hAnsi="宋体" w:cs="宋体"/>
          <w:color w:val="000000" w:themeColor="text1"/>
          <w:sz w:val="21"/>
          <w:szCs w:val="21"/>
          <w:highlight w:val="none"/>
          <w14:textFill>
            <w14:solidFill>
              <w14:schemeClr w14:val="tx1"/>
            </w14:solidFill>
          </w14:textFill>
        </w:rPr>
        <w:t xml:space="preserve">7.2 </w:t>
      </w:r>
      <w:r>
        <w:rPr>
          <w:rFonts w:hint="eastAsia" w:ascii="宋体" w:hAnsi="宋体" w:cs="宋体"/>
          <w:color w:val="000000" w:themeColor="text1"/>
          <w:sz w:val="21"/>
          <w:szCs w:val="21"/>
          <w:highlight w:val="none"/>
          <w14:textFill>
            <w14:solidFill>
              <w14:schemeClr w14:val="tx1"/>
            </w14:solidFill>
          </w14:textFill>
        </w:rPr>
        <w:t>定金或预付款</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7.2.1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实行定金或预付款的，双方应在专用合同条款中约定发包人向勘察人支付定金或预付款数额，支付时间应不迟于约定的开工日期前</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天。发包人不按约定支付，勘察人向发包人发出要求支付的通知，发包人收到通知后仍不能按要求支付，勘察人可在发出通知后推迟开工日期，并由发包人承担违约责任。</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7.2.2 </w:t>
      </w:r>
      <w:r>
        <w:rPr>
          <w:rFonts w:hint="eastAsia" w:ascii="宋体" w:hAnsi="宋体"/>
          <w:color w:val="000000" w:themeColor="text1"/>
          <w:sz w:val="21"/>
          <w:szCs w:val="21"/>
          <w:highlight w:val="none"/>
          <w14:textFill>
            <w14:solidFill>
              <w14:schemeClr w14:val="tx1"/>
            </w14:solidFill>
          </w14:textFill>
        </w:rPr>
        <w:t>定金或</w:t>
      </w:r>
      <w:r>
        <w:rPr>
          <w:rFonts w:hint="eastAsia" w:ascii="宋体" w:hAnsi="宋体" w:cs="宋体"/>
          <w:color w:val="000000" w:themeColor="text1"/>
          <w:sz w:val="21"/>
          <w:szCs w:val="21"/>
          <w:highlight w:val="none"/>
          <w14:textFill>
            <w14:solidFill>
              <w14:schemeClr w14:val="tx1"/>
            </w14:solidFill>
          </w14:textFill>
        </w:rPr>
        <w:t>预付款在进度款中抵扣，抵扣办法可在专用合同条款中约定。</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299" w:name="_Toc28310"/>
      <w:bookmarkStart w:id="2300" w:name="_Toc106719428"/>
      <w:bookmarkStart w:id="2301" w:name="_Toc16164"/>
      <w:bookmarkStart w:id="2302" w:name="_Toc980"/>
      <w:bookmarkStart w:id="2303" w:name="_Toc26797"/>
      <w:bookmarkStart w:id="2304" w:name="_Toc17505"/>
      <w:bookmarkStart w:id="2305" w:name="_Toc22729"/>
      <w:bookmarkStart w:id="2306" w:name="_Toc14357"/>
      <w:bookmarkStart w:id="2307" w:name="_Toc23267"/>
      <w:bookmarkStart w:id="2308" w:name="_Toc31784"/>
      <w:bookmarkStart w:id="2309" w:name="_Toc26040"/>
      <w:bookmarkStart w:id="2310" w:name="_Toc22451"/>
      <w:bookmarkStart w:id="2311" w:name="_Toc406150455"/>
      <w:bookmarkStart w:id="2312" w:name="_Toc14382"/>
      <w:bookmarkStart w:id="2313" w:name="_Toc457826185"/>
      <w:r>
        <w:rPr>
          <w:rFonts w:ascii="宋体" w:hAnsi="宋体"/>
          <w:color w:val="000000" w:themeColor="text1"/>
          <w:sz w:val="21"/>
          <w:szCs w:val="21"/>
          <w:highlight w:val="none"/>
          <w14:textFill>
            <w14:solidFill>
              <w14:schemeClr w14:val="tx1"/>
            </w14:solidFill>
          </w14:textFill>
        </w:rPr>
        <w:t>7.3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进度款支付</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7.3.1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发包人应按照专用合同条款约定的进度款支付方式、支付条件和支付时间进行支付。</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7.3.2 </w:t>
      </w:r>
      <w:r>
        <w:rPr>
          <w:rFonts w:hint="eastAsia" w:ascii="宋体" w:hAnsi="宋体" w:cs="宋体"/>
          <w:color w:val="000000" w:themeColor="text1"/>
          <w:sz w:val="21"/>
          <w:szCs w:val="21"/>
          <w:highlight w:val="none"/>
          <w14:textFill>
            <w14:solidFill>
              <w14:schemeClr w14:val="tx1"/>
            </w14:solidFill>
          </w14:textFill>
        </w:rPr>
        <w:t>第</w:t>
      </w:r>
      <w:r>
        <w:rPr>
          <w:rFonts w:ascii="宋体" w:hAnsi="宋体" w:cs="宋体"/>
          <w:color w:val="000000" w:themeColor="text1"/>
          <w:sz w:val="21"/>
          <w:szCs w:val="21"/>
          <w:highlight w:val="none"/>
          <w14:textFill>
            <w14:solidFill>
              <w14:schemeClr w14:val="tx1"/>
            </w14:solidFill>
          </w14:textFill>
        </w:rPr>
        <w:t>7.1</w:t>
      </w:r>
      <w:r>
        <w:rPr>
          <w:rFonts w:hint="eastAsia" w:ascii="宋体" w:hAnsi="宋体" w:cs="宋体"/>
          <w:color w:val="000000" w:themeColor="text1"/>
          <w:sz w:val="21"/>
          <w:szCs w:val="21"/>
          <w:highlight w:val="none"/>
          <w14:textFill>
            <w14:solidFill>
              <w14:schemeClr w14:val="tx1"/>
            </w14:solidFill>
          </w14:textFill>
        </w:rPr>
        <w:t>款〔合同价款与调整〕和第</w:t>
      </w:r>
      <w:r>
        <w:rPr>
          <w:rFonts w:ascii="宋体" w:hAnsi="宋体" w:cs="宋体"/>
          <w:color w:val="000000" w:themeColor="text1"/>
          <w:sz w:val="21"/>
          <w:szCs w:val="21"/>
          <w:highlight w:val="none"/>
          <w14:textFill>
            <w14:solidFill>
              <w14:schemeClr w14:val="tx1"/>
            </w14:solidFill>
          </w14:textFill>
        </w:rPr>
        <w:t>8.2</w:t>
      </w:r>
      <w:r>
        <w:rPr>
          <w:rFonts w:hint="eastAsia" w:ascii="宋体" w:hAnsi="宋体" w:cs="宋体"/>
          <w:color w:val="000000" w:themeColor="text1"/>
          <w:sz w:val="21"/>
          <w:szCs w:val="21"/>
          <w:highlight w:val="none"/>
          <w14:textFill>
            <w14:solidFill>
              <w14:schemeClr w14:val="tx1"/>
            </w14:solidFill>
          </w14:textFill>
        </w:rPr>
        <w:t>款〔变更合同价款确定〕确定调整的合同价款及其他条款中约定的追加或减少的合同价款，应与进度款同期调整支付。</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7.3.3 </w:t>
      </w:r>
      <w:r>
        <w:rPr>
          <w:rFonts w:hint="eastAsia" w:ascii="宋体" w:hAnsi="宋体" w:cs="宋体"/>
          <w:color w:val="000000" w:themeColor="text1"/>
          <w:sz w:val="21"/>
          <w:szCs w:val="21"/>
          <w:highlight w:val="none"/>
          <w14:textFill>
            <w14:solidFill>
              <w14:schemeClr w14:val="tx1"/>
            </w14:solidFill>
          </w14:textFill>
        </w:rPr>
        <w:t>发包人超过约定的支付时间不支付进度款，勘察人可向发包人发出要求付款的通知，发包人收到勘察人通知后仍不能按要求付款，可与勘察人协商签订延期付款协议，经勘察人同意后可延期支付。</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7.3.4 </w:t>
      </w:r>
      <w:r>
        <w:rPr>
          <w:rFonts w:hint="eastAsia" w:ascii="宋体" w:hAnsi="宋体" w:cs="宋体"/>
          <w:color w:val="000000" w:themeColor="text1"/>
          <w:sz w:val="21"/>
          <w:szCs w:val="21"/>
          <w:highlight w:val="none"/>
          <w14:textFill>
            <w14:solidFill>
              <w14:schemeClr w14:val="tx1"/>
            </w14:solidFill>
          </w14:textFill>
        </w:rPr>
        <w:t>发包人不按合同约定支付进度款，双方又未达成延期付款协议，勘察人可停止工程勘察作业和后期服务，由发包人承担违约责任。</w:t>
      </w:r>
    </w:p>
    <w:p>
      <w:pPr>
        <w:pStyle w:val="6"/>
        <w:keepNext w:val="0"/>
        <w:keepLines w:val="0"/>
        <w:snapToGrid w:val="0"/>
        <w:spacing w:before="0" w:after="0" w:line="360" w:lineRule="auto"/>
        <w:ind w:firstLine="420" w:firstLineChars="200"/>
        <w:jc w:val="left"/>
        <w:rPr>
          <w:rFonts w:ascii="宋体" w:hAnsi="宋体"/>
          <w:color w:val="000000" w:themeColor="text1"/>
          <w:sz w:val="21"/>
          <w:szCs w:val="21"/>
          <w:highlight w:val="none"/>
          <w14:textFill>
            <w14:solidFill>
              <w14:schemeClr w14:val="tx1"/>
            </w14:solidFill>
          </w14:textFill>
        </w:rPr>
      </w:pPr>
      <w:bookmarkStart w:id="2314" w:name="_Toc106719429"/>
      <w:bookmarkStart w:id="2315" w:name="_Toc27839"/>
      <w:bookmarkStart w:id="2316" w:name="_Toc23316"/>
      <w:bookmarkStart w:id="2317" w:name="_Toc26144"/>
      <w:bookmarkStart w:id="2318" w:name="_Toc7505"/>
      <w:bookmarkStart w:id="2319" w:name="_Toc20644"/>
      <w:bookmarkStart w:id="2320" w:name="_Toc15793"/>
      <w:bookmarkStart w:id="2321" w:name="_Toc13516"/>
      <w:bookmarkStart w:id="2322" w:name="_Toc30524"/>
      <w:bookmarkStart w:id="2323" w:name="_Toc2597"/>
      <w:bookmarkStart w:id="2324" w:name="_Toc2444"/>
      <w:bookmarkStart w:id="2325" w:name="_Toc22669"/>
      <w:bookmarkStart w:id="2326" w:name="_Toc29220"/>
      <w:bookmarkStart w:id="2327" w:name="_Toc457826186"/>
      <w:r>
        <w:rPr>
          <w:rFonts w:ascii="宋体" w:hAnsi="宋体"/>
          <w:color w:val="000000" w:themeColor="text1"/>
          <w:sz w:val="21"/>
          <w:szCs w:val="21"/>
          <w:highlight w:val="none"/>
          <w14:textFill>
            <w14:solidFill>
              <w14:schemeClr w14:val="tx1"/>
            </w14:solidFill>
          </w14:textFill>
        </w:rPr>
        <w:t xml:space="preserve">7.4 </w:t>
      </w:r>
      <w:r>
        <w:rPr>
          <w:rFonts w:hint="eastAsia" w:ascii="宋体" w:hAnsi="宋体"/>
          <w:color w:val="000000" w:themeColor="text1"/>
          <w:sz w:val="21"/>
          <w:szCs w:val="21"/>
          <w:highlight w:val="none"/>
          <w14:textFill>
            <w14:solidFill>
              <w14:schemeClr w14:val="tx1"/>
            </w14:solidFill>
          </w14:textFill>
        </w:rPr>
        <w:t>合同价款结算</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除专用合同条款另有约定外，发包人应在勘察人提交成果资料后</w:t>
      </w: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天内，依据第</w:t>
      </w:r>
      <w:r>
        <w:rPr>
          <w:rFonts w:ascii="宋体" w:hAnsi="宋体" w:cs="宋体"/>
          <w:color w:val="000000" w:themeColor="text1"/>
          <w:sz w:val="21"/>
          <w:szCs w:val="21"/>
          <w:highlight w:val="none"/>
          <w14:textFill>
            <w14:solidFill>
              <w14:schemeClr w14:val="tx1"/>
            </w14:solidFill>
          </w14:textFill>
        </w:rPr>
        <w:t>7.1</w:t>
      </w:r>
      <w:r>
        <w:rPr>
          <w:rFonts w:hint="eastAsia" w:ascii="宋体" w:hAnsi="宋体" w:cs="宋体"/>
          <w:color w:val="000000" w:themeColor="text1"/>
          <w:sz w:val="21"/>
          <w:szCs w:val="21"/>
          <w:highlight w:val="none"/>
          <w14:textFill>
            <w14:solidFill>
              <w14:schemeClr w14:val="tx1"/>
            </w14:solidFill>
          </w14:textFill>
        </w:rPr>
        <w:t>款〔合同价款与调整〕和第</w:t>
      </w:r>
      <w:r>
        <w:rPr>
          <w:rFonts w:ascii="宋体" w:hAnsi="宋体" w:cs="宋体"/>
          <w:color w:val="000000" w:themeColor="text1"/>
          <w:sz w:val="21"/>
          <w:szCs w:val="21"/>
          <w:highlight w:val="none"/>
          <w14:textFill>
            <w14:solidFill>
              <w14:schemeClr w14:val="tx1"/>
            </w14:solidFill>
          </w14:textFill>
        </w:rPr>
        <w:t>8.2</w:t>
      </w:r>
      <w:r>
        <w:rPr>
          <w:rFonts w:hint="eastAsia" w:ascii="宋体" w:hAnsi="宋体" w:cs="宋体"/>
          <w:color w:val="000000" w:themeColor="text1"/>
          <w:sz w:val="21"/>
          <w:szCs w:val="21"/>
          <w:highlight w:val="none"/>
          <w14:textFill>
            <w14:solidFill>
              <w14:schemeClr w14:val="tx1"/>
            </w14:solidFill>
          </w14:textFill>
        </w:rPr>
        <w:t>款〔变更合同价款确定〕的约定进行最终合同价款确定，并予以全额支付。</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328" w:name="_Toc406150456"/>
      <w:bookmarkStart w:id="2329" w:name="_Toc457826187"/>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8</w:t>
      </w:r>
      <w:r>
        <w:rPr>
          <w:rFonts w:hint="eastAsia" w:ascii="黑体" w:hAnsi="黑体" w:eastAsia="黑体" w:cs="Times New Roman"/>
          <w:b w:val="0"/>
          <w:color w:val="000000" w:themeColor="text1"/>
          <w:highlight w:val="none"/>
          <w14:textFill>
            <w14:solidFill>
              <w14:schemeClr w14:val="tx1"/>
            </w14:solidFill>
          </w14:textFill>
        </w:rPr>
        <w:t>条 变更与调整</w:t>
      </w:r>
      <w:bookmarkEnd w:id="2328"/>
      <w:bookmarkEnd w:id="2329"/>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330" w:name="_Toc23890"/>
      <w:bookmarkStart w:id="2331" w:name="_Toc4663"/>
      <w:bookmarkStart w:id="2332" w:name="_Toc31950"/>
      <w:bookmarkStart w:id="2333" w:name="_Toc20438"/>
      <w:bookmarkStart w:id="2334" w:name="_Toc21200"/>
      <w:bookmarkStart w:id="2335" w:name="_Toc3802"/>
      <w:bookmarkStart w:id="2336" w:name="_Toc21184"/>
      <w:bookmarkStart w:id="2337" w:name="_Toc1311"/>
      <w:bookmarkStart w:id="2338" w:name="_Toc106719430"/>
      <w:bookmarkStart w:id="2339" w:name="_Toc457826188"/>
      <w:bookmarkStart w:id="2340" w:name="_Toc19736"/>
      <w:bookmarkStart w:id="2341" w:name="_Toc8264"/>
      <w:bookmarkStart w:id="2342" w:name="_Toc8915"/>
      <w:bookmarkStart w:id="2343" w:name="_Toc21793"/>
      <w:bookmarkStart w:id="2344" w:name="_Toc406150457"/>
      <w:r>
        <w:rPr>
          <w:rFonts w:ascii="宋体" w:hAnsi="宋体"/>
          <w:color w:val="000000" w:themeColor="text1"/>
          <w:sz w:val="21"/>
          <w:szCs w:val="21"/>
          <w:highlight w:val="none"/>
          <w14:textFill>
            <w14:solidFill>
              <w14:schemeClr w14:val="tx1"/>
            </w14:solidFill>
          </w14:textFill>
        </w:rPr>
        <w:t xml:space="preserve">8.1 </w:t>
      </w:r>
      <w:r>
        <w:rPr>
          <w:rFonts w:hint="eastAsia" w:ascii="宋体" w:hAnsi="宋体" w:cs="宋体"/>
          <w:color w:val="000000" w:themeColor="text1"/>
          <w:sz w:val="21"/>
          <w:szCs w:val="21"/>
          <w:highlight w:val="none"/>
          <w14:textFill>
            <w14:solidFill>
              <w14:schemeClr w14:val="tx1"/>
            </w14:solidFill>
          </w14:textFill>
        </w:rPr>
        <w:t>变更范围与确认</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8.1.1 </w:t>
      </w:r>
      <w:r>
        <w:rPr>
          <w:rFonts w:hint="eastAsia" w:ascii="宋体" w:hAnsi="宋体" w:cs="宋体"/>
          <w:color w:val="000000" w:themeColor="text1"/>
          <w:sz w:val="21"/>
          <w:szCs w:val="21"/>
          <w:highlight w:val="none"/>
          <w14:textFill>
            <w14:solidFill>
              <w14:schemeClr w14:val="tx1"/>
            </w14:solidFill>
          </w14:textFill>
        </w:rPr>
        <w:t>变更范围</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本合同变更是指在合同签订日后发生的以下变更：</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）法律法规及技术标准的变化引起的变更；</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）规划方案或设计条件的变化引起的变更；</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）不利物质条件引起的变更；</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）发包人的要求变化引起的变更；</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）因政府临时禁令引起的变更；</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）其他专用合同条款中约定的变更。</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8.1.2 </w:t>
      </w:r>
      <w:r>
        <w:rPr>
          <w:rFonts w:hint="eastAsia" w:ascii="宋体" w:hAnsi="宋体" w:cs="宋体"/>
          <w:color w:val="000000" w:themeColor="text1"/>
          <w:sz w:val="21"/>
          <w:szCs w:val="21"/>
          <w:highlight w:val="none"/>
          <w14:textFill>
            <w14:solidFill>
              <w14:schemeClr w14:val="tx1"/>
            </w14:solidFill>
          </w14:textFill>
        </w:rPr>
        <w:t>变更确认</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当引起变更的情形出现，除专用合同条款对期限另有约定外，勘察人应在</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天内就调整后的技术方案以书面形式向发包人提出变更要求，发包人应在收到报告后</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天内予以确认，逾期不予确认也不提出修改意见，视为同意变更。</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345" w:name="_Toc16841"/>
      <w:bookmarkStart w:id="2346" w:name="_Toc27073"/>
      <w:bookmarkStart w:id="2347" w:name="_Toc6934"/>
      <w:bookmarkStart w:id="2348" w:name="_Toc18721"/>
      <w:bookmarkStart w:id="2349" w:name="_Toc19504"/>
      <w:bookmarkStart w:id="2350" w:name="_Toc12114"/>
      <w:bookmarkStart w:id="2351" w:name="_Toc24469"/>
      <w:bookmarkStart w:id="2352" w:name="_Toc2571"/>
      <w:bookmarkStart w:id="2353" w:name="_Toc11793"/>
      <w:bookmarkStart w:id="2354" w:name="_Toc5183"/>
      <w:bookmarkStart w:id="2355" w:name="_Toc9009"/>
      <w:bookmarkStart w:id="2356" w:name="_Toc457826189"/>
      <w:bookmarkStart w:id="2357" w:name="_Toc106719431"/>
      <w:bookmarkStart w:id="2358" w:name="_Toc406150458"/>
      <w:bookmarkStart w:id="2359" w:name="_Toc2323"/>
      <w:r>
        <w:rPr>
          <w:rFonts w:ascii="宋体" w:hAnsi="宋体"/>
          <w:color w:val="000000" w:themeColor="text1"/>
          <w:sz w:val="21"/>
          <w:szCs w:val="21"/>
          <w:highlight w:val="none"/>
          <w14:textFill>
            <w14:solidFill>
              <w14:schemeClr w14:val="tx1"/>
            </w14:solidFill>
          </w14:textFill>
        </w:rPr>
        <w:t xml:space="preserve">8.2 </w:t>
      </w:r>
      <w:r>
        <w:rPr>
          <w:rFonts w:hint="eastAsia" w:ascii="宋体" w:hAnsi="宋体" w:cs="宋体"/>
          <w:color w:val="000000" w:themeColor="text1"/>
          <w:sz w:val="21"/>
          <w:szCs w:val="21"/>
          <w:highlight w:val="none"/>
          <w14:textFill>
            <w14:solidFill>
              <w14:schemeClr w14:val="tx1"/>
            </w14:solidFill>
          </w14:textFill>
        </w:rPr>
        <w:t>变更合同价款确定</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8.2.1 </w:t>
      </w:r>
      <w:r>
        <w:rPr>
          <w:rFonts w:hint="eastAsia" w:ascii="宋体" w:hAnsi="宋体" w:cs="宋体"/>
          <w:color w:val="000000" w:themeColor="text1"/>
          <w:sz w:val="21"/>
          <w:szCs w:val="21"/>
          <w:highlight w:val="none"/>
          <w14:textFill>
            <w14:solidFill>
              <w14:schemeClr w14:val="tx1"/>
            </w14:solidFill>
          </w14:textFill>
        </w:rPr>
        <w:t>变更合同价款按下列方法进行：</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）合同中已有适用于变更工程的价格，按合同已有的价格变更合同价款；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）合同中只有类似于变更工程的价格，可以参照类似价格变更合同价款；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）合同中没有适用或类似于变更工程的价格，由勘察人提出适当的变更价格，经发包人确认后执行。</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8.2.2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除专用合同条款对期限另有约定外，一方应在双方确定变更事项后</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天内向对方提出变更合同价款报告，否则视为该项变更不涉及合同价款的变更。</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8.2.3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除专用合同条款对期限另有约定外，一方应在收到对方提交的变更合同价款报告之日起</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天内予以确认。逾期无正当理由不予确认的，则视为该项变更合同价款报告已被确认。</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8.2.4 </w:t>
      </w:r>
      <w:r>
        <w:rPr>
          <w:rFonts w:hint="eastAsia" w:ascii="宋体" w:hAnsi="宋体" w:cs="宋体"/>
          <w:color w:val="000000" w:themeColor="text1"/>
          <w:sz w:val="21"/>
          <w:szCs w:val="21"/>
          <w:highlight w:val="none"/>
          <w14:textFill>
            <w14:solidFill>
              <w14:schemeClr w14:val="tx1"/>
            </w14:solidFill>
          </w14:textFill>
        </w:rPr>
        <w:t>一方不同意对方提出的合同价款变更，按第</w:t>
      </w:r>
      <w:r>
        <w:rPr>
          <w:rFonts w:ascii="宋体" w:hAnsi="宋体" w:cs="宋体"/>
          <w:color w:val="000000" w:themeColor="text1"/>
          <w:sz w:val="21"/>
          <w:szCs w:val="21"/>
          <w:highlight w:val="none"/>
          <w14:textFill>
            <w14:solidFill>
              <w14:schemeClr w14:val="tx1"/>
            </w14:solidFill>
          </w14:textFill>
        </w:rPr>
        <w:t>16</w:t>
      </w:r>
      <w:r>
        <w:rPr>
          <w:rFonts w:hint="eastAsia" w:ascii="宋体" w:hAnsi="宋体" w:cs="宋体"/>
          <w:color w:val="000000" w:themeColor="text1"/>
          <w:sz w:val="21"/>
          <w:szCs w:val="21"/>
          <w:highlight w:val="none"/>
          <w14:textFill>
            <w14:solidFill>
              <w14:schemeClr w14:val="tx1"/>
            </w14:solidFill>
          </w14:textFill>
        </w:rPr>
        <w:t>条〔争议解决〕的约定处理。</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8.2.5 </w:t>
      </w:r>
      <w:r>
        <w:rPr>
          <w:rFonts w:hint="eastAsia" w:ascii="宋体" w:hAnsi="宋体" w:cs="宋体"/>
          <w:color w:val="000000" w:themeColor="text1"/>
          <w:sz w:val="21"/>
          <w:szCs w:val="21"/>
          <w:highlight w:val="none"/>
          <w14:textFill>
            <w14:solidFill>
              <w14:schemeClr w14:val="tx1"/>
            </w14:solidFill>
          </w14:textFill>
        </w:rPr>
        <w:t>因勘察人自身原因导致的变更，勘察人无权要求追加合同价款。</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360" w:name="_Toc457826190"/>
      <w:bookmarkStart w:id="2361" w:name="_Toc406150459"/>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9</w:t>
      </w:r>
      <w:r>
        <w:rPr>
          <w:rFonts w:hint="eastAsia" w:ascii="黑体" w:hAnsi="黑体" w:eastAsia="黑体" w:cs="Times New Roman"/>
          <w:b w:val="0"/>
          <w:color w:val="000000" w:themeColor="text1"/>
          <w:highlight w:val="none"/>
          <w14:textFill>
            <w14:solidFill>
              <w14:schemeClr w14:val="tx1"/>
            </w14:solidFill>
          </w14:textFill>
        </w:rPr>
        <w:t>条 知识产权</w:t>
      </w:r>
      <w:bookmarkEnd w:id="2360"/>
      <w:bookmarkEnd w:id="2361"/>
    </w:p>
    <w:p>
      <w:pPr>
        <w:tabs>
          <w:tab w:val="left" w:pos="540"/>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tabs>
          <w:tab w:val="left" w:pos="720"/>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9.2</w:t>
      </w:r>
      <w:r>
        <w:rPr>
          <w:rFonts w:hint="eastAsia" w:ascii="宋体" w:hAnsi="宋体"/>
          <w:bCs/>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tabs>
          <w:tab w:val="left" w:pos="720"/>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9.3</w:t>
      </w:r>
      <w:r>
        <w:rPr>
          <w:rFonts w:hint="eastAsia" w:ascii="宋体" w:hAnsi="宋体"/>
          <w:bCs/>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tabs>
          <w:tab w:val="left" w:pos="720"/>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9.4</w:t>
      </w:r>
      <w:r>
        <w:rPr>
          <w:rFonts w:hint="eastAsia" w:ascii="宋体" w:hAnsi="宋体"/>
          <w:bCs/>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在不损害对方利益情况下，合同当事人双方均有权在申报奖项、制作宣传印刷品及出版物时使用有关项目的文字和图片材料。</w:t>
      </w:r>
    </w:p>
    <w:p>
      <w:pPr>
        <w:tabs>
          <w:tab w:val="left" w:pos="720"/>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362" w:name="_Toc406150461"/>
      <w:r>
        <w:rPr>
          <w:rFonts w:ascii="宋体" w:hAnsi="宋体"/>
          <w:bCs/>
          <w:color w:val="000000" w:themeColor="text1"/>
          <w:sz w:val="21"/>
          <w:szCs w:val="21"/>
          <w:highlight w:val="none"/>
          <w14:textFill>
            <w14:solidFill>
              <w14:schemeClr w14:val="tx1"/>
            </w14:solidFill>
          </w14:textFill>
        </w:rPr>
        <w:t>9.5</w:t>
      </w:r>
      <w:bookmarkEnd w:id="2362"/>
      <w:r>
        <w:rPr>
          <w:rFonts w:hint="eastAsia" w:ascii="宋体" w:hAnsi="宋体"/>
          <w:bCs/>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除专用合同条款另有约定外，勘察人在合同签订前和签订时已确定采用的专利、专有技术、技术秘密的使用费已包含在合同价款中。</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363" w:name="_Toc406150462"/>
      <w:bookmarkStart w:id="2364" w:name="_Toc457826191"/>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10</w:t>
      </w:r>
      <w:r>
        <w:rPr>
          <w:rFonts w:hint="eastAsia" w:ascii="黑体" w:hAnsi="黑体" w:eastAsia="黑体" w:cs="Times New Roman"/>
          <w:b w:val="0"/>
          <w:color w:val="000000" w:themeColor="text1"/>
          <w:highlight w:val="none"/>
          <w14:textFill>
            <w14:solidFill>
              <w14:schemeClr w14:val="tx1"/>
            </w14:solidFill>
          </w14:textFill>
        </w:rPr>
        <w:t>条 不可抗力</w:t>
      </w:r>
      <w:bookmarkEnd w:id="2363"/>
      <w:bookmarkEnd w:id="2364"/>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365" w:name="_Toc21607"/>
      <w:bookmarkStart w:id="2366" w:name="_Toc32495"/>
      <w:bookmarkStart w:id="2367" w:name="_Toc3343"/>
      <w:bookmarkStart w:id="2368" w:name="_Toc507"/>
      <w:bookmarkStart w:id="2369" w:name="_Toc29576"/>
      <w:bookmarkStart w:id="2370" w:name="_Toc2574"/>
      <w:bookmarkStart w:id="2371" w:name="_Toc406150463"/>
      <w:bookmarkStart w:id="2372" w:name="_Toc27786"/>
      <w:bookmarkStart w:id="2373" w:name="_Toc15336"/>
      <w:bookmarkStart w:id="2374" w:name="_Toc28165"/>
      <w:bookmarkStart w:id="2375" w:name="_Toc2479"/>
      <w:bookmarkStart w:id="2376" w:name="_Toc25206"/>
      <w:bookmarkStart w:id="2377" w:name="_Toc457826192"/>
      <w:bookmarkStart w:id="2378" w:name="_Toc6137"/>
      <w:bookmarkStart w:id="2379" w:name="_Toc106719432"/>
      <w:r>
        <w:rPr>
          <w:rFonts w:ascii="宋体" w:hAnsi="宋体"/>
          <w:color w:val="000000" w:themeColor="text1"/>
          <w:sz w:val="21"/>
          <w:szCs w:val="21"/>
          <w:highlight w:val="none"/>
          <w14:textFill>
            <w14:solidFill>
              <w14:schemeClr w14:val="tx1"/>
            </w14:solidFill>
          </w14:textFill>
        </w:rPr>
        <w:t xml:space="preserve">10.1 </w:t>
      </w:r>
      <w:r>
        <w:rPr>
          <w:rFonts w:hint="eastAsia" w:ascii="宋体" w:hAnsi="宋体" w:cs="宋体"/>
          <w:color w:val="000000" w:themeColor="text1"/>
          <w:sz w:val="21"/>
          <w:szCs w:val="21"/>
          <w:highlight w:val="none"/>
          <w14:textFill>
            <w14:solidFill>
              <w14:schemeClr w14:val="tx1"/>
            </w14:solidFill>
          </w14:textFill>
        </w:rPr>
        <w:t>不可抗力的确认</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pPr>
        <w:tabs>
          <w:tab w:val="left" w:pos="720"/>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10.1.1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不可抗力是在订立合同时不可合理预见，在履行合同中不可避免的发生且不能克服的自然灾害和社会突发事件，如地震、海啸、瘟疫、洪水、骚乱、暴动、战争以及专用条款约定的其他自然灾害和社会突发事件。</w:t>
      </w:r>
    </w:p>
    <w:p>
      <w:pPr>
        <w:tabs>
          <w:tab w:val="left" w:pos="720"/>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10.1.2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不可抗力发生后，发包人和勘察人应收集不可抗力发生及造成损失的证据。合同当事双方对是否属于不可抗力或其损失发生争议时，按第</w:t>
      </w:r>
      <w:r>
        <w:rPr>
          <w:rFonts w:ascii="宋体" w:hAnsi="宋体" w:cs="宋体"/>
          <w:color w:val="000000" w:themeColor="text1"/>
          <w:sz w:val="21"/>
          <w:szCs w:val="21"/>
          <w:highlight w:val="none"/>
          <w14:textFill>
            <w14:solidFill>
              <w14:schemeClr w14:val="tx1"/>
            </w14:solidFill>
          </w14:textFill>
        </w:rPr>
        <w:t>16</w:t>
      </w:r>
      <w:r>
        <w:rPr>
          <w:rFonts w:hint="eastAsia" w:ascii="宋体" w:hAnsi="宋体" w:cs="宋体"/>
          <w:color w:val="000000" w:themeColor="text1"/>
          <w:sz w:val="21"/>
          <w:szCs w:val="21"/>
          <w:highlight w:val="none"/>
          <w14:textFill>
            <w14:solidFill>
              <w14:schemeClr w14:val="tx1"/>
            </w14:solidFill>
          </w14:textFill>
        </w:rPr>
        <w:t>条〔争议解决〕的约定处理。</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380" w:name="_Toc13829"/>
      <w:bookmarkStart w:id="2381" w:name="_Toc2747"/>
      <w:bookmarkStart w:id="2382" w:name="_Toc3144"/>
      <w:bookmarkStart w:id="2383" w:name="_Toc8566"/>
      <w:bookmarkStart w:id="2384" w:name="_Toc13344"/>
      <w:bookmarkStart w:id="2385" w:name="_Toc24915"/>
      <w:bookmarkStart w:id="2386" w:name="_Toc522"/>
      <w:bookmarkStart w:id="2387" w:name="_Toc20047"/>
      <w:bookmarkStart w:id="2388" w:name="_Toc457826193"/>
      <w:bookmarkStart w:id="2389" w:name="_Toc4111"/>
      <w:bookmarkStart w:id="2390" w:name="_Toc6353"/>
      <w:bookmarkStart w:id="2391" w:name="_Toc3707"/>
      <w:bookmarkStart w:id="2392" w:name="_Toc406150464"/>
      <w:bookmarkStart w:id="2393" w:name="_Toc106719433"/>
      <w:bookmarkStart w:id="2394" w:name="_Toc31552"/>
      <w:r>
        <w:rPr>
          <w:rFonts w:ascii="宋体" w:hAnsi="宋体"/>
          <w:color w:val="000000" w:themeColor="text1"/>
          <w:sz w:val="21"/>
          <w:szCs w:val="21"/>
          <w:highlight w:val="none"/>
          <w14:textFill>
            <w14:solidFill>
              <w14:schemeClr w14:val="tx1"/>
            </w14:solidFill>
          </w14:textFill>
        </w:rPr>
        <w:t xml:space="preserve">10.2 </w:t>
      </w:r>
      <w:r>
        <w:rPr>
          <w:rFonts w:hint="eastAsia" w:ascii="宋体" w:hAnsi="宋体" w:cs="宋体"/>
          <w:color w:val="000000" w:themeColor="text1"/>
          <w:sz w:val="21"/>
          <w:szCs w:val="21"/>
          <w:highlight w:val="none"/>
          <w14:textFill>
            <w14:solidFill>
              <w14:schemeClr w14:val="tx1"/>
            </w14:solidFill>
          </w14:textFill>
        </w:rPr>
        <w:t>不可抗力的通知</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10.2.1 </w:t>
      </w:r>
      <w:r>
        <w:rPr>
          <w:rFonts w:hint="eastAsia" w:ascii="宋体" w:hAnsi="宋体"/>
          <w:color w:val="000000" w:themeColor="text1"/>
          <w:sz w:val="21"/>
          <w:szCs w:val="21"/>
          <w:highlight w:val="none"/>
          <w14:textFill>
            <w14:solidFill>
              <w14:schemeClr w14:val="tx1"/>
            </w14:solidFill>
          </w14:textFill>
        </w:rPr>
        <w:t>遇有</w:t>
      </w:r>
      <w:r>
        <w:rPr>
          <w:rFonts w:hint="eastAsia" w:ascii="宋体" w:hAnsi="宋体" w:cs="宋体"/>
          <w:color w:val="000000" w:themeColor="text1"/>
          <w:sz w:val="21"/>
          <w:szCs w:val="21"/>
          <w:highlight w:val="none"/>
          <w14:textFill>
            <w14:solidFill>
              <w14:schemeClr w14:val="tx1"/>
            </w14:solidFill>
          </w14:textFill>
        </w:rPr>
        <w:t>不可抗力发生时，发包人和勘察人应立即通知对方，双方应共同采取措施减少损失。除专用合同条款对期限另有约定外，不可抗力持续发生，勘察人应每隔</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天向发包人报告一次受害损失情况。</w:t>
      </w:r>
    </w:p>
    <w:p>
      <w:pPr>
        <w:tabs>
          <w:tab w:val="left" w:pos="162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10.2.2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除专用合同条款对期限另有约定外，不可抗力结束后</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天内，勘察人向发包人通报受害损失情况及预计清理和修复的费用；不可抗力结束后</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天内，勘察人向发包人提交清理和修复费用的正式报告及有关资料。</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395" w:name="_Toc14778"/>
      <w:bookmarkStart w:id="2396" w:name="_Toc11183"/>
      <w:bookmarkStart w:id="2397" w:name="_Toc406150465"/>
      <w:bookmarkStart w:id="2398" w:name="_Toc5891"/>
      <w:bookmarkStart w:id="2399" w:name="_Toc6229"/>
      <w:bookmarkStart w:id="2400" w:name="_Toc13133"/>
      <w:bookmarkStart w:id="2401" w:name="_Toc457826194"/>
      <w:bookmarkStart w:id="2402" w:name="_Toc32520"/>
      <w:bookmarkStart w:id="2403" w:name="_Toc20310"/>
      <w:bookmarkStart w:id="2404" w:name="_Toc14724"/>
      <w:bookmarkStart w:id="2405" w:name="_Toc29781"/>
      <w:bookmarkStart w:id="2406" w:name="_Toc106719434"/>
      <w:bookmarkStart w:id="2407" w:name="_Toc15029"/>
      <w:bookmarkStart w:id="2408" w:name="_Toc23498"/>
      <w:bookmarkStart w:id="2409" w:name="_Toc4175"/>
      <w:r>
        <w:rPr>
          <w:rFonts w:ascii="宋体" w:hAnsi="宋体"/>
          <w:color w:val="000000" w:themeColor="text1"/>
          <w:sz w:val="21"/>
          <w:szCs w:val="21"/>
          <w:highlight w:val="none"/>
          <w14:textFill>
            <w14:solidFill>
              <w14:schemeClr w14:val="tx1"/>
            </w14:solidFill>
          </w14:textFill>
        </w:rPr>
        <w:t xml:space="preserve">10.3 </w:t>
      </w:r>
      <w:r>
        <w:rPr>
          <w:rFonts w:hint="eastAsia" w:ascii="宋体" w:hAnsi="宋体" w:cs="宋体"/>
          <w:color w:val="000000" w:themeColor="text1"/>
          <w:sz w:val="21"/>
          <w:szCs w:val="21"/>
          <w:highlight w:val="none"/>
          <w14:textFill>
            <w14:solidFill>
              <w14:schemeClr w14:val="tx1"/>
            </w14:solidFill>
          </w14:textFill>
        </w:rPr>
        <w:t>不可抗力后果的承担</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10.3.1 </w:t>
      </w:r>
      <w:r>
        <w:rPr>
          <w:rFonts w:hint="eastAsia" w:ascii="宋体" w:hAnsi="宋体" w:cs="宋体"/>
          <w:color w:val="000000" w:themeColor="text1"/>
          <w:sz w:val="21"/>
          <w:szCs w:val="21"/>
          <w:highlight w:val="none"/>
          <w14:textFill>
            <w14:solidFill>
              <w14:schemeClr w14:val="tx1"/>
            </w14:solidFill>
          </w14:textFill>
        </w:rPr>
        <w:t>因不可抗力发生的费用及延误的工期由双方按以下方法分别承担：</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）发包人和勘察人人员伤亡由合同当事人双方自行负责，并承担相应费用；</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）勘察人机械设备损坏及停工损失，由勘察人承担；</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）停工期间，勘察人应发包人要求留在作业场地的管理人员及保卫人员的费用由发包人承担；</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）作业场地发生的清理、修复费用由发包人承担；</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）延误的工期相应顺延。</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10.3.2 </w:t>
      </w:r>
      <w:r>
        <w:rPr>
          <w:rFonts w:hint="eastAsia" w:ascii="宋体" w:hAnsi="宋体" w:cs="宋体"/>
          <w:color w:val="000000" w:themeColor="text1"/>
          <w:sz w:val="21"/>
          <w:szCs w:val="21"/>
          <w:highlight w:val="none"/>
          <w14:textFill>
            <w14:solidFill>
              <w14:schemeClr w14:val="tx1"/>
            </w14:solidFill>
          </w14:textFill>
        </w:rPr>
        <w:t>因合同一方迟延履行合同后发生不可抗力的，不能免除迟延履行方的相应责任。</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410" w:name="_Toc406150466"/>
      <w:bookmarkStart w:id="2411" w:name="_Toc457826195"/>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11</w:t>
      </w:r>
      <w:r>
        <w:rPr>
          <w:rFonts w:hint="eastAsia" w:ascii="黑体" w:hAnsi="黑体" w:eastAsia="黑体" w:cs="Times New Roman"/>
          <w:b w:val="0"/>
          <w:color w:val="000000" w:themeColor="text1"/>
          <w:highlight w:val="none"/>
          <w14:textFill>
            <w14:solidFill>
              <w14:schemeClr w14:val="tx1"/>
            </w14:solidFill>
          </w14:textFill>
        </w:rPr>
        <w:t>条 合同生效与终止</w:t>
      </w:r>
      <w:bookmarkEnd w:id="2410"/>
      <w:bookmarkEnd w:id="2411"/>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11.1 </w:t>
      </w:r>
      <w:r>
        <w:rPr>
          <w:rFonts w:hint="eastAsia" w:ascii="宋体" w:hAnsi="宋体" w:cs="宋体"/>
          <w:color w:val="000000" w:themeColor="text1"/>
          <w:sz w:val="21"/>
          <w:szCs w:val="21"/>
          <w:highlight w:val="none"/>
          <w14:textFill>
            <w14:solidFill>
              <w14:schemeClr w14:val="tx1"/>
            </w14:solidFill>
          </w14:textFill>
        </w:rPr>
        <w:t>双方在合同协议书中约定合同生效方式。</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11.2 </w:t>
      </w:r>
      <w:r>
        <w:rPr>
          <w:rFonts w:hint="eastAsia" w:ascii="宋体" w:hAnsi="宋体" w:cs="宋体"/>
          <w:color w:val="000000" w:themeColor="text1"/>
          <w:sz w:val="21"/>
          <w:szCs w:val="21"/>
          <w:highlight w:val="none"/>
          <w14:textFill>
            <w14:solidFill>
              <w14:schemeClr w14:val="tx1"/>
            </w14:solidFill>
          </w14:textFill>
        </w:rPr>
        <w:t>发包人、勘察人履行合同全部义务，合同价款支付完毕，本合同即告终止。</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11.3 </w:t>
      </w:r>
      <w:r>
        <w:rPr>
          <w:rFonts w:hint="eastAsia" w:ascii="宋体" w:hAnsi="宋体" w:cs="宋体"/>
          <w:color w:val="000000" w:themeColor="text1"/>
          <w:sz w:val="21"/>
          <w:szCs w:val="21"/>
          <w:highlight w:val="none"/>
          <w14:textFill>
            <w14:solidFill>
              <w14:schemeClr w14:val="tx1"/>
            </w14:solidFill>
          </w14:textFill>
        </w:rPr>
        <w:t>合同的权利义务终止后，合同当事人应遵循诚实信用原则，履行通知、协助和保密等义务。</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412" w:name="_Toc457826196"/>
      <w:bookmarkStart w:id="2413" w:name="_Toc406150467"/>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12</w:t>
      </w:r>
      <w:r>
        <w:rPr>
          <w:rFonts w:hint="eastAsia" w:ascii="黑体" w:hAnsi="黑体" w:eastAsia="黑体" w:cs="Times New Roman"/>
          <w:b w:val="0"/>
          <w:color w:val="000000" w:themeColor="text1"/>
          <w:highlight w:val="none"/>
          <w14:textFill>
            <w14:solidFill>
              <w14:schemeClr w14:val="tx1"/>
            </w14:solidFill>
          </w14:textFill>
        </w:rPr>
        <w:t>条 合同解除</w:t>
      </w:r>
      <w:bookmarkEnd w:id="2412"/>
      <w:bookmarkEnd w:id="2413"/>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12.1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有下列情形之一的，发包人、勘察人可以解除合同：</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）因不可抗力致使合同无法履行；</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）发生未按第</w:t>
      </w:r>
      <w:r>
        <w:rPr>
          <w:rFonts w:ascii="宋体" w:hAnsi="宋体" w:cs="宋体"/>
          <w:color w:val="000000" w:themeColor="text1"/>
          <w:sz w:val="21"/>
          <w:szCs w:val="21"/>
          <w:highlight w:val="none"/>
          <w14:textFill>
            <w14:solidFill>
              <w14:schemeClr w14:val="tx1"/>
            </w14:solidFill>
          </w14:textFill>
        </w:rPr>
        <w:t>7.2</w:t>
      </w:r>
      <w:r>
        <w:rPr>
          <w:rFonts w:hint="eastAsia" w:ascii="宋体" w:hAnsi="宋体" w:cs="宋体"/>
          <w:color w:val="000000" w:themeColor="text1"/>
          <w:sz w:val="21"/>
          <w:szCs w:val="21"/>
          <w:highlight w:val="none"/>
          <w14:textFill>
            <w14:solidFill>
              <w14:schemeClr w14:val="tx1"/>
            </w14:solidFill>
          </w14:textFill>
        </w:rPr>
        <w:t>款〔定金或预付款〕或第</w:t>
      </w:r>
      <w:r>
        <w:rPr>
          <w:rFonts w:ascii="宋体" w:hAnsi="宋体" w:cs="宋体"/>
          <w:color w:val="000000" w:themeColor="text1"/>
          <w:sz w:val="21"/>
          <w:szCs w:val="21"/>
          <w:highlight w:val="none"/>
          <w14:textFill>
            <w14:solidFill>
              <w14:schemeClr w14:val="tx1"/>
            </w14:solidFill>
          </w14:textFill>
        </w:rPr>
        <w:t>7.3</w:t>
      </w:r>
      <w:r>
        <w:rPr>
          <w:rFonts w:hint="eastAsia" w:ascii="宋体" w:hAnsi="宋体" w:cs="宋体"/>
          <w:color w:val="000000" w:themeColor="text1"/>
          <w:sz w:val="21"/>
          <w:szCs w:val="21"/>
          <w:highlight w:val="none"/>
          <w14:textFill>
            <w14:solidFill>
              <w14:schemeClr w14:val="tx1"/>
            </w14:solidFill>
          </w14:textFill>
        </w:rPr>
        <w:t>款〔进度款支付〕约定按时支付合同价款的情况，停止作业超过</w:t>
      </w: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天，勘察人有权解除合同，由发包人承担违约责任；</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）勘察人将其承包的全部工程转包给他人或者肢解以后以分包的名义分别转包给他人，发包人有权解除合同，由勘察人承担违约责任；</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）发包人和勘察人协商一致可以解除合同的其他情形。</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12.2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一方依据第</w:t>
      </w:r>
      <w:r>
        <w:rPr>
          <w:rFonts w:ascii="宋体" w:hAnsi="宋体" w:cs="宋体"/>
          <w:color w:val="000000" w:themeColor="text1"/>
          <w:sz w:val="21"/>
          <w:szCs w:val="21"/>
          <w:highlight w:val="none"/>
          <w14:textFill>
            <w14:solidFill>
              <w14:schemeClr w14:val="tx1"/>
            </w14:solidFill>
          </w14:textFill>
        </w:rPr>
        <w:t>12.1</w:t>
      </w:r>
      <w:r>
        <w:rPr>
          <w:rFonts w:hint="eastAsia" w:ascii="宋体" w:hAnsi="宋体" w:cs="宋体"/>
          <w:color w:val="000000" w:themeColor="text1"/>
          <w:sz w:val="21"/>
          <w:szCs w:val="21"/>
          <w:highlight w:val="none"/>
          <w14:textFill>
            <w14:solidFill>
              <w14:schemeClr w14:val="tx1"/>
            </w14:solidFill>
          </w14:textFill>
        </w:rPr>
        <w:t>款约定要求解除合同的，应以书面形式向对方发出解除合同的通知，并在发出通知前不少于</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天告知对方，通知到达对方时合同解除。对解除合同有争议的，按第</w:t>
      </w:r>
      <w:r>
        <w:rPr>
          <w:rFonts w:ascii="宋体" w:hAnsi="宋体" w:cs="宋体"/>
          <w:color w:val="000000" w:themeColor="text1"/>
          <w:sz w:val="21"/>
          <w:szCs w:val="21"/>
          <w:highlight w:val="none"/>
          <w14:textFill>
            <w14:solidFill>
              <w14:schemeClr w14:val="tx1"/>
            </w14:solidFill>
          </w14:textFill>
        </w:rPr>
        <w:t>16</w:t>
      </w:r>
      <w:r>
        <w:rPr>
          <w:rFonts w:hint="eastAsia" w:ascii="宋体" w:hAnsi="宋体" w:cs="宋体"/>
          <w:color w:val="000000" w:themeColor="text1"/>
          <w:sz w:val="21"/>
          <w:szCs w:val="21"/>
          <w:highlight w:val="none"/>
          <w14:textFill>
            <w14:solidFill>
              <w14:schemeClr w14:val="tx1"/>
            </w14:solidFill>
          </w14:textFill>
        </w:rPr>
        <w:t>条〔争议解决〕的约定处理。</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12.3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因不可抗力致使合同无法履行时，发包人应按合同约定向勘察人支付已完工作量相对应比例的合同价款后解除合同。</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12.4</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合同解除后，勘察人应按发包人要求将自有设备和人员撤出作业场地，发包人应为勘察人撤出提供必要条件。</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414" w:name="_Toc457826197"/>
      <w:bookmarkStart w:id="2415" w:name="_Toc406150468"/>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13</w:t>
      </w:r>
      <w:r>
        <w:rPr>
          <w:rFonts w:hint="eastAsia" w:ascii="黑体" w:hAnsi="黑体" w:eastAsia="黑体" w:cs="Times New Roman"/>
          <w:b w:val="0"/>
          <w:color w:val="000000" w:themeColor="text1"/>
          <w:highlight w:val="none"/>
          <w14:textFill>
            <w14:solidFill>
              <w14:schemeClr w14:val="tx1"/>
            </w14:solidFill>
          </w14:textFill>
        </w:rPr>
        <w:t>条 责任与保险</w:t>
      </w:r>
      <w:bookmarkEnd w:id="2414"/>
      <w:bookmarkEnd w:id="2415"/>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勘察人应运用一切合理的专业技术和经验，按照公认的职业标准尽其全部职责和谨慎、勤勉地履行其在本合同项下的责任和义务。</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合同当事人可按照法律法规的要求在专用合同条款中约定履行本合同所需要的工程勘察责任保险，并使其于合同责任期内保持有效。</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勘察人应依照法律法规的规定为勘察作业人员参加工伤保险、人身意外伤害险和其他保险。</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416" w:name="_Toc406150469"/>
      <w:bookmarkStart w:id="2417" w:name="_Toc457826198"/>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14</w:t>
      </w:r>
      <w:r>
        <w:rPr>
          <w:rFonts w:hint="eastAsia" w:ascii="黑体" w:hAnsi="黑体" w:eastAsia="黑体" w:cs="Times New Roman"/>
          <w:b w:val="0"/>
          <w:color w:val="000000" w:themeColor="text1"/>
          <w:highlight w:val="none"/>
          <w14:textFill>
            <w14:solidFill>
              <w14:schemeClr w14:val="tx1"/>
            </w14:solidFill>
          </w14:textFill>
        </w:rPr>
        <w:t>条 违约</w:t>
      </w:r>
      <w:bookmarkEnd w:id="2416"/>
      <w:bookmarkEnd w:id="2417"/>
    </w:p>
    <w:p>
      <w:pPr>
        <w:pStyle w:val="6"/>
        <w:keepNext w:val="0"/>
        <w:keepLines w:val="0"/>
        <w:tabs>
          <w:tab w:val="left" w:pos="180"/>
          <w:tab w:val="left" w:pos="36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418" w:name="_Toc26087"/>
      <w:bookmarkStart w:id="2419" w:name="_Toc24578"/>
      <w:bookmarkStart w:id="2420" w:name="_Toc685"/>
      <w:bookmarkStart w:id="2421" w:name="_Toc28270"/>
      <w:bookmarkStart w:id="2422" w:name="_Toc10408"/>
      <w:bookmarkStart w:id="2423" w:name="_Toc28148"/>
      <w:bookmarkStart w:id="2424" w:name="_Toc91"/>
      <w:bookmarkStart w:id="2425" w:name="_Toc28304"/>
      <w:bookmarkStart w:id="2426" w:name="_Toc1905"/>
      <w:bookmarkStart w:id="2427" w:name="_Toc28282"/>
      <w:bookmarkStart w:id="2428" w:name="_Toc25663"/>
      <w:bookmarkStart w:id="2429" w:name="_Toc406150470"/>
      <w:bookmarkStart w:id="2430" w:name="_Toc16253"/>
      <w:bookmarkStart w:id="2431" w:name="_Toc457826199"/>
      <w:bookmarkStart w:id="2432" w:name="_Toc106719435"/>
      <w:r>
        <w:rPr>
          <w:rFonts w:ascii="宋体" w:hAnsi="宋体"/>
          <w:color w:val="000000" w:themeColor="text1"/>
          <w:sz w:val="21"/>
          <w:szCs w:val="21"/>
          <w:highlight w:val="none"/>
          <w14:textFill>
            <w14:solidFill>
              <w14:schemeClr w14:val="tx1"/>
            </w14:solidFill>
          </w14:textFill>
        </w:rPr>
        <w:t>14.1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发包人违约</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14.1.1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发包人违约情形</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）合同生效后，发包人无故要求终止或解除合同；</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）发包人未按第</w:t>
      </w:r>
      <w:r>
        <w:rPr>
          <w:rFonts w:ascii="宋体" w:hAnsi="宋体" w:cs="宋体"/>
          <w:color w:val="000000" w:themeColor="text1"/>
          <w:sz w:val="21"/>
          <w:szCs w:val="21"/>
          <w:highlight w:val="none"/>
          <w14:textFill>
            <w14:solidFill>
              <w14:schemeClr w14:val="tx1"/>
            </w14:solidFill>
          </w14:textFill>
        </w:rPr>
        <w:t>7.2</w:t>
      </w:r>
      <w:r>
        <w:rPr>
          <w:rFonts w:hint="eastAsia" w:ascii="宋体" w:hAnsi="宋体" w:cs="宋体"/>
          <w:color w:val="000000" w:themeColor="text1"/>
          <w:sz w:val="21"/>
          <w:szCs w:val="21"/>
          <w:highlight w:val="none"/>
          <w14:textFill>
            <w14:solidFill>
              <w14:schemeClr w14:val="tx1"/>
            </w14:solidFill>
          </w14:textFill>
        </w:rPr>
        <w:t>款〔定金或预付款〕约定按时支付定金或预付款；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）发包人未按第</w:t>
      </w:r>
      <w:r>
        <w:rPr>
          <w:rFonts w:ascii="宋体" w:hAnsi="宋体" w:cs="宋体"/>
          <w:color w:val="000000" w:themeColor="text1"/>
          <w:sz w:val="21"/>
          <w:szCs w:val="21"/>
          <w:highlight w:val="none"/>
          <w14:textFill>
            <w14:solidFill>
              <w14:schemeClr w14:val="tx1"/>
            </w14:solidFill>
          </w14:textFill>
        </w:rPr>
        <w:t>7.3</w:t>
      </w:r>
      <w:r>
        <w:rPr>
          <w:rFonts w:hint="eastAsia" w:ascii="宋体" w:hAnsi="宋体" w:cs="宋体"/>
          <w:color w:val="000000" w:themeColor="text1"/>
          <w:sz w:val="21"/>
          <w:szCs w:val="21"/>
          <w:highlight w:val="none"/>
          <w14:textFill>
            <w14:solidFill>
              <w14:schemeClr w14:val="tx1"/>
            </w14:solidFill>
          </w14:textFill>
        </w:rPr>
        <w:t>款〔进度款支付〕约定按时支付进度款；</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）发包人不履行合同义务或不按合同约定履行义务的其他情形。</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14.1.2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发包人违约责任</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合同生效后，发包人无故要求终止或解除合同，勘察人未开始勘察工作的，不退还发包人已付的定金或发包人按照专用合同条款约定向勘察人支付违约金；勘察人已开始勘察工作的，若完成计划工作量不足</w:t>
      </w:r>
      <w:r>
        <w:rPr>
          <w:rFonts w:ascii="宋体" w:hAnsi="宋体" w:cs="宋体"/>
          <w:color w:val="000000" w:themeColor="text1"/>
          <w:sz w:val="21"/>
          <w:szCs w:val="21"/>
          <w:highlight w:val="none"/>
          <w14:textFill>
            <w14:solidFill>
              <w14:schemeClr w14:val="tx1"/>
            </w14:solidFill>
          </w14:textFill>
        </w:rPr>
        <w:t>50%</w:t>
      </w:r>
      <w:r>
        <w:rPr>
          <w:rFonts w:hint="eastAsia" w:ascii="宋体" w:hAnsi="宋体" w:cs="宋体"/>
          <w:color w:val="000000" w:themeColor="text1"/>
          <w:sz w:val="21"/>
          <w:szCs w:val="21"/>
          <w:highlight w:val="none"/>
          <w14:textFill>
            <w14:solidFill>
              <w14:schemeClr w14:val="tx1"/>
            </w14:solidFill>
          </w14:textFill>
        </w:rPr>
        <w:t>的，发包人应支付勘察人合同价款的</w:t>
      </w:r>
      <w:r>
        <w:rPr>
          <w:rFonts w:ascii="宋体" w:hAnsi="宋体" w:cs="宋体"/>
          <w:color w:val="000000" w:themeColor="text1"/>
          <w:sz w:val="21"/>
          <w:szCs w:val="21"/>
          <w:highlight w:val="none"/>
          <w14:textFill>
            <w14:solidFill>
              <w14:schemeClr w14:val="tx1"/>
            </w14:solidFill>
          </w14:textFill>
        </w:rPr>
        <w:t>50%;</w:t>
      </w:r>
      <w:r>
        <w:rPr>
          <w:rFonts w:hint="eastAsia" w:ascii="宋体" w:hAnsi="宋体" w:cs="宋体"/>
          <w:color w:val="000000" w:themeColor="text1"/>
          <w:sz w:val="21"/>
          <w:szCs w:val="21"/>
          <w:highlight w:val="none"/>
          <w14:textFill>
            <w14:solidFill>
              <w14:schemeClr w14:val="tx1"/>
            </w14:solidFill>
          </w14:textFill>
        </w:rPr>
        <w:t>完成计划工作量超过</w:t>
      </w:r>
      <w:r>
        <w:rPr>
          <w:rFonts w:ascii="宋体" w:hAnsi="宋体" w:cs="宋体"/>
          <w:color w:val="000000" w:themeColor="text1"/>
          <w:sz w:val="21"/>
          <w:szCs w:val="21"/>
          <w:highlight w:val="none"/>
          <w14:textFill>
            <w14:solidFill>
              <w14:schemeClr w14:val="tx1"/>
            </w14:solidFill>
          </w14:textFill>
        </w:rPr>
        <w:t>50%</w:t>
      </w:r>
      <w:r>
        <w:rPr>
          <w:rFonts w:hint="eastAsia" w:ascii="宋体" w:hAnsi="宋体" w:cs="宋体"/>
          <w:color w:val="000000" w:themeColor="text1"/>
          <w:sz w:val="21"/>
          <w:szCs w:val="21"/>
          <w:highlight w:val="none"/>
          <w14:textFill>
            <w14:solidFill>
              <w14:schemeClr w14:val="tx1"/>
            </w14:solidFill>
          </w14:textFill>
        </w:rPr>
        <w:t>的，发包人应支付勘察人合同价款的</w:t>
      </w:r>
      <w:r>
        <w:rPr>
          <w:rFonts w:ascii="宋体" w:hAnsi="宋体" w:cs="宋体"/>
          <w:color w:val="000000" w:themeColor="text1"/>
          <w:sz w:val="21"/>
          <w:szCs w:val="21"/>
          <w:highlight w:val="none"/>
          <w14:textFill>
            <w14:solidFill>
              <w14:schemeClr w14:val="tx1"/>
            </w14:solidFill>
          </w14:textFill>
        </w:rPr>
        <w:t>100%</w:t>
      </w:r>
      <w:r>
        <w:rPr>
          <w:rFonts w:hint="eastAsia" w:ascii="宋体" w:hAnsi="宋体" w:cs="宋体"/>
          <w:color w:val="000000" w:themeColor="text1"/>
          <w:sz w:val="21"/>
          <w:szCs w:val="21"/>
          <w:highlight w:val="none"/>
          <w14:textFill>
            <w14:solidFill>
              <w14:schemeClr w14:val="tx1"/>
            </w14:solidFill>
          </w14:textFill>
        </w:rPr>
        <w:t>。</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433" w:name="_Toc6492"/>
      <w:bookmarkStart w:id="2434" w:name="_Toc18040"/>
      <w:bookmarkStart w:id="2435" w:name="_Toc30764"/>
      <w:bookmarkStart w:id="2436" w:name="_Toc12103"/>
      <w:bookmarkStart w:id="2437" w:name="_Toc457826200"/>
      <w:bookmarkStart w:id="2438" w:name="_Toc6188"/>
      <w:bookmarkStart w:id="2439" w:name="_Toc27037"/>
      <w:bookmarkStart w:id="2440" w:name="_Toc29349"/>
      <w:bookmarkStart w:id="2441" w:name="_Toc2308"/>
      <w:bookmarkStart w:id="2442" w:name="_Toc13226"/>
      <w:bookmarkStart w:id="2443" w:name="_Toc29430"/>
      <w:bookmarkStart w:id="2444" w:name="_Toc8992"/>
      <w:bookmarkStart w:id="2445" w:name="_Toc18489"/>
      <w:bookmarkStart w:id="2446" w:name="_Toc406150471"/>
      <w:bookmarkStart w:id="2447" w:name="_Toc106719436"/>
      <w:r>
        <w:rPr>
          <w:rFonts w:ascii="宋体" w:hAnsi="宋体"/>
          <w:color w:val="000000" w:themeColor="text1"/>
          <w:sz w:val="21"/>
          <w:szCs w:val="21"/>
          <w:highlight w:val="none"/>
          <w14:textFill>
            <w14:solidFill>
              <w14:schemeClr w14:val="tx1"/>
            </w14:solidFill>
          </w14:textFill>
        </w:rPr>
        <w:t xml:space="preserve">14.2 </w:t>
      </w:r>
      <w:r>
        <w:rPr>
          <w:rFonts w:hint="eastAsia" w:ascii="宋体" w:hAnsi="宋体" w:cs="宋体"/>
          <w:color w:val="000000" w:themeColor="text1"/>
          <w:sz w:val="21"/>
          <w:szCs w:val="21"/>
          <w:highlight w:val="none"/>
          <w14:textFill>
            <w14:solidFill>
              <w14:schemeClr w14:val="tx1"/>
            </w14:solidFill>
          </w14:textFill>
        </w:rPr>
        <w:t>勘察人违约</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14.2.1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勘察人违约情形</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）合同生效后，勘察人因自身原因要求终止或解除合同；</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（2）因勘察人原因不能按照合同约定的日期或合同当事人同意顺延的工期提交成果资料；</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）因勘察人原因造成成果资料质量达不到合同约定的质量标准；</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）勘察人不履行合同义务或未按约定履行合同义务的其他情形。</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14.2.2 </w:t>
      </w:r>
      <w:r>
        <w:rPr>
          <w:rFonts w:hint="eastAsia" w:ascii="宋体" w:hAnsi="宋体" w:cs="宋体"/>
          <w:color w:val="000000" w:themeColor="text1"/>
          <w:sz w:val="21"/>
          <w:szCs w:val="21"/>
          <w:highlight w:val="none"/>
          <w14:textFill>
            <w14:solidFill>
              <w14:schemeClr w14:val="tx1"/>
            </w14:solidFill>
          </w14:textFill>
        </w:rPr>
        <w:t>勘察人违约责任</w:t>
      </w:r>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合同生效后，勘察人因自身原因要求终止或解除合同，勘察人应双倍返还发包人已支付的定金或勘察人按照专用合同条款约定向发包人支付违约金。</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）因勘察人原因造成工期延误的，应按专用合同条款约定向发包人支付违约金。</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）勘察人发生其他违约情形时，勘察人应承担违约责任并赔偿因其违约给发包人造成的损失，双方可在专用合同条款内约定勘察人赔偿发包人损失的计算方法和赔偿金额。</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448" w:name="_Toc457826201"/>
      <w:bookmarkStart w:id="2449" w:name="_Toc406150472"/>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15</w:t>
      </w:r>
      <w:r>
        <w:rPr>
          <w:rFonts w:hint="eastAsia" w:ascii="黑体" w:hAnsi="黑体" w:eastAsia="黑体" w:cs="Times New Roman"/>
          <w:b w:val="0"/>
          <w:color w:val="000000" w:themeColor="text1"/>
          <w:highlight w:val="none"/>
          <w14:textFill>
            <w14:solidFill>
              <w14:schemeClr w14:val="tx1"/>
            </w14:solidFill>
          </w14:textFill>
        </w:rPr>
        <w:t>条 索赔</w:t>
      </w:r>
      <w:bookmarkEnd w:id="2448"/>
      <w:bookmarkEnd w:id="2449"/>
    </w:p>
    <w:p>
      <w:pPr>
        <w:tabs>
          <w:tab w:val="left" w:pos="1260"/>
        </w:tabs>
        <w:snapToGrid w:val="0"/>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15.1</w:t>
      </w:r>
      <w:r>
        <w:rPr>
          <w:rFonts w:hint="eastAsia" w:ascii="宋体" w:hAnsi="宋体"/>
          <w:b/>
          <w:color w:val="000000" w:themeColor="text1"/>
          <w:sz w:val="21"/>
          <w:szCs w:val="21"/>
          <w:highlight w:val="none"/>
          <w14:textFill>
            <w14:solidFill>
              <w14:schemeClr w14:val="tx1"/>
            </w14:solidFill>
          </w14:textFill>
        </w:rPr>
        <w:t xml:space="preserve"> 发包人索赔</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勘察人未按合同约定履行义务或发生错误以及应由勘察人承担责任的其他情形，造成工期延误及发包人的经济损失，除专用合同条款另有约定外，发包人可按下列程序以书面形式向勘察人索赔：</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）违约事件发生后</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天内，向勘察人发出索赔意向通知；</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）发出索赔意向通知后</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天内，向勘察人提出经济损失的索赔报告及有关资料；</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）勘察人在收到发包人送交的索赔报告和有关资料或补充索赔理由、证据后，于</w:t>
      </w: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天内给予答复；</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）勘察人在收到发包人送交的索赔报告和有关资料后</w:t>
      </w: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天内未予答复或未对发包人作进一步要求，视为该项索赔已被认可；</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）当该违约事件持续进行时，发包人应阶段性向勘察人发出索赔意向，在违约事件终了后</w:t>
      </w: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天内，向勘察人送交索赔的有关资料和最终索赔报告。索赔答复程序与本款第（</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）项约定相同。</w:t>
      </w:r>
    </w:p>
    <w:p>
      <w:pPr>
        <w:tabs>
          <w:tab w:val="left" w:pos="1260"/>
        </w:tabs>
        <w:snapToGrid w:val="0"/>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 xml:space="preserve">15.2 </w:t>
      </w:r>
      <w:r>
        <w:rPr>
          <w:rFonts w:hint="eastAsia" w:ascii="宋体" w:hAnsi="宋体"/>
          <w:b/>
          <w:color w:val="000000" w:themeColor="text1"/>
          <w:sz w:val="21"/>
          <w:szCs w:val="21"/>
          <w:highlight w:val="none"/>
          <w14:textFill>
            <w14:solidFill>
              <w14:schemeClr w14:val="tx1"/>
            </w14:solidFill>
          </w14:textFill>
        </w:rPr>
        <w:t>勘察人索赔</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）违约事件发生后</w:t>
      </w:r>
      <w:r>
        <w:rPr>
          <w:rFonts w:ascii="宋体" w:hAnsi="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天内，勘察人可向发包人发出要求其采取有效措施纠正违约行为的通知；发包人收到通知</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天内仍不履行合同义务，勘察人有权停止作业，并向发包人发出索赔意向通知。</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）发出索赔意向通知后</w:t>
      </w:r>
      <w:r>
        <w:rPr>
          <w:rFonts w:ascii="宋体" w:hAnsi="宋体" w:cs="宋体"/>
          <w:color w:val="000000" w:themeColor="text1"/>
          <w:sz w:val="21"/>
          <w:szCs w:val="21"/>
          <w:highlight w:val="none"/>
          <w14:textFill>
            <w14:solidFill>
              <w14:schemeClr w14:val="tx1"/>
            </w14:solidFill>
          </w14:textFill>
        </w:rPr>
        <w:t>14</w:t>
      </w:r>
      <w:r>
        <w:rPr>
          <w:rFonts w:hint="eastAsia" w:ascii="宋体" w:hAnsi="宋体" w:cs="宋体"/>
          <w:color w:val="000000" w:themeColor="text1"/>
          <w:sz w:val="21"/>
          <w:szCs w:val="21"/>
          <w:highlight w:val="none"/>
          <w14:textFill>
            <w14:solidFill>
              <w14:schemeClr w14:val="tx1"/>
            </w14:solidFill>
          </w14:textFill>
        </w:rPr>
        <w:t>天内，向发包人提出延长工期和（或）补偿经济损失的索赔报告及有关资料；</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）发包人在收到勘察人送交的索赔报告和有关资料或补充索赔理由、证据后，于</w:t>
      </w: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天内给予答复；</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）发包人在收到勘察人送交的索赔报告和有关资料后</w:t>
      </w:r>
      <w:r>
        <w:rPr>
          <w:rFonts w:ascii="宋体" w:hAnsi="宋体" w:cs="宋体"/>
          <w:color w:val="000000" w:themeColor="text1"/>
          <w:sz w:val="21"/>
          <w:szCs w:val="21"/>
          <w:highlight w:val="none"/>
          <w14:textFill>
            <w14:solidFill>
              <w14:schemeClr w14:val="tx1"/>
            </w14:solidFill>
          </w14:textFill>
        </w:rPr>
        <w:t>28</w:t>
      </w:r>
      <w:r>
        <w:rPr>
          <w:rFonts w:hint="eastAsia" w:ascii="宋体" w:hAnsi="宋体" w:cs="宋体"/>
          <w:color w:val="000000" w:themeColor="text1"/>
          <w:sz w:val="21"/>
          <w:szCs w:val="21"/>
          <w:highlight w:val="none"/>
          <w14:textFill>
            <w14:solidFill>
              <w14:schemeClr w14:val="tx1"/>
            </w14:solidFill>
          </w14:textFill>
        </w:rPr>
        <w:t>天内未予答复或未对勘察人作进一步要求，视为该项索赔已被认可；</w:t>
      </w:r>
    </w:p>
    <w:p>
      <w:pPr>
        <w:tabs>
          <w:tab w:val="left" w:pos="1260"/>
        </w:tabs>
        <w:snapToGrid w:val="0"/>
        <w:spacing w:line="360" w:lineRule="auto"/>
        <w:ind w:firstLine="420" w:firstLineChars="200"/>
        <w:jc w:val="left"/>
        <w:rPr>
          <w:rFonts w:ascii="宋体" w:hAnsi="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）当该索赔事件持续进行时，勘察人应阶段性向发包人发出索赔意向，在索赔事件终了后</w:t>
      </w: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天内，向发包人送交索赔的有关资料和最终索赔报告。索赔答复程序与本款第（</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）项约定相同。</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450" w:name="_Toc406150473"/>
      <w:bookmarkStart w:id="2451" w:name="_Toc457826202"/>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16</w:t>
      </w:r>
      <w:r>
        <w:rPr>
          <w:rFonts w:hint="eastAsia" w:ascii="黑体" w:hAnsi="黑体" w:eastAsia="黑体" w:cs="Times New Roman"/>
          <w:b w:val="0"/>
          <w:color w:val="000000" w:themeColor="text1"/>
          <w:highlight w:val="none"/>
          <w14:textFill>
            <w14:solidFill>
              <w14:schemeClr w14:val="tx1"/>
            </w14:solidFill>
          </w14:textFill>
        </w:rPr>
        <w:t>条 争议解决</w:t>
      </w:r>
      <w:bookmarkEnd w:id="2450"/>
      <w:bookmarkEnd w:id="2451"/>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452" w:name="_Toc15094"/>
      <w:bookmarkStart w:id="2453" w:name="_Toc11964"/>
      <w:bookmarkStart w:id="2454" w:name="_Toc457826203"/>
      <w:bookmarkStart w:id="2455" w:name="_Toc18086"/>
      <w:bookmarkStart w:id="2456" w:name="_Toc19176"/>
      <w:bookmarkStart w:id="2457" w:name="_Toc2237"/>
      <w:bookmarkStart w:id="2458" w:name="_Toc26431"/>
      <w:bookmarkStart w:id="2459" w:name="_Toc28078"/>
      <w:bookmarkStart w:id="2460" w:name="_Toc10958"/>
      <w:bookmarkStart w:id="2461" w:name="_Toc406150474"/>
      <w:bookmarkStart w:id="2462" w:name="_Toc30899"/>
      <w:bookmarkStart w:id="2463" w:name="_Toc2806"/>
      <w:bookmarkStart w:id="2464" w:name="_Toc29150"/>
      <w:bookmarkStart w:id="2465" w:name="_Toc106719437"/>
      <w:bookmarkStart w:id="2466" w:name="_Toc32563"/>
      <w:r>
        <w:rPr>
          <w:rFonts w:ascii="宋体" w:hAnsi="宋体"/>
          <w:color w:val="000000" w:themeColor="text1"/>
          <w:sz w:val="21"/>
          <w:szCs w:val="21"/>
          <w:highlight w:val="none"/>
          <w14:textFill>
            <w14:solidFill>
              <w14:schemeClr w14:val="tx1"/>
            </w14:solidFill>
          </w14:textFill>
        </w:rPr>
        <w:t xml:space="preserve">16.1 </w:t>
      </w:r>
      <w:r>
        <w:rPr>
          <w:rFonts w:hint="eastAsia" w:ascii="宋体" w:hAnsi="宋体" w:cs="宋体"/>
          <w:color w:val="000000" w:themeColor="text1"/>
          <w:sz w:val="21"/>
          <w:szCs w:val="21"/>
          <w:highlight w:val="none"/>
          <w14:textFill>
            <w14:solidFill>
              <w14:schemeClr w14:val="tx1"/>
            </w14:solidFill>
          </w14:textFill>
        </w:rPr>
        <w:t>和解</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因本合同以及与本合同有关事项发生争议的，双方可以就争议自行和解。自行和解达成协议的，经签字并盖章后作为合同补充文件，双方均应遵照执行。</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467" w:name="_Toc406150475"/>
      <w:bookmarkStart w:id="2468" w:name="_Toc20384"/>
      <w:bookmarkStart w:id="2469" w:name="_Toc11994"/>
      <w:bookmarkStart w:id="2470" w:name="_Toc15561"/>
      <w:bookmarkStart w:id="2471" w:name="_Toc7869"/>
      <w:bookmarkStart w:id="2472" w:name="_Toc25280"/>
      <w:bookmarkStart w:id="2473" w:name="_Toc457826204"/>
      <w:bookmarkStart w:id="2474" w:name="_Toc30857"/>
      <w:bookmarkStart w:id="2475" w:name="_Toc11741"/>
      <w:bookmarkStart w:id="2476" w:name="_Toc30528"/>
      <w:bookmarkStart w:id="2477" w:name="_Toc12725"/>
      <w:bookmarkStart w:id="2478" w:name="_Toc9405"/>
      <w:bookmarkStart w:id="2479" w:name="_Toc106719438"/>
      <w:bookmarkStart w:id="2480" w:name="_Toc2057"/>
      <w:bookmarkStart w:id="2481" w:name="_Toc15040"/>
      <w:r>
        <w:rPr>
          <w:rFonts w:ascii="宋体" w:hAnsi="宋体"/>
          <w:color w:val="000000" w:themeColor="text1"/>
          <w:sz w:val="21"/>
          <w:szCs w:val="21"/>
          <w:highlight w:val="none"/>
          <w14:textFill>
            <w14:solidFill>
              <w14:schemeClr w14:val="tx1"/>
            </w14:solidFill>
          </w14:textFill>
        </w:rPr>
        <w:t xml:space="preserve">16.2 </w:t>
      </w:r>
      <w:r>
        <w:rPr>
          <w:rFonts w:hint="eastAsia" w:ascii="宋体" w:hAnsi="宋体" w:cs="宋体"/>
          <w:color w:val="000000" w:themeColor="text1"/>
          <w:sz w:val="21"/>
          <w:szCs w:val="21"/>
          <w:highlight w:val="none"/>
          <w14:textFill>
            <w14:solidFill>
              <w14:schemeClr w14:val="tx1"/>
            </w14:solidFill>
          </w14:textFill>
        </w:rPr>
        <w:t>调解</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因本合同以及与本合同有关事项发生争议的，双方可以就争议请求行政主管部门、行业协会或其他第三方进行调解。调解达成协议的，经签字并盖章后作为合同补充文件，双方均应遵照执行。</w:t>
      </w:r>
      <w:bookmarkStart w:id="2482" w:name="_Toc406150476"/>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483" w:name="_Toc6432"/>
      <w:bookmarkStart w:id="2484" w:name="_Toc7825"/>
      <w:bookmarkStart w:id="2485" w:name="_Toc7198"/>
      <w:bookmarkStart w:id="2486" w:name="_Toc10054"/>
      <w:bookmarkStart w:id="2487" w:name="_Toc20560"/>
      <w:bookmarkStart w:id="2488" w:name="_Toc8997"/>
      <w:bookmarkStart w:id="2489" w:name="_Toc22555"/>
      <w:bookmarkStart w:id="2490" w:name="_Toc14268"/>
      <w:bookmarkStart w:id="2491" w:name="_Toc106719439"/>
      <w:bookmarkStart w:id="2492" w:name="_Toc21748"/>
      <w:bookmarkStart w:id="2493" w:name="_Toc3171"/>
      <w:bookmarkStart w:id="2494" w:name="_Toc457826205"/>
      <w:bookmarkStart w:id="2495" w:name="_Toc15180"/>
      <w:bookmarkStart w:id="2496" w:name="_Toc8336"/>
      <w:r>
        <w:rPr>
          <w:rFonts w:ascii="宋体" w:hAnsi="宋体"/>
          <w:color w:val="000000" w:themeColor="text1"/>
          <w:sz w:val="21"/>
          <w:szCs w:val="21"/>
          <w:highlight w:val="none"/>
          <w14:textFill>
            <w14:solidFill>
              <w14:schemeClr w14:val="tx1"/>
            </w14:solidFill>
          </w14:textFill>
        </w:rPr>
        <w:t xml:space="preserve">16.3 </w:t>
      </w:r>
      <w:r>
        <w:rPr>
          <w:rFonts w:hint="eastAsia" w:ascii="宋体" w:hAnsi="宋体" w:cs="宋体"/>
          <w:color w:val="000000" w:themeColor="text1"/>
          <w:sz w:val="21"/>
          <w:szCs w:val="21"/>
          <w:highlight w:val="none"/>
          <w14:textFill>
            <w14:solidFill>
              <w14:schemeClr w14:val="tx1"/>
            </w14:solidFill>
          </w14:textFill>
        </w:rPr>
        <w:t>仲裁或诉讼</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因本合同以及与本合同有关事项发生争议的，当事人不愿和解、调解或者和解、调解不成的，双方可以在专用合同条款内约定以下一种方式解决争议：</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）双方达成仲裁协议，向约定的仲裁委员会申请仲裁；</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）向有管辖权的人民法院起诉。</w:t>
      </w:r>
    </w:p>
    <w:p>
      <w:pPr>
        <w:pStyle w:val="7"/>
        <w:spacing w:before="0" w:after="0" w:line="360" w:lineRule="auto"/>
        <w:jc w:val="left"/>
        <w:rPr>
          <w:rFonts w:ascii="黑体" w:hAnsi="黑体" w:eastAsia="黑体" w:cs="Times New Roman"/>
          <w:b w:val="0"/>
          <w:color w:val="000000" w:themeColor="text1"/>
          <w:highlight w:val="none"/>
          <w14:textFill>
            <w14:solidFill>
              <w14:schemeClr w14:val="tx1"/>
            </w14:solidFill>
          </w14:textFill>
        </w:rPr>
      </w:pPr>
      <w:bookmarkStart w:id="2497" w:name="_Toc406150477"/>
      <w:bookmarkStart w:id="2498" w:name="_Toc457826206"/>
      <w:r>
        <w:rPr>
          <w:rFonts w:hint="eastAsia" w:ascii="黑体" w:hAnsi="黑体" w:eastAsia="黑体" w:cs="Times New Roman"/>
          <w:b w:val="0"/>
          <w:color w:val="000000" w:themeColor="text1"/>
          <w:highlight w:val="none"/>
          <w14:textFill>
            <w14:solidFill>
              <w14:schemeClr w14:val="tx1"/>
            </w14:solidFill>
          </w14:textFill>
        </w:rPr>
        <w:t>第</w:t>
      </w:r>
      <w:r>
        <w:rPr>
          <w:rFonts w:ascii="黑体" w:hAnsi="黑体" w:eastAsia="黑体" w:cs="Times New Roman"/>
          <w:b w:val="0"/>
          <w:color w:val="000000" w:themeColor="text1"/>
          <w:highlight w:val="none"/>
          <w14:textFill>
            <w14:solidFill>
              <w14:schemeClr w14:val="tx1"/>
            </w14:solidFill>
          </w14:textFill>
        </w:rPr>
        <w:t>17</w:t>
      </w:r>
      <w:r>
        <w:rPr>
          <w:rFonts w:hint="eastAsia" w:ascii="黑体" w:hAnsi="黑体" w:eastAsia="黑体" w:cs="Times New Roman"/>
          <w:b w:val="0"/>
          <w:color w:val="000000" w:themeColor="text1"/>
          <w:highlight w:val="none"/>
          <w14:textFill>
            <w14:solidFill>
              <w14:schemeClr w14:val="tx1"/>
            </w14:solidFill>
          </w14:textFill>
        </w:rPr>
        <w:t>条 补充条款</w:t>
      </w:r>
      <w:bookmarkEnd w:id="2497"/>
      <w:bookmarkEnd w:id="2498"/>
    </w:p>
    <w:p>
      <w:pPr>
        <w:spacing w:line="360" w:lineRule="auto"/>
        <w:ind w:firstLine="420" w:firstLineChars="200"/>
        <w:jc w:val="left"/>
        <w:rPr>
          <w:rFonts w:ascii="宋体" w:hAnsi="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双方根据有关法律法规规定，结合实际经协商一致，可对通用合同条款内容具体化、补充或修改，并在专用合同条款内约定</w:t>
      </w:r>
      <w:r>
        <w:rPr>
          <w:rFonts w:hint="eastAsia" w:ascii="宋体" w:hAnsi="宋体"/>
          <w:color w:val="000000" w:themeColor="text1"/>
          <w:kern w:val="2"/>
          <w:sz w:val="21"/>
          <w:szCs w:val="21"/>
          <w:highlight w:val="none"/>
          <w14:textFill>
            <w14:solidFill>
              <w14:schemeClr w14:val="tx1"/>
            </w14:solidFill>
          </w14:textFill>
        </w:rPr>
        <w:t>。</w:t>
      </w:r>
      <w:bookmarkStart w:id="2499" w:name="_Toc52137849"/>
    </w:p>
    <w:p>
      <w:pPr>
        <w:spacing w:line="360" w:lineRule="auto"/>
        <w:ind w:firstLine="420" w:firstLineChars="200"/>
        <w:jc w:val="left"/>
        <w:rPr>
          <w:rFonts w:ascii="宋体" w:hAnsi="宋体"/>
          <w:color w:val="000000" w:themeColor="text1"/>
          <w:kern w:val="2"/>
          <w:sz w:val="21"/>
          <w:szCs w:val="21"/>
          <w:highlight w:val="none"/>
          <w14:textFill>
            <w14:solidFill>
              <w14:schemeClr w14:val="tx1"/>
            </w14:solidFill>
          </w14:textFill>
        </w:rPr>
      </w:pPr>
    </w:p>
    <w:p>
      <w:pPr>
        <w:spacing w:line="360" w:lineRule="auto"/>
        <w:ind w:firstLine="420" w:firstLineChars="200"/>
        <w:jc w:val="left"/>
        <w:rPr>
          <w:rFonts w:ascii="宋体" w:hAnsi="宋体"/>
          <w:color w:val="000000" w:themeColor="text1"/>
          <w:kern w:val="2"/>
          <w:sz w:val="21"/>
          <w:szCs w:val="21"/>
          <w:highlight w:val="none"/>
          <w14:textFill>
            <w14:solidFill>
              <w14:schemeClr w14:val="tx1"/>
            </w14:solidFill>
          </w14:textFill>
        </w:rPr>
      </w:pPr>
    </w:p>
    <w:p>
      <w:pPr>
        <w:pStyle w:val="6"/>
        <w:jc w:val="center"/>
        <w:rPr>
          <w:rFonts w:ascii="黑体" w:hAnsi="黑体" w:eastAsia="黑体"/>
          <w:b w:val="0"/>
          <w:color w:val="000000" w:themeColor="text1"/>
          <w:sz w:val="28"/>
          <w:szCs w:val="28"/>
          <w:highlight w:val="none"/>
          <w14:textFill>
            <w14:solidFill>
              <w14:schemeClr w14:val="tx1"/>
            </w14:solidFill>
          </w14:textFill>
        </w:rPr>
      </w:pPr>
      <w:bookmarkStart w:id="2500" w:name="_Toc12973"/>
      <w:bookmarkStart w:id="2501" w:name="_Toc21395"/>
      <w:bookmarkStart w:id="2502" w:name="_Toc22786"/>
      <w:bookmarkStart w:id="2503" w:name="_Toc16256"/>
      <w:bookmarkStart w:id="2504" w:name="_Toc7885"/>
      <w:bookmarkStart w:id="2505" w:name="_Toc11975"/>
      <w:bookmarkStart w:id="2506" w:name="_Toc106719440"/>
      <w:bookmarkStart w:id="2507" w:name="_Toc24634"/>
      <w:bookmarkStart w:id="2508" w:name="_Toc10624"/>
      <w:bookmarkStart w:id="2509" w:name="_Toc6824"/>
      <w:bookmarkStart w:id="2510" w:name="_Toc29900"/>
      <w:bookmarkStart w:id="2511" w:name="_Toc15779"/>
      <w:bookmarkStart w:id="2512" w:name="_Toc21521"/>
      <w:r>
        <w:rPr>
          <w:rFonts w:ascii="黑体" w:hAnsi="黑体" w:eastAsia="黑体"/>
          <w:b w:val="0"/>
          <w:color w:val="000000" w:themeColor="text1"/>
          <w:sz w:val="28"/>
          <w:szCs w:val="28"/>
          <w:highlight w:val="none"/>
          <w14:textFill>
            <w14:solidFill>
              <w14:schemeClr w14:val="tx1"/>
            </w14:solidFill>
          </w14:textFill>
        </w:rPr>
        <w:t>第</w:t>
      </w:r>
      <w:r>
        <w:rPr>
          <w:rFonts w:hint="eastAsia" w:ascii="黑体" w:hAnsi="黑体" w:eastAsia="黑体"/>
          <w:b w:val="0"/>
          <w:color w:val="000000" w:themeColor="text1"/>
          <w:sz w:val="28"/>
          <w:szCs w:val="28"/>
          <w:highlight w:val="none"/>
          <w14:textFill>
            <w14:solidFill>
              <w14:schemeClr w14:val="tx1"/>
            </w14:solidFill>
          </w14:textFill>
        </w:rPr>
        <w:t>三节</w:t>
      </w:r>
      <w:r>
        <w:rPr>
          <w:rFonts w:ascii="黑体" w:hAnsi="黑体" w:eastAsia="黑体"/>
          <w:b w:val="0"/>
          <w:color w:val="000000" w:themeColor="text1"/>
          <w:sz w:val="28"/>
          <w:szCs w:val="28"/>
          <w:highlight w:val="none"/>
          <w14:textFill>
            <w14:solidFill>
              <w14:schemeClr w14:val="tx1"/>
            </w14:solidFill>
          </w14:textFill>
        </w:rPr>
        <w:t xml:space="preserve"> </w:t>
      </w:r>
      <w:r>
        <w:rPr>
          <w:rFonts w:hint="eastAsia" w:ascii="黑体" w:hAnsi="黑体" w:eastAsia="黑体"/>
          <w:b w:val="0"/>
          <w:color w:val="000000" w:themeColor="text1"/>
          <w:sz w:val="28"/>
          <w:szCs w:val="28"/>
          <w:highlight w:val="none"/>
          <w14:textFill>
            <w14:solidFill>
              <w14:schemeClr w14:val="tx1"/>
            </w14:solidFill>
          </w14:textFill>
        </w:rPr>
        <w:t>专用合同条款</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pPr>
        <w:pStyle w:val="5"/>
        <w:keepNext w:val="0"/>
        <w:keepLines w:val="0"/>
        <w:snapToGrid w:val="0"/>
        <w:spacing w:beforeLines="50" w:afterLines="50" w:line="360" w:lineRule="auto"/>
        <w:jc w:val="left"/>
        <w:rPr>
          <w:rFonts w:ascii="黑体" w:hAnsi="黑体" w:eastAsia="黑体" w:cs="宋体"/>
          <w:b w:val="0"/>
          <w:color w:val="000000" w:themeColor="text1"/>
          <w:sz w:val="28"/>
          <w:szCs w:val="28"/>
          <w:highlight w:val="none"/>
          <w14:textFill>
            <w14:solidFill>
              <w14:schemeClr w14:val="tx1"/>
            </w14:solidFill>
          </w14:textFill>
        </w:rPr>
      </w:pPr>
      <w:bookmarkStart w:id="2513" w:name="_Toc31822"/>
      <w:bookmarkStart w:id="2514" w:name="_Toc27771"/>
      <w:bookmarkStart w:id="2515" w:name="_Toc11149"/>
      <w:bookmarkStart w:id="2516" w:name="_Toc5688"/>
      <w:bookmarkStart w:id="2517" w:name="_Toc457826208"/>
      <w:bookmarkStart w:id="2518" w:name="_Toc7851"/>
      <w:bookmarkStart w:id="2519" w:name="_Toc16537"/>
      <w:bookmarkStart w:id="2520" w:name="_Toc106719441"/>
      <w:bookmarkStart w:id="2521" w:name="_Toc13167"/>
      <w:bookmarkStart w:id="2522" w:name="_Toc406150479"/>
      <w:bookmarkStart w:id="2523" w:name="_Toc10154"/>
      <w:bookmarkStart w:id="2524" w:name="_Toc26286"/>
      <w:bookmarkStart w:id="2525" w:name="_Toc20703"/>
      <w:bookmarkStart w:id="2526" w:name="_Toc2559"/>
      <w:bookmarkStart w:id="2527" w:name="_Toc14628"/>
      <w:bookmarkStart w:id="2528" w:name="_Toc351203652"/>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1</w:t>
      </w:r>
      <w:r>
        <w:rPr>
          <w:rFonts w:hint="eastAsia" w:ascii="黑体" w:hAnsi="黑体" w:eastAsia="黑体"/>
          <w:b w:val="0"/>
          <w:color w:val="000000" w:themeColor="text1"/>
          <w:sz w:val="28"/>
          <w:szCs w:val="28"/>
          <w:highlight w:val="none"/>
          <w14:textFill>
            <w14:solidFill>
              <w14:schemeClr w14:val="tx1"/>
            </w14:solidFill>
          </w14:textFill>
        </w:rPr>
        <w:t xml:space="preserve">条 </w:t>
      </w:r>
      <w:r>
        <w:rPr>
          <w:rFonts w:hint="eastAsia" w:ascii="黑体" w:hAnsi="黑体" w:eastAsia="黑体" w:cs="宋体"/>
          <w:b w:val="0"/>
          <w:color w:val="000000" w:themeColor="text1"/>
          <w:sz w:val="28"/>
          <w:szCs w:val="28"/>
          <w:highlight w:val="none"/>
          <w14:textFill>
            <w14:solidFill>
              <w14:schemeClr w14:val="tx1"/>
            </w14:solidFill>
          </w14:textFill>
        </w:rPr>
        <w:t>一般约定</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529" w:name="_Toc457826209"/>
      <w:bookmarkStart w:id="2530" w:name="_Toc106719442"/>
      <w:bookmarkStart w:id="2531" w:name="_Toc4686"/>
      <w:bookmarkStart w:id="2532" w:name="_Toc6193"/>
      <w:bookmarkStart w:id="2533" w:name="_Toc6207"/>
      <w:bookmarkStart w:id="2534" w:name="_Toc5056"/>
      <w:bookmarkStart w:id="2535" w:name="_Toc18757"/>
      <w:bookmarkStart w:id="2536" w:name="_Toc4735"/>
      <w:bookmarkStart w:id="2537" w:name="_Toc2330"/>
      <w:bookmarkStart w:id="2538" w:name="_Toc23750"/>
      <w:bookmarkStart w:id="2539" w:name="_Toc11617"/>
      <w:bookmarkStart w:id="2540" w:name="_Toc25595"/>
      <w:bookmarkStart w:id="2541" w:name="_Toc26285"/>
      <w:bookmarkStart w:id="2542" w:name="_Toc6018"/>
      <w:bookmarkStart w:id="2543" w:name="_Toc406150480"/>
      <w:r>
        <w:rPr>
          <w:rFonts w:ascii="宋体" w:hAnsi="宋体" w:cs="宋体"/>
          <w:color w:val="000000" w:themeColor="text1"/>
          <w:sz w:val="21"/>
          <w:szCs w:val="21"/>
          <w:highlight w:val="none"/>
          <w14:textFill>
            <w14:solidFill>
              <w14:schemeClr w14:val="tx1"/>
            </w14:solidFill>
          </w14:textFill>
        </w:rPr>
        <w:t xml:space="preserve">1.1 </w:t>
      </w:r>
      <w:r>
        <w:rPr>
          <w:rFonts w:hint="eastAsia" w:ascii="宋体" w:hAnsi="宋体" w:cs="宋体"/>
          <w:color w:val="000000" w:themeColor="text1"/>
          <w:sz w:val="21"/>
          <w:szCs w:val="21"/>
          <w:highlight w:val="none"/>
          <w14:textFill>
            <w14:solidFill>
              <w14:schemeClr w14:val="tx1"/>
            </w14:solidFill>
          </w14:textFill>
        </w:rPr>
        <w:t>词语定义</w:t>
      </w:r>
      <w:bookmarkEnd w:id="2529"/>
      <w:r>
        <w:rPr>
          <w:rFonts w:hint="eastAsia" w:ascii="宋体" w:hAnsi="宋体" w:cs="宋体"/>
          <w:color w:val="000000" w:themeColor="text1"/>
          <w:sz w:val="21"/>
          <w:szCs w:val="21"/>
          <w:highlight w:val="none"/>
          <w14:textFill>
            <w14:solidFill>
              <w14:schemeClr w14:val="tx1"/>
            </w14:solidFill>
          </w14:textFill>
        </w:rPr>
        <w:t>：</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pPr>
        <w:spacing w:line="360" w:lineRule="auto"/>
        <w:ind w:firstLine="424" w:firstLineChars="202"/>
        <w:jc w:val="left"/>
        <w:rPr>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544" w:name="_Toc2882"/>
      <w:bookmarkStart w:id="2545" w:name="_Toc10120"/>
      <w:bookmarkStart w:id="2546" w:name="_Toc25662"/>
      <w:bookmarkStart w:id="2547" w:name="_Toc9618"/>
      <w:bookmarkStart w:id="2548" w:name="_Toc6049"/>
      <w:bookmarkStart w:id="2549" w:name="_Toc22804"/>
      <w:bookmarkStart w:id="2550" w:name="_Toc9294"/>
      <w:bookmarkStart w:id="2551" w:name="_Toc457826210"/>
      <w:bookmarkStart w:id="2552" w:name="_Toc23236"/>
      <w:bookmarkStart w:id="2553" w:name="_Toc7115"/>
      <w:bookmarkStart w:id="2554" w:name="_Toc106719443"/>
      <w:bookmarkStart w:id="2555" w:name="_Toc12970"/>
      <w:bookmarkStart w:id="2556" w:name="_Toc30856"/>
      <w:bookmarkStart w:id="2557" w:name="_Toc27426"/>
      <w:r>
        <w:rPr>
          <w:rFonts w:ascii="宋体" w:hAnsi="宋体"/>
          <w:color w:val="000000" w:themeColor="text1"/>
          <w:sz w:val="21"/>
          <w:szCs w:val="21"/>
          <w:highlight w:val="none"/>
          <w14:textFill>
            <w14:solidFill>
              <w14:schemeClr w14:val="tx1"/>
            </w14:solidFill>
          </w14:textFill>
        </w:rPr>
        <w:t xml:space="preserve">1.2 </w:t>
      </w:r>
      <w:r>
        <w:rPr>
          <w:rFonts w:hint="eastAsia" w:ascii="宋体" w:hAnsi="宋体" w:cs="宋体"/>
          <w:color w:val="000000" w:themeColor="text1"/>
          <w:sz w:val="21"/>
          <w:szCs w:val="21"/>
          <w:highlight w:val="none"/>
          <w14:textFill>
            <w14:solidFill>
              <w14:schemeClr w14:val="tx1"/>
            </w14:solidFill>
          </w14:textFill>
        </w:rPr>
        <w:t>合同文件及优先解释顺序</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1.2.1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合同文件组成及优先解释顺序：</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bookmarkEnd w:id="2543"/>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558" w:name="_Toc457826211"/>
      <w:bookmarkStart w:id="2559" w:name="_Toc25631"/>
      <w:bookmarkStart w:id="2560" w:name="_Toc22798"/>
      <w:bookmarkStart w:id="2561" w:name="_Toc31452"/>
      <w:bookmarkStart w:id="2562" w:name="_Toc16215"/>
      <w:bookmarkStart w:id="2563" w:name="_Toc3961"/>
      <w:bookmarkStart w:id="2564" w:name="_Toc406150481"/>
      <w:bookmarkStart w:id="2565" w:name="_Toc13911"/>
      <w:bookmarkStart w:id="2566" w:name="_Toc1531"/>
      <w:bookmarkStart w:id="2567" w:name="_Toc26532"/>
      <w:bookmarkStart w:id="2568" w:name="_Toc9932"/>
      <w:bookmarkStart w:id="2569" w:name="_Toc27051"/>
      <w:bookmarkStart w:id="2570" w:name="_Toc106719444"/>
      <w:bookmarkStart w:id="2571" w:name="_Toc15136"/>
      <w:bookmarkStart w:id="2572" w:name="_Toc15943"/>
      <w:r>
        <w:rPr>
          <w:rFonts w:ascii="宋体" w:hAnsi="宋体"/>
          <w:color w:val="000000" w:themeColor="text1"/>
          <w:sz w:val="21"/>
          <w:szCs w:val="21"/>
          <w:highlight w:val="none"/>
          <w14:textFill>
            <w14:solidFill>
              <w14:schemeClr w14:val="tx1"/>
            </w14:solidFill>
          </w14:textFill>
        </w:rPr>
        <w:t xml:space="preserve">1.3 </w:t>
      </w:r>
      <w:r>
        <w:rPr>
          <w:rFonts w:hint="eastAsia" w:ascii="宋体" w:hAnsi="宋体" w:cs="宋体"/>
          <w:color w:val="000000" w:themeColor="text1"/>
          <w:sz w:val="21"/>
          <w:szCs w:val="21"/>
          <w:highlight w:val="none"/>
          <w14:textFill>
            <w14:solidFill>
              <w14:schemeClr w14:val="tx1"/>
            </w14:solidFill>
          </w14:textFill>
        </w:rPr>
        <w:t>适用法律法规、技术标准</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适用法律法规</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需要明示的规范性文件：</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tabs>
          <w:tab w:val="left" w:pos="1260"/>
        </w:tabs>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1.3.2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适用技术标准</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特别要求：</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72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使用国外技术标准的名称、提供方、原文版、中译本的份数、时间及费用承担：</w:t>
      </w:r>
    </w:p>
    <w:p>
      <w:pPr>
        <w:tabs>
          <w:tab w:val="left" w:pos="72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6"/>
        <w:keepNext w:val="0"/>
        <w:keepLines w:val="0"/>
        <w:tabs>
          <w:tab w:val="left" w:pos="18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573" w:name="_Toc21179"/>
      <w:bookmarkStart w:id="2574" w:name="_Toc31045"/>
      <w:bookmarkStart w:id="2575" w:name="_Toc106719445"/>
      <w:bookmarkStart w:id="2576" w:name="_Toc21439"/>
      <w:bookmarkStart w:id="2577" w:name="_Toc11966"/>
      <w:bookmarkStart w:id="2578" w:name="_Toc12941"/>
      <w:bookmarkStart w:id="2579" w:name="_Toc31881"/>
      <w:bookmarkStart w:id="2580" w:name="_Toc1418"/>
      <w:bookmarkStart w:id="2581" w:name="_Toc457826212"/>
      <w:bookmarkStart w:id="2582" w:name="_Toc21169"/>
      <w:bookmarkStart w:id="2583" w:name="_Toc20317"/>
      <w:bookmarkStart w:id="2584" w:name="_Toc29400"/>
      <w:bookmarkStart w:id="2585" w:name="_Toc2141"/>
      <w:bookmarkStart w:id="2586" w:name="_Toc10884"/>
      <w:r>
        <w:rPr>
          <w:rFonts w:ascii="宋体" w:hAnsi="宋体"/>
          <w:color w:val="000000" w:themeColor="text1"/>
          <w:sz w:val="21"/>
          <w:szCs w:val="21"/>
          <w:highlight w:val="none"/>
          <w14:textFill>
            <w14:solidFill>
              <w14:schemeClr w14:val="tx1"/>
            </w14:solidFill>
          </w14:textFill>
        </w:rPr>
        <w:t xml:space="preserve">1.4 </w:t>
      </w:r>
      <w:r>
        <w:rPr>
          <w:rFonts w:hint="eastAsia" w:ascii="宋体" w:hAnsi="宋体" w:cs="宋体"/>
          <w:color w:val="000000" w:themeColor="text1"/>
          <w:sz w:val="21"/>
          <w:szCs w:val="21"/>
          <w:highlight w:val="none"/>
          <w14:textFill>
            <w14:solidFill>
              <w14:schemeClr w14:val="tx1"/>
            </w14:solidFill>
          </w14:textFill>
        </w:rPr>
        <w:t>语言文字</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本合同除使用汉语外，还使用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语言文字。</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587" w:name="_Toc2410"/>
      <w:bookmarkStart w:id="2588" w:name="_Toc4630"/>
      <w:bookmarkStart w:id="2589" w:name="_Toc224"/>
      <w:bookmarkStart w:id="2590" w:name="_Toc4218"/>
      <w:bookmarkStart w:id="2591" w:name="_Toc1595"/>
      <w:bookmarkStart w:id="2592" w:name="_Toc20273"/>
      <w:bookmarkStart w:id="2593" w:name="_Toc10910"/>
      <w:bookmarkStart w:id="2594" w:name="_Toc6560"/>
      <w:bookmarkStart w:id="2595" w:name="_Toc31938"/>
      <w:bookmarkStart w:id="2596" w:name="_Toc12299"/>
      <w:bookmarkStart w:id="2597" w:name="_Toc106719446"/>
      <w:bookmarkStart w:id="2598" w:name="_Toc32316"/>
      <w:bookmarkStart w:id="2599" w:name="_Toc12854"/>
      <w:bookmarkStart w:id="2600" w:name="_Toc457826213"/>
      <w:bookmarkStart w:id="2601" w:name="_Toc406150483"/>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联络</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1.5.1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发包人和勘察人应在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天内将与合同有关的通知、批准、证明、证书、指示、指令、要求、请求、同意、意见、确定和决定等书面函件送达对方当事人。</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1.5.2 </w:t>
      </w:r>
      <w:r>
        <w:rPr>
          <w:rFonts w:hint="eastAsia" w:ascii="宋体" w:hAnsi="宋体"/>
          <w:color w:val="000000" w:themeColor="text1"/>
          <w:sz w:val="21"/>
          <w:szCs w:val="21"/>
          <w:highlight w:val="none"/>
          <w14:textFill>
            <w14:solidFill>
              <w14:schemeClr w14:val="tx1"/>
            </w14:solidFill>
          </w14:textFill>
        </w:rPr>
        <w:t>发包人接收文件的地点：</w:t>
      </w:r>
      <w:r>
        <w:rPr>
          <w:rFonts w:hint="eastAsia" w:ascii="宋体" w:hAnsi="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发包人指定的接收人：</w:t>
      </w:r>
      <w:r>
        <w:rPr>
          <w:rFonts w:hint="eastAsia" w:ascii="宋体" w:hAnsi="宋体"/>
          <w:color w:val="000000" w:themeColor="text1"/>
          <w:sz w:val="21"/>
          <w:szCs w:val="21"/>
          <w:highlight w:val="none"/>
          <w:u w:val="single"/>
          <w14:textFill>
            <w14:solidFill>
              <w14:schemeClr w14:val="tx1"/>
            </w14:solidFill>
          </w14:textFill>
        </w:rPr>
        <w:t xml:space="preserve">                                    </w:t>
      </w:r>
    </w:p>
    <w:p>
      <w:pPr>
        <w:tabs>
          <w:tab w:val="left" w:pos="720"/>
        </w:tabs>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发包人指定的联系方式：</w:t>
      </w:r>
      <w:r>
        <w:rPr>
          <w:rFonts w:hint="eastAsia" w:ascii="宋体" w:hAnsi="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勘察人接收文件的地点：</w:t>
      </w:r>
      <w:r>
        <w:rPr>
          <w:rFonts w:hint="eastAsia" w:ascii="宋体" w:hAnsi="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勘察人指定的接收人：</w:t>
      </w:r>
      <w:r>
        <w:rPr>
          <w:rFonts w:hint="eastAsia" w:ascii="宋体" w:hAnsi="宋体"/>
          <w:color w:val="000000" w:themeColor="text1"/>
          <w:sz w:val="21"/>
          <w:szCs w:val="21"/>
          <w:highlight w:val="none"/>
          <w:u w:val="single"/>
          <w14:textFill>
            <w14:solidFill>
              <w14:schemeClr w14:val="tx1"/>
            </w14:solidFill>
          </w14:textFill>
        </w:rPr>
        <w:t xml:space="preserve">                                    </w:t>
      </w:r>
    </w:p>
    <w:p>
      <w:pPr>
        <w:tabs>
          <w:tab w:val="left" w:pos="720"/>
          <w:tab w:val="left" w:pos="900"/>
        </w:tabs>
        <w:snapToGrid w:val="0"/>
        <w:spacing w:line="360" w:lineRule="auto"/>
        <w:ind w:firstLine="420" w:firstLineChars="200"/>
        <w:jc w:val="left"/>
        <w:rPr>
          <w:rFonts w:ascii="宋体" w:hAnsi="宋体" w:cs="宋体"/>
          <w:b/>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勘察人指定的联系方式：</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602" w:name="_Toc17844"/>
      <w:bookmarkStart w:id="2603" w:name="_Toc106719447"/>
      <w:bookmarkStart w:id="2604" w:name="_Toc30540"/>
      <w:bookmarkStart w:id="2605" w:name="_Toc2317"/>
      <w:bookmarkStart w:id="2606" w:name="_Toc10423"/>
      <w:bookmarkStart w:id="2607" w:name="_Toc16579"/>
      <w:bookmarkStart w:id="2608" w:name="_Toc31753"/>
      <w:bookmarkStart w:id="2609" w:name="_Toc457826214"/>
      <w:bookmarkStart w:id="2610" w:name="_Toc19970"/>
      <w:bookmarkStart w:id="2611" w:name="_Toc14642"/>
      <w:bookmarkStart w:id="2612" w:name="_Toc17629"/>
      <w:bookmarkStart w:id="2613" w:name="_Toc18079"/>
      <w:bookmarkStart w:id="2614" w:name="_Toc23866"/>
      <w:bookmarkStart w:id="2615" w:name="_Toc21650"/>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7 </w:t>
      </w:r>
      <w:r>
        <w:rPr>
          <w:rFonts w:hint="eastAsia" w:ascii="宋体" w:hAnsi="宋体" w:cs="宋体"/>
          <w:color w:val="000000" w:themeColor="text1"/>
          <w:sz w:val="21"/>
          <w:szCs w:val="21"/>
          <w:highlight w:val="none"/>
          <w14:textFill>
            <w14:solidFill>
              <w14:schemeClr w14:val="tx1"/>
            </w14:solidFill>
          </w14:textFill>
        </w:rPr>
        <w:t>保密</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合同当事人关于保密的约定：</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616" w:name="_Toc406150484"/>
      <w:bookmarkStart w:id="2617" w:name="_Toc19240"/>
      <w:bookmarkStart w:id="2618" w:name="_Toc5748"/>
      <w:bookmarkStart w:id="2619" w:name="_Toc26647"/>
      <w:bookmarkStart w:id="2620" w:name="_Toc14143"/>
      <w:bookmarkStart w:id="2621" w:name="_Toc6314"/>
      <w:bookmarkStart w:id="2622" w:name="_Toc457826215"/>
      <w:bookmarkStart w:id="2623" w:name="_Toc5559"/>
      <w:bookmarkStart w:id="2624" w:name="_Toc10660"/>
      <w:bookmarkStart w:id="2625" w:name="_Toc10695"/>
      <w:bookmarkStart w:id="2626" w:name="_Toc7566"/>
      <w:bookmarkStart w:id="2627" w:name="_Toc106719448"/>
      <w:bookmarkStart w:id="2628" w:name="_Toc26181"/>
      <w:bookmarkStart w:id="2629" w:name="_Toc19885"/>
      <w:bookmarkStart w:id="2630" w:name="_Toc11150"/>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2</w:t>
      </w:r>
      <w:r>
        <w:rPr>
          <w:rFonts w:hint="eastAsia" w:ascii="黑体" w:hAnsi="黑体" w:eastAsia="黑体"/>
          <w:b w:val="0"/>
          <w:color w:val="000000" w:themeColor="text1"/>
          <w:sz w:val="28"/>
          <w:szCs w:val="28"/>
          <w:highlight w:val="none"/>
          <w14:textFill>
            <w14:solidFill>
              <w14:schemeClr w14:val="tx1"/>
            </w14:solidFill>
          </w14:textFill>
        </w:rPr>
        <w:t>条 发包人</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631" w:name="_Toc28005"/>
      <w:bookmarkStart w:id="2632" w:name="_Toc24225"/>
      <w:bookmarkStart w:id="2633" w:name="_Toc23134"/>
      <w:bookmarkStart w:id="2634" w:name="_Toc16031"/>
      <w:bookmarkStart w:id="2635" w:name="_Toc25349"/>
      <w:bookmarkStart w:id="2636" w:name="_Toc106719449"/>
      <w:bookmarkStart w:id="2637" w:name="_Toc8638"/>
      <w:bookmarkStart w:id="2638" w:name="_Toc406150485"/>
      <w:bookmarkStart w:id="2639" w:name="_Toc6608"/>
      <w:bookmarkStart w:id="2640" w:name="_Toc678"/>
      <w:bookmarkStart w:id="2641" w:name="_Toc457826216"/>
      <w:bookmarkStart w:id="2642" w:name="_Toc11829"/>
      <w:bookmarkStart w:id="2643" w:name="_Toc26958"/>
      <w:bookmarkStart w:id="2644" w:name="_Toc30691"/>
      <w:bookmarkStart w:id="2645" w:name="_Toc30260"/>
      <w:r>
        <w:rPr>
          <w:rFonts w:ascii="宋体" w:hAnsi="宋体"/>
          <w:color w:val="000000" w:themeColor="text1"/>
          <w:sz w:val="21"/>
          <w:szCs w:val="21"/>
          <w:highlight w:val="none"/>
          <w14:textFill>
            <w14:solidFill>
              <w14:schemeClr w14:val="tx1"/>
            </w14:solidFill>
          </w14:textFill>
        </w:rPr>
        <w:t>2.2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发包人义务</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2.2.2 </w:t>
      </w:r>
      <w:r>
        <w:rPr>
          <w:rFonts w:hint="eastAsia" w:ascii="宋体" w:hAnsi="宋体" w:cs="宋体"/>
          <w:color w:val="000000" w:themeColor="text1"/>
          <w:sz w:val="21"/>
          <w:szCs w:val="21"/>
          <w:highlight w:val="none"/>
          <w14:textFill>
            <w14:solidFill>
              <w14:schemeClr w14:val="tx1"/>
            </w14:solidFill>
          </w14:textFill>
        </w:rPr>
        <w:t>发包人委托勘察人搜集的资料：</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tabs>
          <w:tab w:val="left" w:pos="90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2.2.7</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发包人对安全文明施工的特别要求：</w:t>
      </w:r>
      <w:r>
        <w:rPr>
          <w:rFonts w:ascii="宋体" w:hAnsi="宋体" w:cs="宋体"/>
          <w:color w:val="000000" w:themeColor="text1"/>
          <w:sz w:val="21"/>
          <w:szCs w:val="21"/>
          <w:highlight w:val="none"/>
          <w14:textFill>
            <w14:solidFill>
              <w14:schemeClr w14:val="tx1"/>
            </w14:solidFill>
          </w14:textFill>
        </w:rPr>
        <w:t xml:space="preserve"> </w:t>
      </w:r>
    </w:p>
    <w:p>
      <w:pPr>
        <w:tabs>
          <w:tab w:val="left" w:pos="90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90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2.2.9发包人其他</w:t>
      </w:r>
      <w:r>
        <w:rPr>
          <w:rFonts w:hint="eastAsia" w:ascii="宋体" w:hAnsi="宋体"/>
          <w:color w:val="000000" w:themeColor="text1"/>
          <w:sz w:val="21"/>
          <w:szCs w:val="21"/>
          <w:highlight w:val="none"/>
          <w14:textFill>
            <w14:solidFill>
              <w14:schemeClr w14:val="tx1"/>
            </w14:solidFill>
          </w14:textFill>
        </w:rPr>
        <w:t>义务：</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（1）支付担保</w:t>
      </w:r>
    </w:p>
    <w:p>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发包人是否提供支付担保：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发包人提供支付担保形式：</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646" w:name="_Toc24625"/>
      <w:bookmarkStart w:id="2647" w:name="_Toc14390"/>
      <w:bookmarkStart w:id="2648" w:name="_Toc106719450"/>
      <w:bookmarkStart w:id="2649" w:name="_Toc28223"/>
      <w:bookmarkStart w:id="2650" w:name="_Toc18701"/>
      <w:bookmarkStart w:id="2651" w:name="_Toc29766"/>
      <w:bookmarkStart w:id="2652" w:name="_Toc2911"/>
      <w:bookmarkStart w:id="2653" w:name="_Toc457826217"/>
      <w:bookmarkStart w:id="2654" w:name="_Toc12416"/>
      <w:bookmarkStart w:id="2655" w:name="_Toc406150486"/>
      <w:bookmarkStart w:id="2656" w:name="_Toc27451"/>
      <w:bookmarkStart w:id="2657" w:name="_Toc18625"/>
      <w:bookmarkStart w:id="2658" w:name="_Toc30623"/>
      <w:bookmarkStart w:id="2659" w:name="_Toc28116"/>
      <w:bookmarkStart w:id="2660" w:name="_Toc18091"/>
      <w:r>
        <w:rPr>
          <w:rFonts w:ascii="宋体" w:hAnsi="宋体"/>
          <w:color w:val="000000" w:themeColor="text1"/>
          <w:sz w:val="21"/>
          <w:szCs w:val="21"/>
          <w:highlight w:val="none"/>
          <w14:textFill>
            <w14:solidFill>
              <w14:schemeClr w14:val="tx1"/>
            </w14:solidFill>
          </w14:textFill>
        </w:rPr>
        <w:t xml:space="preserve">2.3 </w:t>
      </w:r>
      <w:r>
        <w:rPr>
          <w:rFonts w:hint="eastAsia" w:ascii="宋体" w:hAnsi="宋体" w:cs="宋体"/>
          <w:color w:val="000000" w:themeColor="text1"/>
          <w:sz w:val="21"/>
          <w:szCs w:val="21"/>
          <w:highlight w:val="none"/>
          <w14:textFill>
            <w14:solidFill>
              <w14:schemeClr w14:val="tx1"/>
            </w14:solidFill>
          </w14:textFill>
        </w:rPr>
        <w:t>发包人代表</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pPr>
        <w:snapToGrid w:val="0"/>
        <w:spacing w:line="360" w:lineRule="auto"/>
        <w:ind w:firstLine="420" w:firstLineChars="200"/>
        <w:jc w:val="left"/>
        <w:rPr>
          <w:rFonts w:ascii="宋体" w:hAnsi="宋体" w:cs="宋体"/>
          <w:b/>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姓名：</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职务：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联系方式：</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授权范围：</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661" w:name="_Toc581"/>
      <w:bookmarkStart w:id="2662" w:name="_Toc28841"/>
      <w:bookmarkStart w:id="2663" w:name="_Toc19283"/>
      <w:bookmarkStart w:id="2664" w:name="_Toc465"/>
      <w:bookmarkStart w:id="2665" w:name="_Toc10478"/>
      <w:bookmarkStart w:id="2666" w:name="_Toc406150487"/>
      <w:bookmarkStart w:id="2667" w:name="_Toc10827"/>
      <w:bookmarkStart w:id="2668" w:name="_Toc457826218"/>
      <w:bookmarkStart w:id="2669" w:name="_Toc19351"/>
      <w:bookmarkStart w:id="2670" w:name="_Toc106719451"/>
      <w:bookmarkStart w:id="2671" w:name="_Toc32017"/>
      <w:bookmarkStart w:id="2672" w:name="_Toc8453"/>
      <w:bookmarkStart w:id="2673" w:name="_Toc10128"/>
      <w:bookmarkStart w:id="2674" w:name="_Toc12713"/>
      <w:bookmarkStart w:id="2675" w:name="_Toc20021"/>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3</w:t>
      </w:r>
      <w:r>
        <w:rPr>
          <w:rFonts w:hint="eastAsia" w:ascii="黑体" w:hAnsi="黑体" w:eastAsia="黑体"/>
          <w:b w:val="0"/>
          <w:color w:val="000000" w:themeColor="text1"/>
          <w:sz w:val="28"/>
          <w:szCs w:val="28"/>
          <w:highlight w:val="none"/>
          <w14:textFill>
            <w14:solidFill>
              <w14:schemeClr w14:val="tx1"/>
            </w14:solidFill>
          </w14:textFill>
        </w:rPr>
        <w:t>条 勘察人</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676" w:name="_Toc32555"/>
      <w:bookmarkStart w:id="2677" w:name="_Toc3005"/>
      <w:bookmarkStart w:id="2678" w:name="_Toc24734"/>
      <w:bookmarkStart w:id="2679" w:name="_Toc106719452"/>
      <w:bookmarkStart w:id="2680" w:name="_Toc16816"/>
      <w:bookmarkStart w:id="2681" w:name="_Toc16187"/>
      <w:bookmarkStart w:id="2682" w:name="_Toc32565"/>
      <w:bookmarkStart w:id="2683" w:name="_Toc16381"/>
      <w:bookmarkStart w:id="2684" w:name="_Toc19948"/>
      <w:bookmarkStart w:id="2685" w:name="_Toc3679"/>
      <w:bookmarkStart w:id="2686" w:name="_Toc27461"/>
      <w:bookmarkStart w:id="2687" w:name="_Toc406150488"/>
      <w:bookmarkStart w:id="2688" w:name="_Toc20500"/>
      <w:bookmarkStart w:id="2689" w:name="_Toc32658"/>
      <w:bookmarkStart w:id="2690" w:name="_Toc457826219"/>
      <w:r>
        <w:rPr>
          <w:rFonts w:ascii="宋体" w:hAnsi="宋体"/>
          <w:color w:val="000000" w:themeColor="text1"/>
          <w:sz w:val="21"/>
          <w:szCs w:val="21"/>
          <w:highlight w:val="none"/>
          <w14:textFill>
            <w14:solidFill>
              <w14:schemeClr w14:val="tx1"/>
            </w14:solidFill>
          </w14:textFill>
        </w:rPr>
        <w:t xml:space="preserve">3.1 </w:t>
      </w:r>
      <w:r>
        <w:rPr>
          <w:rFonts w:hint="eastAsia" w:ascii="宋体" w:hAnsi="宋体" w:cs="宋体"/>
          <w:color w:val="000000" w:themeColor="text1"/>
          <w:sz w:val="21"/>
          <w:szCs w:val="21"/>
          <w:highlight w:val="none"/>
          <w14:textFill>
            <w14:solidFill>
              <w14:schemeClr w14:val="tx1"/>
            </w14:solidFill>
          </w14:textFill>
        </w:rPr>
        <w:t>勘察人权利</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3.1.2 </w:t>
      </w:r>
      <w:r>
        <w:rPr>
          <w:rFonts w:hint="eastAsia" w:ascii="宋体" w:hAnsi="宋体"/>
          <w:color w:val="000000" w:themeColor="text1"/>
          <w:sz w:val="21"/>
          <w:szCs w:val="21"/>
          <w:highlight w:val="none"/>
          <w14:textFill>
            <w14:solidFill>
              <w14:schemeClr w14:val="tx1"/>
            </w14:solidFill>
          </w14:textFill>
        </w:rPr>
        <w:t>关于</w:t>
      </w:r>
      <w:r>
        <w:rPr>
          <w:rFonts w:hint="eastAsia" w:ascii="宋体" w:hAnsi="宋体" w:cs="宋体"/>
          <w:color w:val="000000" w:themeColor="text1"/>
          <w:sz w:val="21"/>
          <w:szCs w:val="21"/>
          <w:highlight w:val="none"/>
          <w14:textFill>
            <w14:solidFill>
              <w14:schemeClr w14:val="tx1"/>
            </w14:solidFill>
          </w14:textFill>
        </w:rPr>
        <w:t>分包的约定：</w:t>
      </w:r>
    </w:p>
    <w:p>
      <w:pPr>
        <w:snapToGrid w:val="0"/>
        <w:spacing w:line="360" w:lineRule="auto"/>
        <w:ind w:firstLine="420" w:firstLineChars="200"/>
        <w:jc w:val="left"/>
        <w:rPr>
          <w:rFonts w:ascii="宋体" w:hAnsi="宋体" w:cs="宋体"/>
          <w:b/>
          <w:color w:val="000000" w:themeColor="text1"/>
          <w:sz w:val="21"/>
          <w:szCs w:val="21"/>
          <w:highlight w:val="none"/>
          <w:u w:val="single"/>
          <w14:textFill>
            <w14:solidFill>
              <w14:schemeClr w14:val="tx1"/>
            </w14:solidFill>
          </w14:textFill>
        </w:rPr>
      </w:pPr>
      <w:r>
        <w:rPr>
          <w:rFonts w:hint="eastAsia" w:ascii="宋体" w:hAnsi="宋体" w:cs="宋体"/>
          <w:b/>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bookmarkStart w:id="2691" w:name="_Toc457826220"/>
      <w:bookmarkStart w:id="2692" w:name="_Toc406150489"/>
      <w:r>
        <w:rPr>
          <w:rFonts w:hint="eastAsia" w:ascii="宋体" w:hAnsi="宋体"/>
          <w:color w:val="000000" w:themeColor="text1"/>
          <w:sz w:val="21"/>
          <w:szCs w:val="21"/>
          <w:highlight w:val="none"/>
          <w14:textFill>
            <w14:solidFill>
              <w14:schemeClr w14:val="tx1"/>
            </w14:solidFill>
          </w14:textFill>
        </w:rPr>
        <w:t>3.2.8 勘察人其他义务：</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（1）履约担保</w:t>
      </w:r>
    </w:p>
    <w:p>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勘察人是否提供履约担保：</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勘察人提供履约担保形式、金额及期限：</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6"/>
        <w:keepNext w:val="0"/>
        <w:keepLines w:val="0"/>
        <w:snapToGrid w:val="0"/>
        <w:spacing w:before="0" w:after="0" w:line="360" w:lineRule="auto"/>
        <w:ind w:firstLine="420" w:firstLineChars="200"/>
        <w:jc w:val="left"/>
        <w:rPr>
          <w:rFonts w:ascii="宋体" w:hAnsi="宋体"/>
          <w:color w:val="000000" w:themeColor="text1"/>
          <w:sz w:val="21"/>
          <w:szCs w:val="21"/>
          <w:highlight w:val="none"/>
          <w14:textFill>
            <w14:solidFill>
              <w14:schemeClr w14:val="tx1"/>
            </w14:solidFill>
          </w14:textFill>
        </w:rPr>
      </w:pP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693" w:name="_Toc3966"/>
      <w:bookmarkStart w:id="2694" w:name="_Toc29725"/>
      <w:bookmarkStart w:id="2695" w:name="_Toc17613"/>
      <w:bookmarkStart w:id="2696" w:name="_Toc26993"/>
      <w:bookmarkStart w:id="2697" w:name="_Toc30189"/>
      <w:bookmarkStart w:id="2698" w:name="_Toc4211"/>
      <w:bookmarkStart w:id="2699" w:name="_Toc20808"/>
      <w:bookmarkStart w:id="2700" w:name="_Toc28106"/>
      <w:bookmarkStart w:id="2701" w:name="_Toc31467"/>
      <w:bookmarkStart w:id="2702" w:name="_Toc27881"/>
      <w:bookmarkStart w:id="2703" w:name="_Toc305"/>
      <w:bookmarkStart w:id="2704" w:name="_Toc30339"/>
      <w:bookmarkStart w:id="2705" w:name="_Toc106719453"/>
      <w:r>
        <w:rPr>
          <w:rFonts w:ascii="宋体" w:hAnsi="宋体"/>
          <w:color w:val="000000" w:themeColor="text1"/>
          <w:sz w:val="21"/>
          <w:szCs w:val="21"/>
          <w:highlight w:val="none"/>
          <w14:textFill>
            <w14:solidFill>
              <w14:schemeClr w14:val="tx1"/>
            </w14:solidFill>
          </w14:textFill>
        </w:rPr>
        <w:t>3.3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勘察人代表</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pPr>
        <w:snapToGrid w:val="0"/>
        <w:spacing w:line="360" w:lineRule="auto"/>
        <w:ind w:firstLine="420" w:firstLineChars="200"/>
        <w:jc w:val="left"/>
        <w:rPr>
          <w:rFonts w:ascii="宋体" w:hAnsi="宋体" w:cs="宋体"/>
          <w:b/>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姓名</w:t>
      </w:r>
      <w:r>
        <w:rPr>
          <w:rFonts w:hint="eastAsia" w:ascii="宋体" w:hAnsi="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职务：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联系方式：</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授权范围：</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706" w:name="_Toc17358"/>
      <w:bookmarkStart w:id="2707" w:name="_Toc23440"/>
      <w:bookmarkStart w:id="2708" w:name="_Toc19972"/>
      <w:bookmarkStart w:id="2709" w:name="_Toc28218"/>
      <w:bookmarkStart w:id="2710" w:name="_Toc106719454"/>
      <w:bookmarkStart w:id="2711" w:name="_Toc3759"/>
      <w:bookmarkStart w:id="2712" w:name="_Toc406150490"/>
      <w:bookmarkStart w:id="2713" w:name="_Toc29546"/>
      <w:bookmarkStart w:id="2714" w:name="_Toc26988"/>
      <w:bookmarkStart w:id="2715" w:name="_Toc457826221"/>
      <w:bookmarkStart w:id="2716" w:name="_Toc7386"/>
      <w:bookmarkStart w:id="2717" w:name="_Toc27379"/>
      <w:bookmarkStart w:id="2718" w:name="_Toc4214"/>
      <w:bookmarkStart w:id="2719" w:name="_Toc25367"/>
      <w:bookmarkStart w:id="2720" w:name="_Toc13768"/>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4</w:t>
      </w:r>
      <w:r>
        <w:rPr>
          <w:rFonts w:hint="eastAsia" w:ascii="黑体" w:hAnsi="黑体" w:eastAsia="黑体"/>
          <w:b w:val="0"/>
          <w:color w:val="000000" w:themeColor="text1"/>
          <w:sz w:val="28"/>
          <w:szCs w:val="28"/>
          <w:highlight w:val="none"/>
          <w14:textFill>
            <w14:solidFill>
              <w14:schemeClr w14:val="tx1"/>
            </w14:solidFill>
          </w14:textFill>
        </w:rPr>
        <w:t>条 工期</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721" w:name="_Toc457826222"/>
      <w:bookmarkStart w:id="2722" w:name="_Toc21054"/>
      <w:bookmarkStart w:id="2723" w:name="_Toc406150491"/>
      <w:bookmarkStart w:id="2724" w:name="_Toc20352"/>
      <w:bookmarkStart w:id="2725" w:name="_Toc766"/>
      <w:bookmarkStart w:id="2726" w:name="_Toc5955"/>
      <w:bookmarkStart w:id="2727" w:name="_Toc9328"/>
      <w:bookmarkStart w:id="2728" w:name="_Toc25151"/>
      <w:bookmarkStart w:id="2729" w:name="_Toc6643"/>
      <w:bookmarkStart w:id="2730" w:name="_Toc19238"/>
      <w:bookmarkStart w:id="2731" w:name="_Toc20253"/>
      <w:bookmarkStart w:id="2732" w:name="_Toc6755"/>
      <w:bookmarkStart w:id="2733" w:name="_Toc11124"/>
      <w:bookmarkStart w:id="2734" w:name="_Toc106719455"/>
      <w:bookmarkStart w:id="2735" w:name="_Toc16221"/>
      <w:r>
        <w:rPr>
          <w:rFonts w:ascii="宋体" w:hAnsi="宋体"/>
          <w:color w:val="000000" w:themeColor="text1"/>
          <w:sz w:val="21"/>
          <w:szCs w:val="21"/>
          <w:highlight w:val="none"/>
          <w14:textFill>
            <w14:solidFill>
              <w14:schemeClr w14:val="tx1"/>
            </w14:solidFill>
          </w14:textFill>
        </w:rPr>
        <w:t>4.2</w:t>
      </w:r>
      <w:r>
        <w:rPr>
          <w:rFonts w:hint="eastAsia" w:ascii="宋体" w:hAnsi="宋体" w:cs="宋体"/>
          <w:color w:val="000000" w:themeColor="text1"/>
          <w:sz w:val="21"/>
          <w:szCs w:val="21"/>
          <w:highlight w:val="none"/>
          <w14:textFill>
            <w14:solidFill>
              <w14:schemeClr w14:val="tx1"/>
            </w14:solidFill>
          </w14:textFill>
        </w:rPr>
        <w:t>成果提交日期</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双方约定工期顺延的其他情况：</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6"/>
        <w:keepNext w:val="0"/>
        <w:keepLines w:val="0"/>
        <w:tabs>
          <w:tab w:val="left" w:pos="1260"/>
        </w:tabs>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736" w:name="_Toc14521"/>
      <w:bookmarkStart w:id="2737" w:name="_Toc8897"/>
      <w:bookmarkStart w:id="2738" w:name="_Toc11659"/>
      <w:bookmarkStart w:id="2739" w:name="_Toc8581"/>
      <w:bookmarkStart w:id="2740" w:name="_Toc11257"/>
      <w:bookmarkStart w:id="2741" w:name="_Toc9684"/>
      <w:bookmarkStart w:id="2742" w:name="_Toc20509"/>
      <w:bookmarkStart w:id="2743" w:name="_Toc23930"/>
      <w:bookmarkStart w:id="2744" w:name="_Toc457826223"/>
      <w:bookmarkStart w:id="2745" w:name="_Toc106719456"/>
      <w:bookmarkStart w:id="2746" w:name="_Toc17744"/>
      <w:bookmarkStart w:id="2747" w:name="_Toc22171"/>
      <w:bookmarkStart w:id="2748" w:name="_Toc9465"/>
      <w:bookmarkStart w:id="2749" w:name="_Toc6690"/>
      <w:r>
        <w:rPr>
          <w:rFonts w:ascii="宋体" w:hAnsi="宋体"/>
          <w:color w:val="000000" w:themeColor="text1"/>
          <w:sz w:val="21"/>
          <w:szCs w:val="21"/>
          <w:highlight w:val="none"/>
          <w14:textFill>
            <w14:solidFill>
              <w14:schemeClr w14:val="tx1"/>
            </w14:solidFill>
          </w14:textFill>
        </w:rPr>
        <w:t>4.3</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发包人造成的工期延误</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pPr>
        <w:tabs>
          <w:tab w:val="left" w:pos="900"/>
        </w:tabs>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4.3.2</w:t>
      </w:r>
      <w:r>
        <w:rPr>
          <w:rFonts w:hint="eastAsia" w:ascii="宋体" w:hAnsi="宋体"/>
          <w:color w:val="000000" w:themeColor="text1"/>
          <w:sz w:val="21"/>
          <w:szCs w:val="21"/>
          <w:highlight w:val="none"/>
          <w14:textFill>
            <w14:solidFill>
              <w14:schemeClr w14:val="tx1"/>
            </w14:solidFill>
          </w14:textFill>
        </w:rPr>
        <w:t xml:space="preserve"> 双方就工期顺延确定期限的约定：</w:t>
      </w:r>
    </w:p>
    <w:p>
      <w:pPr>
        <w:tabs>
          <w:tab w:val="left" w:pos="900"/>
        </w:tabs>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750" w:name="_Toc457826224"/>
      <w:bookmarkStart w:id="2751" w:name="_Toc2524"/>
      <w:bookmarkStart w:id="2752" w:name="_Toc1312"/>
      <w:bookmarkStart w:id="2753" w:name="_Toc18308"/>
      <w:bookmarkStart w:id="2754" w:name="_Toc24762"/>
      <w:bookmarkStart w:id="2755" w:name="_Toc22781"/>
      <w:bookmarkStart w:id="2756" w:name="_Toc24929"/>
      <w:bookmarkStart w:id="2757" w:name="_Toc21999"/>
      <w:bookmarkStart w:id="2758" w:name="_Toc2660"/>
      <w:bookmarkStart w:id="2759" w:name="_Toc406150493"/>
      <w:bookmarkStart w:id="2760" w:name="_Toc5475"/>
      <w:bookmarkStart w:id="2761" w:name="_Toc106719457"/>
      <w:bookmarkStart w:id="2762" w:name="_Toc11366"/>
      <w:bookmarkStart w:id="2763" w:name="_Toc16301"/>
      <w:bookmarkStart w:id="2764" w:name="_Toc31313"/>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5</w:t>
      </w:r>
      <w:r>
        <w:rPr>
          <w:rFonts w:hint="eastAsia" w:ascii="黑体" w:hAnsi="黑体" w:eastAsia="黑体"/>
          <w:b w:val="0"/>
          <w:color w:val="000000" w:themeColor="text1"/>
          <w:sz w:val="28"/>
          <w:szCs w:val="28"/>
          <w:highlight w:val="none"/>
          <w14:textFill>
            <w14:solidFill>
              <w14:schemeClr w14:val="tx1"/>
            </w14:solidFill>
          </w14:textFill>
        </w:rPr>
        <w:t>条 成果资料</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765" w:name="_Toc3656"/>
      <w:bookmarkStart w:id="2766" w:name="_Toc13680"/>
      <w:bookmarkStart w:id="2767" w:name="_Toc17460"/>
      <w:bookmarkStart w:id="2768" w:name="_Toc13067"/>
      <w:bookmarkStart w:id="2769" w:name="_Toc106719458"/>
      <w:bookmarkStart w:id="2770" w:name="_Toc9323"/>
      <w:bookmarkStart w:id="2771" w:name="_Toc4624"/>
      <w:bookmarkStart w:id="2772" w:name="_Toc406150494"/>
      <w:bookmarkStart w:id="2773" w:name="_Toc17147"/>
      <w:bookmarkStart w:id="2774" w:name="_Toc10889"/>
      <w:bookmarkStart w:id="2775" w:name="_Toc18635"/>
      <w:bookmarkStart w:id="2776" w:name="_Toc3416"/>
      <w:bookmarkStart w:id="2777" w:name="_Toc457826225"/>
      <w:bookmarkStart w:id="2778" w:name="_Toc28530"/>
      <w:bookmarkStart w:id="2779" w:name="_Toc3945"/>
      <w:r>
        <w:rPr>
          <w:rFonts w:ascii="宋体" w:hAnsi="宋体"/>
          <w:color w:val="000000" w:themeColor="text1"/>
          <w:sz w:val="21"/>
          <w:szCs w:val="21"/>
          <w:highlight w:val="none"/>
          <w14:textFill>
            <w14:solidFill>
              <w14:schemeClr w14:val="tx1"/>
            </w14:solidFill>
          </w14:textFill>
        </w:rPr>
        <w:t xml:space="preserve">5.2 </w:t>
      </w:r>
      <w:r>
        <w:rPr>
          <w:rFonts w:hint="eastAsia" w:ascii="宋体" w:hAnsi="宋体" w:cs="宋体"/>
          <w:color w:val="000000" w:themeColor="text1"/>
          <w:sz w:val="21"/>
          <w:szCs w:val="21"/>
          <w:highlight w:val="none"/>
          <w14:textFill>
            <w14:solidFill>
              <w14:schemeClr w14:val="tx1"/>
            </w14:solidFill>
          </w14:textFill>
        </w:rPr>
        <w:t>成果份数</w:t>
      </w:r>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p>
    <w:p>
      <w:pPr>
        <w:tabs>
          <w:tab w:val="left" w:pos="54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勘察人应向发包人提交成果资料四份，发包人要求增加的份数为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份。</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780" w:name="_Toc4941"/>
      <w:bookmarkStart w:id="2781" w:name="_Toc6990"/>
      <w:bookmarkStart w:id="2782" w:name="_Toc457826226"/>
      <w:bookmarkStart w:id="2783" w:name="_Toc106719459"/>
      <w:bookmarkStart w:id="2784" w:name="_Toc32025"/>
      <w:bookmarkStart w:id="2785" w:name="_Toc16560"/>
      <w:bookmarkStart w:id="2786" w:name="_Toc23868"/>
      <w:bookmarkStart w:id="2787" w:name="_Toc4314"/>
      <w:bookmarkStart w:id="2788" w:name="_Toc15967"/>
      <w:bookmarkStart w:id="2789" w:name="_Toc6992"/>
      <w:bookmarkStart w:id="2790" w:name="_Toc32726"/>
      <w:bookmarkStart w:id="2791" w:name="_Toc5232"/>
      <w:bookmarkStart w:id="2792" w:name="_Toc7703"/>
      <w:bookmarkStart w:id="2793" w:name="_Toc6599"/>
      <w:r>
        <w:rPr>
          <w:rFonts w:ascii="宋体" w:hAnsi="宋体"/>
          <w:color w:val="000000" w:themeColor="text1"/>
          <w:sz w:val="21"/>
          <w:szCs w:val="21"/>
          <w:highlight w:val="none"/>
          <w14:textFill>
            <w14:solidFill>
              <w14:schemeClr w14:val="tx1"/>
            </w14:solidFill>
          </w14:textFill>
        </w:rPr>
        <w:t xml:space="preserve">5.4 </w:t>
      </w:r>
      <w:r>
        <w:rPr>
          <w:rFonts w:hint="eastAsia" w:ascii="宋体" w:hAnsi="宋体" w:cs="宋体"/>
          <w:color w:val="000000" w:themeColor="text1"/>
          <w:sz w:val="21"/>
          <w:szCs w:val="21"/>
          <w:highlight w:val="none"/>
          <w14:textFill>
            <w14:solidFill>
              <w14:schemeClr w14:val="tx1"/>
            </w14:solidFill>
          </w14:textFill>
        </w:rPr>
        <w:t>成果验收</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pPr>
        <w:tabs>
          <w:tab w:val="left" w:pos="540"/>
        </w:tabs>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双方就成果验收期限的约定：</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794" w:name="_Toc27263"/>
      <w:bookmarkStart w:id="2795" w:name="_Toc406150495"/>
      <w:bookmarkStart w:id="2796" w:name="_Toc323"/>
      <w:bookmarkStart w:id="2797" w:name="_Toc20656"/>
      <w:bookmarkStart w:id="2798" w:name="_Toc30888"/>
      <w:bookmarkStart w:id="2799" w:name="_Toc19332"/>
      <w:bookmarkStart w:id="2800" w:name="_Toc16844"/>
      <w:bookmarkStart w:id="2801" w:name="_Toc6457"/>
      <w:bookmarkStart w:id="2802" w:name="_Toc9442"/>
      <w:bookmarkStart w:id="2803" w:name="_Toc21967"/>
      <w:bookmarkStart w:id="2804" w:name="_Toc457826227"/>
      <w:bookmarkStart w:id="2805" w:name="_Toc106719460"/>
      <w:bookmarkStart w:id="2806" w:name="_Toc22854"/>
      <w:bookmarkStart w:id="2807" w:name="_Toc26131"/>
      <w:bookmarkStart w:id="2808" w:name="_Toc18104"/>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6</w:t>
      </w:r>
      <w:r>
        <w:rPr>
          <w:rFonts w:hint="eastAsia" w:ascii="黑体" w:hAnsi="黑体" w:eastAsia="黑体"/>
          <w:b w:val="0"/>
          <w:color w:val="000000" w:themeColor="text1"/>
          <w:sz w:val="28"/>
          <w:szCs w:val="28"/>
          <w:highlight w:val="none"/>
          <w14:textFill>
            <w14:solidFill>
              <w14:schemeClr w14:val="tx1"/>
            </w14:solidFill>
          </w14:textFill>
        </w:rPr>
        <w:t>条 后期服务</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809" w:name="_Toc14588"/>
      <w:bookmarkStart w:id="2810" w:name="_Toc7541"/>
      <w:bookmarkStart w:id="2811" w:name="_Toc27104"/>
      <w:bookmarkStart w:id="2812" w:name="_Toc9894"/>
      <w:bookmarkStart w:id="2813" w:name="_Toc22999"/>
      <w:bookmarkStart w:id="2814" w:name="_Toc20727"/>
      <w:bookmarkStart w:id="2815" w:name="_Toc12711"/>
      <w:bookmarkStart w:id="2816" w:name="_Toc22426"/>
      <w:bookmarkStart w:id="2817" w:name="_Toc16790"/>
      <w:bookmarkStart w:id="2818" w:name="_Toc6376"/>
      <w:bookmarkStart w:id="2819" w:name="_Toc11024"/>
      <w:bookmarkStart w:id="2820" w:name="_Toc106719461"/>
      <w:bookmarkStart w:id="2821" w:name="_Toc20645"/>
      <w:bookmarkStart w:id="2822" w:name="_Toc457826228"/>
      <w:bookmarkStart w:id="2823" w:name="_Toc406150496"/>
      <w:r>
        <w:rPr>
          <w:rFonts w:ascii="宋体" w:hAnsi="宋体"/>
          <w:color w:val="000000" w:themeColor="text1"/>
          <w:sz w:val="21"/>
          <w:szCs w:val="21"/>
          <w:highlight w:val="none"/>
          <w14:textFill>
            <w14:solidFill>
              <w14:schemeClr w14:val="tx1"/>
            </w14:solidFill>
          </w14:textFill>
        </w:rPr>
        <w:t xml:space="preserve">6.1 </w:t>
      </w:r>
      <w:r>
        <w:rPr>
          <w:rFonts w:hint="eastAsia" w:ascii="宋体" w:hAnsi="宋体" w:cs="宋体"/>
          <w:color w:val="000000" w:themeColor="text1"/>
          <w:sz w:val="21"/>
          <w:szCs w:val="21"/>
          <w:highlight w:val="none"/>
          <w14:textFill>
            <w14:solidFill>
              <w14:schemeClr w14:val="tx1"/>
            </w14:solidFill>
          </w14:textFill>
        </w:rPr>
        <w:t>后续技术服务</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pPr>
        <w:tabs>
          <w:tab w:val="left" w:pos="54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后续技术服务内容约定</w:t>
      </w:r>
      <w:r>
        <w:rPr>
          <w:rFonts w:ascii="宋体" w:hAnsi="宋体" w:cs="宋体"/>
          <w:color w:val="000000" w:themeColor="text1"/>
          <w:sz w:val="21"/>
          <w:szCs w:val="21"/>
          <w:highlight w:val="none"/>
          <w14:textFill>
            <w14:solidFill>
              <w14:schemeClr w14:val="tx1"/>
            </w14:solidFill>
          </w14:textFill>
        </w:rPr>
        <w:t>:</w:t>
      </w:r>
      <w:bookmarkEnd w:id="2823"/>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54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后续技术服务费用约定：</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后续技术服务时限约定：</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824" w:name="_Toc961"/>
      <w:bookmarkStart w:id="2825" w:name="_Toc106719462"/>
      <w:bookmarkStart w:id="2826" w:name="_Toc21051"/>
      <w:bookmarkStart w:id="2827" w:name="_Toc30348"/>
      <w:bookmarkStart w:id="2828" w:name="_Toc23757"/>
      <w:bookmarkStart w:id="2829" w:name="_Toc406150497"/>
      <w:bookmarkStart w:id="2830" w:name="_Toc3183"/>
      <w:bookmarkStart w:id="2831" w:name="_Toc457826229"/>
      <w:bookmarkStart w:id="2832" w:name="_Toc14314"/>
      <w:bookmarkStart w:id="2833" w:name="_Toc26322"/>
      <w:bookmarkStart w:id="2834" w:name="_Toc27963"/>
      <w:bookmarkStart w:id="2835" w:name="_Toc26880"/>
      <w:bookmarkStart w:id="2836" w:name="_Toc2881"/>
      <w:bookmarkStart w:id="2837" w:name="_Toc10559"/>
      <w:bookmarkStart w:id="2838" w:name="_Toc8929"/>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7</w:t>
      </w:r>
      <w:r>
        <w:rPr>
          <w:rFonts w:hint="eastAsia" w:ascii="黑体" w:hAnsi="黑体" w:eastAsia="黑体"/>
          <w:b w:val="0"/>
          <w:color w:val="000000" w:themeColor="text1"/>
          <w:sz w:val="28"/>
          <w:szCs w:val="28"/>
          <w:highlight w:val="none"/>
          <w14:textFill>
            <w14:solidFill>
              <w14:schemeClr w14:val="tx1"/>
            </w14:solidFill>
          </w14:textFill>
        </w:rPr>
        <w:t>条 合同价款与支付</w:t>
      </w:r>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839" w:name="_Toc457826230"/>
      <w:bookmarkStart w:id="2840" w:name="_Toc5943"/>
      <w:bookmarkStart w:id="2841" w:name="_Toc16197"/>
      <w:bookmarkStart w:id="2842" w:name="_Toc6017"/>
      <w:bookmarkStart w:id="2843" w:name="_Toc3496"/>
      <w:bookmarkStart w:id="2844" w:name="_Toc4317"/>
      <w:bookmarkStart w:id="2845" w:name="_Toc8505"/>
      <w:bookmarkStart w:id="2846" w:name="_Toc22265"/>
      <w:bookmarkStart w:id="2847" w:name="_Toc406150498"/>
      <w:bookmarkStart w:id="2848" w:name="_Toc233"/>
      <w:bookmarkStart w:id="2849" w:name="_Toc16486"/>
      <w:bookmarkStart w:id="2850" w:name="_Toc106719463"/>
      <w:bookmarkStart w:id="2851" w:name="_Toc18831"/>
      <w:bookmarkStart w:id="2852" w:name="_Toc6243"/>
      <w:bookmarkStart w:id="2853" w:name="_Toc16540"/>
      <w:r>
        <w:rPr>
          <w:rFonts w:ascii="宋体" w:hAnsi="宋体"/>
          <w:color w:val="000000" w:themeColor="text1"/>
          <w:sz w:val="21"/>
          <w:szCs w:val="21"/>
          <w:highlight w:val="none"/>
          <w14:textFill>
            <w14:solidFill>
              <w14:schemeClr w14:val="tx1"/>
            </w14:solidFill>
          </w14:textFill>
        </w:rPr>
        <w:t xml:space="preserve">7.1 </w:t>
      </w:r>
      <w:r>
        <w:rPr>
          <w:rFonts w:hint="eastAsia" w:ascii="宋体" w:hAnsi="宋体" w:cs="宋体"/>
          <w:color w:val="000000" w:themeColor="text1"/>
          <w:sz w:val="21"/>
          <w:szCs w:val="21"/>
          <w:highlight w:val="none"/>
          <w14:textFill>
            <w14:solidFill>
              <w14:schemeClr w14:val="tx1"/>
            </w14:solidFill>
          </w14:textFill>
        </w:rPr>
        <w:t>合同价款与调整</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
    <w:p>
      <w:pPr>
        <w:tabs>
          <w:tab w:val="left" w:pos="90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7.1.1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双方约定的合同价款调整因素和方法：</w:t>
      </w:r>
    </w:p>
    <w:p>
      <w:pPr>
        <w:tabs>
          <w:tab w:val="left" w:pos="90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90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7.1.2</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本合同价款采用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方式确定。</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）采用总价合同，合同价款中包括的风险范围：</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风险费用的计算方法：</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风险范围以外合同价款调整因素和方法：</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b/>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）采用单价合同，合同价款中包括的风险范围：</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风险范围以外合同单价调整因素和方法：</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）采用的其他合同价款形式及调整因素和方法：</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7.1.3</w:t>
      </w:r>
      <w:r>
        <w:rPr>
          <w:rFonts w:hint="eastAsia" w:ascii="宋体" w:hAnsi="宋体" w:cs="宋体"/>
          <w:color w:val="000000" w:themeColor="text1"/>
          <w:sz w:val="21"/>
          <w:szCs w:val="21"/>
          <w:highlight w:val="none"/>
          <w14:textFill>
            <w14:solidFill>
              <w14:schemeClr w14:val="tx1"/>
            </w14:solidFill>
          </w14:textFill>
        </w:rPr>
        <w:t>双方</w:t>
      </w:r>
      <w:r>
        <w:rPr>
          <w:rFonts w:hint="eastAsia" w:ascii="宋体" w:hAnsi="宋体"/>
          <w:color w:val="000000" w:themeColor="text1"/>
          <w:sz w:val="21"/>
          <w:szCs w:val="21"/>
          <w:highlight w:val="none"/>
          <w14:textFill>
            <w14:solidFill>
              <w14:schemeClr w14:val="tx1"/>
            </w14:solidFill>
          </w14:textFill>
        </w:rPr>
        <w:t>就合同价款调整确认期限的约定</w:t>
      </w:r>
      <w:r>
        <w:rPr>
          <w:rFonts w:hint="eastAsia" w:ascii="宋体" w:hAnsi="宋体" w:cs="宋体"/>
          <w:color w:val="000000" w:themeColor="text1"/>
          <w:sz w:val="21"/>
          <w:szCs w:val="21"/>
          <w:highlight w:val="none"/>
          <w14:textFill>
            <w14:solidFill>
              <w14:schemeClr w14:val="tx1"/>
            </w14:solidFill>
          </w14:textFill>
        </w:rPr>
        <w:t>：</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854" w:name="_Toc29641"/>
      <w:bookmarkStart w:id="2855" w:name="_Toc23402"/>
      <w:bookmarkStart w:id="2856" w:name="_Toc20715"/>
      <w:bookmarkStart w:id="2857" w:name="_Toc23365"/>
      <w:bookmarkStart w:id="2858" w:name="_Toc12400"/>
      <w:bookmarkStart w:id="2859" w:name="_Toc106719464"/>
      <w:bookmarkStart w:id="2860" w:name="_Toc13762"/>
      <w:bookmarkStart w:id="2861" w:name="_Toc9351"/>
      <w:bookmarkStart w:id="2862" w:name="_Toc17042"/>
      <w:bookmarkStart w:id="2863" w:name="_Toc406150499"/>
      <w:bookmarkStart w:id="2864" w:name="_Toc16583"/>
      <w:bookmarkStart w:id="2865" w:name="_Toc457826231"/>
      <w:bookmarkStart w:id="2866" w:name="_Toc24414"/>
      <w:bookmarkStart w:id="2867" w:name="_Toc22296"/>
      <w:bookmarkStart w:id="2868" w:name="_Toc13471"/>
      <w:r>
        <w:rPr>
          <w:rFonts w:ascii="宋体" w:hAnsi="宋体"/>
          <w:color w:val="000000" w:themeColor="text1"/>
          <w:sz w:val="21"/>
          <w:szCs w:val="21"/>
          <w:highlight w:val="none"/>
          <w14:textFill>
            <w14:solidFill>
              <w14:schemeClr w14:val="tx1"/>
            </w14:solidFill>
          </w14:textFill>
        </w:rPr>
        <w:t xml:space="preserve">7.2 </w:t>
      </w:r>
      <w:r>
        <w:rPr>
          <w:rFonts w:hint="eastAsia" w:ascii="宋体" w:hAnsi="宋体" w:cs="宋体"/>
          <w:color w:val="000000" w:themeColor="text1"/>
          <w:sz w:val="21"/>
          <w:szCs w:val="21"/>
          <w:highlight w:val="none"/>
          <w14:textFill>
            <w14:solidFill>
              <w14:schemeClr w14:val="tx1"/>
            </w14:solidFill>
          </w14:textFill>
        </w:rPr>
        <w:t>定金或预付款</w:t>
      </w:r>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7.2.1</w:t>
      </w:r>
      <w:r>
        <w:rPr>
          <w:rFonts w:hint="eastAsia" w:ascii="宋体" w:hAnsi="宋体" w:cs="宋体"/>
          <w:color w:val="000000" w:themeColor="text1"/>
          <w:sz w:val="21"/>
          <w:szCs w:val="21"/>
          <w:highlight w:val="none"/>
          <w14:textFill>
            <w14:solidFill>
              <w14:schemeClr w14:val="tx1"/>
            </w14:solidFill>
          </w14:textFill>
        </w:rPr>
        <w:t>发包人向勘察人支付定金金额</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或预付款的金额：</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7.2.2</w:t>
      </w:r>
      <w:r>
        <w:rPr>
          <w:rFonts w:hint="eastAsia" w:ascii="宋体" w:hAnsi="宋体" w:cs="宋体"/>
          <w:color w:val="000000" w:themeColor="text1"/>
          <w:sz w:val="21"/>
          <w:szCs w:val="21"/>
          <w:highlight w:val="none"/>
          <w14:textFill>
            <w14:solidFill>
              <w14:schemeClr w14:val="tx1"/>
            </w14:solidFill>
          </w14:textFill>
        </w:rPr>
        <w:t>定金或预付款在进度款中的抵扣办法：</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869" w:name="_Toc4227"/>
      <w:bookmarkStart w:id="2870" w:name="_Toc20107"/>
      <w:bookmarkStart w:id="2871" w:name="_Toc15401"/>
      <w:bookmarkStart w:id="2872" w:name="_Toc14239"/>
      <w:bookmarkStart w:id="2873" w:name="_Toc18413"/>
      <w:bookmarkStart w:id="2874" w:name="_Toc406150500"/>
      <w:bookmarkStart w:id="2875" w:name="_Toc4105"/>
      <w:bookmarkStart w:id="2876" w:name="_Toc457826232"/>
      <w:bookmarkStart w:id="2877" w:name="_Toc25705"/>
      <w:bookmarkStart w:id="2878" w:name="_Toc29898"/>
      <w:bookmarkStart w:id="2879" w:name="_Toc106719465"/>
      <w:bookmarkStart w:id="2880" w:name="_Toc7299"/>
      <w:bookmarkStart w:id="2881" w:name="_Toc30001"/>
      <w:bookmarkStart w:id="2882" w:name="_Toc14273"/>
      <w:bookmarkStart w:id="2883" w:name="_Toc9456"/>
      <w:r>
        <w:rPr>
          <w:rFonts w:ascii="宋体" w:hAnsi="宋体"/>
          <w:color w:val="000000" w:themeColor="text1"/>
          <w:sz w:val="21"/>
          <w:szCs w:val="21"/>
          <w:highlight w:val="none"/>
          <w14:textFill>
            <w14:solidFill>
              <w14:schemeClr w14:val="tx1"/>
            </w14:solidFill>
          </w14:textFill>
        </w:rPr>
        <w:t xml:space="preserve">7.3 </w:t>
      </w:r>
      <w:r>
        <w:rPr>
          <w:rFonts w:hint="eastAsia" w:ascii="宋体" w:hAnsi="宋体" w:cs="宋体"/>
          <w:color w:val="000000" w:themeColor="text1"/>
          <w:sz w:val="21"/>
          <w:szCs w:val="21"/>
          <w:highlight w:val="none"/>
          <w14:textFill>
            <w14:solidFill>
              <w14:schemeClr w14:val="tx1"/>
            </w14:solidFill>
          </w14:textFill>
        </w:rPr>
        <w:t>进度款支付</w:t>
      </w:r>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7.3.1</w:t>
      </w:r>
      <w:r>
        <w:rPr>
          <w:rFonts w:hint="eastAsia" w:ascii="宋体" w:hAnsi="宋体" w:cs="宋体"/>
          <w:color w:val="000000" w:themeColor="text1"/>
          <w:sz w:val="21"/>
          <w:szCs w:val="21"/>
          <w:highlight w:val="none"/>
          <w14:textFill>
            <w14:solidFill>
              <w14:schemeClr w14:val="tx1"/>
            </w14:solidFill>
          </w14:textFill>
        </w:rPr>
        <w:t>双方约定的进度款支付方式、支付条件和支付时间：</w:t>
      </w:r>
      <w:r>
        <w:rPr>
          <w:rFonts w:ascii="宋体" w:hAnsi="宋体" w:cs="宋体"/>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6"/>
        <w:keepNext w:val="0"/>
        <w:keepLines w:val="0"/>
        <w:tabs>
          <w:tab w:val="left" w:pos="1440"/>
        </w:tabs>
        <w:snapToGrid w:val="0"/>
        <w:spacing w:before="0" w:after="0" w:line="360" w:lineRule="auto"/>
        <w:ind w:firstLine="420" w:firstLineChars="200"/>
        <w:jc w:val="left"/>
        <w:rPr>
          <w:rFonts w:ascii="宋体" w:hAnsi="宋体"/>
          <w:b w:val="0"/>
          <w:color w:val="000000" w:themeColor="text1"/>
          <w:sz w:val="21"/>
          <w:szCs w:val="21"/>
          <w:highlight w:val="none"/>
          <w14:textFill>
            <w14:solidFill>
              <w14:schemeClr w14:val="tx1"/>
            </w14:solidFill>
          </w14:textFill>
        </w:rPr>
      </w:pPr>
      <w:bookmarkStart w:id="2884" w:name="_Toc9256"/>
      <w:bookmarkStart w:id="2885" w:name="_Toc5618"/>
      <w:bookmarkStart w:id="2886" w:name="_Toc106719466"/>
      <w:bookmarkStart w:id="2887" w:name="_Toc6157"/>
      <w:bookmarkStart w:id="2888" w:name="_Toc31138"/>
      <w:bookmarkStart w:id="2889" w:name="_Toc12448"/>
      <w:bookmarkStart w:id="2890" w:name="_Toc2947"/>
      <w:bookmarkStart w:id="2891" w:name="_Toc16694"/>
      <w:bookmarkStart w:id="2892" w:name="_Toc457826233"/>
      <w:bookmarkStart w:id="2893" w:name="_Toc3433"/>
      <w:bookmarkStart w:id="2894" w:name="_Toc31137"/>
      <w:bookmarkStart w:id="2895" w:name="_Toc23697"/>
      <w:bookmarkStart w:id="2896" w:name="_Toc19880"/>
      <w:bookmarkStart w:id="2897" w:name="_Toc31211"/>
      <w:r>
        <w:rPr>
          <w:rFonts w:ascii="宋体" w:hAnsi="宋体"/>
          <w:color w:val="000000" w:themeColor="text1"/>
          <w:sz w:val="21"/>
          <w:szCs w:val="21"/>
          <w:highlight w:val="none"/>
          <w14:textFill>
            <w14:solidFill>
              <w14:schemeClr w14:val="tx1"/>
            </w14:solidFill>
          </w14:textFill>
        </w:rPr>
        <w:t xml:space="preserve">7.4 </w:t>
      </w:r>
      <w:r>
        <w:rPr>
          <w:rFonts w:hint="eastAsia" w:ascii="宋体" w:hAnsi="宋体" w:cs="宋体"/>
          <w:color w:val="000000" w:themeColor="text1"/>
          <w:sz w:val="21"/>
          <w:szCs w:val="21"/>
          <w:highlight w:val="none"/>
          <w14:textFill>
            <w14:solidFill>
              <w14:schemeClr w14:val="tx1"/>
            </w14:solidFill>
          </w14:textFill>
        </w:rPr>
        <w:t>合同价款结算</w:t>
      </w:r>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最终合同价款支付的约定：</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898" w:name="_Toc25560"/>
      <w:bookmarkStart w:id="2899" w:name="_Toc24864"/>
      <w:bookmarkStart w:id="2900" w:name="_Toc32578"/>
      <w:bookmarkStart w:id="2901" w:name="_Toc18258"/>
      <w:bookmarkStart w:id="2902" w:name="_Toc20479"/>
      <w:bookmarkStart w:id="2903" w:name="_Toc4163"/>
      <w:bookmarkStart w:id="2904" w:name="_Toc31963"/>
      <w:bookmarkStart w:id="2905" w:name="_Toc26128"/>
      <w:bookmarkStart w:id="2906" w:name="_Toc457826234"/>
      <w:bookmarkStart w:id="2907" w:name="_Toc106719467"/>
      <w:bookmarkStart w:id="2908" w:name="_Toc14256"/>
      <w:bookmarkStart w:id="2909" w:name="_Toc19154"/>
      <w:bookmarkStart w:id="2910" w:name="_Toc28937"/>
      <w:bookmarkStart w:id="2911" w:name="_Toc6032"/>
      <w:bookmarkStart w:id="2912" w:name="_Toc406150501"/>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8</w:t>
      </w:r>
      <w:r>
        <w:rPr>
          <w:rFonts w:hint="eastAsia" w:ascii="黑体" w:hAnsi="黑体" w:eastAsia="黑体"/>
          <w:b w:val="0"/>
          <w:color w:val="000000" w:themeColor="text1"/>
          <w:sz w:val="28"/>
          <w:szCs w:val="28"/>
          <w:highlight w:val="none"/>
          <w14:textFill>
            <w14:solidFill>
              <w14:schemeClr w14:val="tx1"/>
            </w14:solidFill>
          </w14:textFill>
        </w:rPr>
        <w:t>条 变更与调整</w:t>
      </w:r>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p>
    <w:p>
      <w:pPr>
        <w:snapToGrid w:val="0"/>
        <w:spacing w:line="360" w:lineRule="auto"/>
        <w:ind w:firstLine="420" w:firstLineChars="200"/>
        <w:jc w:val="left"/>
        <w:textAlignment w:val="auto"/>
        <w:rPr>
          <w:rFonts w:ascii="宋体" w:hAnsi="宋体" w:cs="宋体"/>
          <w:b/>
          <w:bCs/>
          <w:color w:val="000000" w:themeColor="text1"/>
          <w:sz w:val="21"/>
          <w:szCs w:val="21"/>
          <w:highlight w:val="none"/>
          <w14:textFill>
            <w14:solidFill>
              <w14:schemeClr w14:val="tx1"/>
            </w14:solidFill>
          </w14:textFill>
        </w:rPr>
      </w:pPr>
      <w:bookmarkStart w:id="2913" w:name="_Toc457826235"/>
      <w:r>
        <w:rPr>
          <w:rFonts w:ascii="宋体" w:hAnsi="宋体"/>
          <w:b/>
          <w:bCs/>
          <w:color w:val="000000" w:themeColor="text1"/>
          <w:sz w:val="21"/>
          <w:szCs w:val="21"/>
          <w:highlight w:val="none"/>
          <w14:textFill>
            <w14:solidFill>
              <w14:schemeClr w14:val="tx1"/>
            </w14:solidFill>
          </w14:textFill>
        </w:rPr>
        <w:t xml:space="preserve">8.1 </w:t>
      </w:r>
      <w:r>
        <w:rPr>
          <w:rFonts w:hint="eastAsia" w:ascii="宋体" w:hAnsi="宋体" w:cs="宋体"/>
          <w:b/>
          <w:bCs/>
          <w:color w:val="000000" w:themeColor="text1"/>
          <w:sz w:val="21"/>
          <w:szCs w:val="21"/>
          <w:highlight w:val="none"/>
          <w14:textFill>
            <w14:solidFill>
              <w14:schemeClr w14:val="tx1"/>
            </w14:solidFill>
          </w14:textFill>
        </w:rPr>
        <w:t>变更范围与确认</w:t>
      </w:r>
      <w:bookmarkEnd w:id="2913"/>
    </w:p>
    <w:p>
      <w:pPr>
        <w:snapToGrid w:val="0"/>
        <w:spacing w:line="360"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8.1.1 </w:t>
      </w:r>
      <w:r>
        <w:rPr>
          <w:rFonts w:hint="eastAsia" w:ascii="宋体" w:hAnsi="宋体" w:cs="宋体"/>
          <w:color w:val="000000" w:themeColor="text1"/>
          <w:sz w:val="21"/>
          <w:szCs w:val="21"/>
          <w:highlight w:val="none"/>
          <w14:textFill>
            <w14:solidFill>
              <w14:schemeClr w14:val="tx1"/>
            </w14:solidFill>
          </w14:textFill>
        </w:rPr>
        <w:t>变更范围</w:t>
      </w:r>
    </w:p>
    <w:p>
      <w:pPr>
        <w:snapToGrid w:val="0"/>
        <w:spacing w:line="360"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变更范围的其他约定：</w:t>
      </w:r>
    </w:p>
    <w:p>
      <w:pPr>
        <w:snapToGrid w:val="0"/>
        <w:spacing w:line="360" w:lineRule="auto"/>
        <w:ind w:firstLine="420" w:firstLineChars="200"/>
        <w:jc w:val="left"/>
        <w:textAlignment w:val="auto"/>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8.1.2 </w:t>
      </w:r>
      <w:r>
        <w:rPr>
          <w:rFonts w:hint="eastAsia" w:ascii="宋体" w:hAnsi="宋体" w:cs="宋体"/>
          <w:color w:val="000000" w:themeColor="text1"/>
          <w:sz w:val="21"/>
          <w:szCs w:val="21"/>
          <w:highlight w:val="none"/>
          <w14:textFill>
            <w14:solidFill>
              <w14:schemeClr w14:val="tx1"/>
            </w14:solidFill>
          </w14:textFill>
        </w:rPr>
        <w:t>变更确认</w:t>
      </w:r>
    </w:p>
    <w:p>
      <w:pPr>
        <w:snapToGrid w:val="0"/>
        <w:spacing w:line="360"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变更提出和确认期限的约定：</w:t>
      </w:r>
    </w:p>
    <w:p>
      <w:pPr>
        <w:snapToGrid w:val="0"/>
        <w:spacing w:line="360" w:lineRule="auto"/>
        <w:ind w:firstLine="420" w:firstLineChars="200"/>
        <w:jc w:val="left"/>
        <w:textAlignment w:val="auto"/>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6"/>
        <w:snapToGrid w:val="0"/>
        <w:spacing w:before="0" w:after="0" w:line="360"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bookmarkStart w:id="2914" w:name="_Toc24991"/>
      <w:bookmarkStart w:id="2915" w:name="_Toc2982"/>
      <w:bookmarkStart w:id="2916" w:name="_Toc20802"/>
      <w:bookmarkStart w:id="2917" w:name="_Toc11545"/>
      <w:bookmarkStart w:id="2918" w:name="_Toc9115"/>
      <w:bookmarkStart w:id="2919" w:name="_Toc106719468"/>
      <w:bookmarkStart w:id="2920" w:name="_Toc16455"/>
      <w:bookmarkStart w:id="2921" w:name="_Toc22142"/>
      <w:bookmarkStart w:id="2922" w:name="_Toc8999"/>
      <w:bookmarkStart w:id="2923" w:name="_Toc5413"/>
      <w:bookmarkStart w:id="2924" w:name="_Toc589"/>
      <w:bookmarkStart w:id="2925" w:name="_Toc22676"/>
      <w:bookmarkStart w:id="2926" w:name="_Toc5376"/>
      <w:bookmarkStart w:id="2927" w:name="_Toc457826236"/>
      <w:r>
        <w:rPr>
          <w:rFonts w:ascii="宋体" w:hAnsi="宋体"/>
          <w:color w:val="000000" w:themeColor="text1"/>
          <w:sz w:val="21"/>
          <w:szCs w:val="21"/>
          <w:highlight w:val="none"/>
          <w14:textFill>
            <w14:solidFill>
              <w14:schemeClr w14:val="tx1"/>
            </w14:solidFill>
          </w14:textFill>
        </w:rPr>
        <w:t xml:space="preserve">8.2 </w:t>
      </w:r>
      <w:r>
        <w:rPr>
          <w:rFonts w:hint="eastAsia" w:ascii="宋体" w:hAnsi="宋体" w:cs="宋体"/>
          <w:color w:val="000000" w:themeColor="text1"/>
          <w:sz w:val="21"/>
          <w:szCs w:val="21"/>
          <w:highlight w:val="none"/>
          <w14:textFill>
            <w14:solidFill>
              <w14:schemeClr w14:val="tx1"/>
            </w14:solidFill>
          </w14:textFill>
        </w:rPr>
        <w:t>变更合同价款确定</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8.2.2 </w:t>
      </w:r>
      <w:r>
        <w:rPr>
          <w:rFonts w:hint="eastAsia" w:ascii="宋体" w:hAnsi="宋体" w:cs="宋体"/>
          <w:color w:val="000000" w:themeColor="text1"/>
          <w:sz w:val="21"/>
          <w:szCs w:val="21"/>
          <w:highlight w:val="none"/>
          <w14:textFill>
            <w14:solidFill>
              <w14:schemeClr w14:val="tx1"/>
            </w14:solidFill>
          </w14:textFill>
        </w:rPr>
        <w:t>提出变更合同价款报告期限的约定：</w:t>
      </w:r>
    </w:p>
    <w:p>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8.2.3 </w:t>
      </w:r>
      <w:r>
        <w:rPr>
          <w:rFonts w:hint="eastAsia" w:ascii="宋体" w:hAnsi="宋体" w:cs="宋体"/>
          <w:color w:val="000000" w:themeColor="text1"/>
          <w:sz w:val="21"/>
          <w:szCs w:val="21"/>
          <w:highlight w:val="none"/>
          <w14:textFill>
            <w14:solidFill>
              <w14:schemeClr w14:val="tx1"/>
            </w14:solidFill>
          </w14:textFill>
        </w:rPr>
        <w:t>确认变更合同价款报告时限的约定：</w:t>
      </w:r>
    </w:p>
    <w:p>
      <w:pPr>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928" w:name="_Toc19428"/>
      <w:bookmarkStart w:id="2929" w:name="_Toc10060"/>
      <w:bookmarkStart w:id="2930" w:name="_Toc20489"/>
      <w:bookmarkStart w:id="2931" w:name="_Toc11233"/>
      <w:bookmarkStart w:id="2932" w:name="_Toc1380"/>
      <w:bookmarkStart w:id="2933" w:name="_Toc457826237"/>
      <w:bookmarkStart w:id="2934" w:name="_Toc106719469"/>
      <w:bookmarkStart w:id="2935" w:name="_Toc8588"/>
      <w:bookmarkStart w:id="2936" w:name="_Toc10471"/>
      <w:bookmarkStart w:id="2937" w:name="_Toc31300"/>
      <w:bookmarkStart w:id="2938" w:name="_Toc8030"/>
      <w:bookmarkStart w:id="2939" w:name="_Toc7081"/>
      <w:bookmarkStart w:id="2940" w:name="_Toc32569"/>
      <w:bookmarkStart w:id="2941" w:name="_Toc18920"/>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9</w:t>
      </w:r>
      <w:r>
        <w:rPr>
          <w:rFonts w:hint="eastAsia" w:ascii="黑体" w:hAnsi="黑体" w:eastAsia="黑体"/>
          <w:b w:val="0"/>
          <w:color w:val="000000" w:themeColor="text1"/>
          <w:sz w:val="28"/>
          <w:szCs w:val="28"/>
          <w:highlight w:val="none"/>
          <w14:textFill>
            <w14:solidFill>
              <w14:schemeClr w14:val="tx1"/>
            </w14:solidFill>
          </w14:textFill>
        </w:rPr>
        <w:t>条 知识产权</w:t>
      </w:r>
      <w:bookmarkEnd w:id="2912"/>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p>
    <w:p>
      <w:pPr>
        <w:tabs>
          <w:tab w:val="left" w:pos="1260"/>
        </w:tabs>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9.1</w:t>
      </w:r>
      <w:r>
        <w:rPr>
          <w:rFonts w:hint="eastAsia" w:ascii="宋体" w:hAnsi="宋体"/>
          <w:color w:val="000000" w:themeColor="text1"/>
          <w:sz w:val="21"/>
          <w:szCs w:val="21"/>
          <w:highlight w:val="none"/>
          <w14:textFill>
            <w14:solidFill>
              <w14:schemeClr w14:val="tx1"/>
            </w14:solidFill>
          </w14:textFill>
        </w:rPr>
        <w:t>关于发包人提供给</w:t>
      </w:r>
      <w:r>
        <w:rPr>
          <w:rFonts w:hint="eastAsia" w:ascii="宋体" w:hAnsi="宋体" w:cs="宋体"/>
          <w:color w:val="000000" w:themeColor="text1"/>
          <w:sz w:val="21"/>
          <w:szCs w:val="21"/>
          <w:highlight w:val="none"/>
          <w14:textFill>
            <w14:solidFill>
              <w14:schemeClr w14:val="tx1"/>
            </w14:solidFill>
          </w14:textFill>
        </w:rPr>
        <w:t>勘察人</w:t>
      </w:r>
      <w:r>
        <w:rPr>
          <w:rFonts w:hint="eastAsia" w:ascii="宋体" w:hAnsi="宋体"/>
          <w:color w:val="000000" w:themeColor="text1"/>
          <w:sz w:val="21"/>
          <w:szCs w:val="21"/>
          <w:highlight w:val="none"/>
          <w14:textFill>
            <w14:solidFill>
              <w14:schemeClr w14:val="tx1"/>
            </w14:solidFill>
          </w14:textFill>
        </w:rPr>
        <w:t>的图纸、发包人为实施工程自行编制或委托编制的反映发包人要求或其他类似性质的文件的著作权的归属：</w:t>
      </w:r>
    </w:p>
    <w:p>
      <w:pPr>
        <w:tabs>
          <w:tab w:val="left" w:pos="1260"/>
        </w:tabs>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关于发包人提供的上述文件的使用限制的要求：</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9.2</w:t>
      </w:r>
      <w:r>
        <w:rPr>
          <w:rFonts w:hint="eastAsia" w:ascii="宋体" w:hAnsi="宋体"/>
          <w:color w:val="000000" w:themeColor="text1"/>
          <w:sz w:val="21"/>
          <w:szCs w:val="21"/>
          <w:highlight w:val="none"/>
          <w14:textFill>
            <w14:solidFill>
              <w14:schemeClr w14:val="tx1"/>
            </w14:solidFill>
          </w14:textFill>
        </w:rPr>
        <w:t>关于</w:t>
      </w:r>
      <w:r>
        <w:rPr>
          <w:rFonts w:hint="eastAsia" w:ascii="宋体" w:hAnsi="宋体" w:cs="宋体"/>
          <w:color w:val="000000" w:themeColor="text1"/>
          <w:sz w:val="21"/>
          <w:szCs w:val="21"/>
          <w:highlight w:val="none"/>
          <w14:textFill>
            <w14:solidFill>
              <w14:schemeClr w14:val="tx1"/>
            </w14:solidFill>
          </w14:textFill>
        </w:rPr>
        <w:t>勘察人</w:t>
      </w:r>
      <w:r>
        <w:rPr>
          <w:rFonts w:hint="eastAsia" w:ascii="宋体" w:hAnsi="宋体"/>
          <w:color w:val="000000" w:themeColor="text1"/>
          <w:sz w:val="21"/>
          <w:szCs w:val="21"/>
          <w:highlight w:val="none"/>
          <w14:textFill>
            <w14:solidFill>
              <w14:schemeClr w14:val="tx1"/>
            </w14:solidFill>
          </w14:textFill>
        </w:rPr>
        <w:t>为实施工程所编制文件的著作权的归属：</w:t>
      </w:r>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关于勘察人提供的上述文件的使用限制的要求：</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bookmarkStart w:id="2942" w:name="_Toc406150503"/>
      <w:r>
        <w:rPr>
          <w:rFonts w:ascii="宋体" w:hAnsi="宋体"/>
          <w:color w:val="000000" w:themeColor="text1"/>
          <w:sz w:val="21"/>
          <w:szCs w:val="21"/>
          <w:highlight w:val="none"/>
          <w14:textFill>
            <w14:solidFill>
              <w14:schemeClr w14:val="tx1"/>
            </w14:solidFill>
          </w14:textFill>
        </w:rPr>
        <w:t xml:space="preserve">9.5 </w:t>
      </w:r>
      <w:bookmarkEnd w:id="2942"/>
      <w:r>
        <w:rPr>
          <w:rFonts w:hint="eastAsia" w:ascii="宋体" w:hAnsi="宋体"/>
          <w:color w:val="000000" w:themeColor="text1"/>
          <w:sz w:val="21"/>
          <w:szCs w:val="21"/>
          <w:highlight w:val="none"/>
          <w14:textFill>
            <w14:solidFill>
              <w14:schemeClr w14:val="tx1"/>
            </w14:solidFill>
          </w14:textFill>
        </w:rPr>
        <w:t>勘察人在工作过程中所采用的专利、专有技术、技术秘密的使用费的承担方式：</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943" w:name="_Toc8703"/>
      <w:bookmarkStart w:id="2944" w:name="_Toc26375"/>
      <w:bookmarkStart w:id="2945" w:name="_Toc20781"/>
      <w:bookmarkStart w:id="2946" w:name="_Toc22034"/>
      <w:bookmarkStart w:id="2947" w:name="_Toc1895"/>
      <w:bookmarkStart w:id="2948" w:name="_Toc406150504"/>
      <w:bookmarkStart w:id="2949" w:name="_Toc457826238"/>
      <w:bookmarkStart w:id="2950" w:name="_Toc7907"/>
      <w:bookmarkStart w:id="2951" w:name="_Toc28533"/>
      <w:bookmarkStart w:id="2952" w:name="_Toc17749"/>
      <w:bookmarkStart w:id="2953" w:name="_Toc18976"/>
      <w:bookmarkStart w:id="2954" w:name="_Toc106719470"/>
      <w:bookmarkStart w:id="2955" w:name="_Toc26076"/>
      <w:bookmarkStart w:id="2956" w:name="_Toc5933"/>
      <w:bookmarkStart w:id="2957" w:name="_Toc2542"/>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10</w:t>
      </w:r>
      <w:r>
        <w:rPr>
          <w:rFonts w:hint="eastAsia" w:ascii="黑体" w:hAnsi="黑体" w:eastAsia="黑体"/>
          <w:b w:val="0"/>
          <w:color w:val="000000" w:themeColor="text1"/>
          <w:sz w:val="28"/>
          <w:szCs w:val="28"/>
          <w:highlight w:val="none"/>
          <w14:textFill>
            <w14:solidFill>
              <w14:schemeClr w14:val="tx1"/>
            </w14:solidFill>
          </w14:textFill>
        </w:rPr>
        <w:t>条 不可抗力</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bookmarkStart w:id="2958" w:name="_Toc406150505"/>
      <w:bookmarkStart w:id="2959" w:name="_Toc457826239"/>
      <w:r>
        <w:rPr>
          <w:rFonts w:ascii="宋体" w:hAnsi="宋体"/>
          <w:b/>
          <w:color w:val="000000" w:themeColor="text1"/>
          <w:sz w:val="21"/>
          <w:szCs w:val="21"/>
          <w:highlight w:val="none"/>
          <w14:textFill>
            <w14:solidFill>
              <w14:schemeClr w14:val="tx1"/>
            </w14:solidFill>
          </w14:textFill>
        </w:rPr>
        <w:t xml:space="preserve">10.1 </w:t>
      </w:r>
      <w:r>
        <w:rPr>
          <w:rFonts w:hint="eastAsia" w:ascii="宋体" w:hAnsi="宋体"/>
          <w:b/>
          <w:color w:val="000000" w:themeColor="text1"/>
          <w:sz w:val="21"/>
          <w:szCs w:val="21"/>
          <w:highlight w:val="none"/>
          <w14:textFill>
            <w14:solidFill>
              <w14:schemeClr w14:val="tx1"/>
            </w14:solidFill>
          </w14:textFill>
        </w:rPr>
        <w:t>不可抗力的确认</w:t>
      </w:r>
      <w:bookmarkEnd w:id="2958"/>
      <w:bookmarkEnd w:id="2959"/>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10.1.1 </w:t>
      </w:r>
      <w:r>
        <w:rPr>
          <w:rFonts w:hint="eastAsia" w:ascii="宋体" w:hAnsi="宋体" w:cs="宋体"/>
          <w:color w:val="000000" w:themeColor="text1"/>
          <w:sz w:val="21"/>
          <w:szCs w:val="21"/>
          <w:highlight w:val="none"/>
          <w14:textFill>
            <w14:solidFill>
              <w14:schemeClr w14:val="tx1"/>
            </w14:solidFill>
          </w14:textFill>
        </w:rPr>
        <w:t>双方关于不可抗力的其他约定（如政府临时禁令）：</w:t>
      </w:r>
    </w:p>
    <w:p>
      <w:pPr>
        <w:tabs>
          <w:tab w:val="left" w:pos="1260"/>
        </w:tabs>
        <w:snapToGrid w:val="0"/>
        <w:spacing w:line="360" w:lineRule="auto"/>
        <w:ind w:firstLine="420" w:firstLineChars="200"/>
        <w:jc w:val="left"/>
        <w:rPr>
          <w:rFonts w:ascii="宋体" w:hAnsi="宋体"/>
          <w:b/>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bookmarkStart w:id="2960" w:name="_Toc457826240"/>
      <w:r>
        <w:rPr>
          <w:rFonts w:ascii="宋体" w:hAnsi="宋体"/>
          <w:b/>
          <w:color w:val="000000" w:themeColor="text1"/>
          <w:sz w:val="21"/>
          <w:szCs w:val="21"/>
          <w:highlight w:val="none"/>
          <w14:textFill>
            <w14:solidFill>
              <w14:schemeClr w14:val="tx1"/>
            </w14:solidFill>
          </w14:textFill>
        </w:rPr>
        <w:t xml:space="preserve">10.2 </w:t>
      </w:r>
      <w:r>
        <w:rPr>
          <w:rFonts w:hint="eastAsia" w:ascii="宋体" w:hAnsi="宋体"/>
          <w:b/>
          <w:color w:val="000000" w:themeColor="text1"/>
          <w:sz w:val="21"/>
          <w:szCs w:val="21"/>
          <w:highlight w:val="none"/>
          <w14:textFill>
            <w14:solidFill>
              <w14:schemeClr w14:val="tx1"/>
            </w14:solidFill>
          </w14:textFill>
        </w:rPr>
        <w:t>不可抗力的通知</w:t>
      </w:r>
      <w:bookmarkEnd w:id="2960"/>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10.2.1 </w:t>
      </w:r>
      <w:r>
        <w:rPr>
          <w:rFonts w:hint="eastAsia" w:ascii="宋体" w:hAnsi="宋体" w:cs="宋体"/>
          <w:color w:val="000000" w:themeColor="text1"/>
          <w:sz w:val="21"/>
          <w:szCs w:val="21"/>
          <w:highlight w:val="none"/>
          <w14:textFill>
            <w14:solidFill>
              <w14:schemeClr w14:val="tx1"/>
            </w14:solidFill>
          </w14:textFill>
        </w:rPr>
        <w:t>不可抗力持续发生，勘察人报告受害损失期限的约定：</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10.2.2 </w:t>
      </w:r>
      <w:r>
        <w:rPr>
          <w:rFonts w:hint="eastAsia" w:ascii="宋体" w:hAnsi="宋体" w:cs="宋体"/>
          <w:color w:val="000000" w:themeColor="text1"/>
          <w:sz w:val="21"/>
          <w:szCs w:val="21"/>
          <w:highlight w:val="none"/>
          <w14:textFill>
            <w14:solidFill>
              <w14:schemeClr w14:val="tx1"/>
            </w14:solidFill>
          </w14:textFill>
        </w:rPr>
        <w:t>勘察人向发包人通报受害损失情况及费用期限的约定：</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961" w:name="_Toc406150506"/>
      <w:bookmarkStart w:id="2962" w:name="_Toc15703"/>
      <w:bookmarkStart w:id="2963" w:name="_Toc15994"/>
      <w:bookmarkStart w:id="2964" w:name="_Toc23575"/>
      <w:bookmarkStart w:id="2965" w:name="_Toc2259"/>
      <w:bookmarkStart w:id="2966" w:name="_Toc106719471"/>
      <w:bookmarkStart w:id="2967" w:name="_Toc5496"/>
      <w:bookmarkStart w:id="2968" w:name="_Toc457826241"/>
      <w:bookmarkStart w:id="2969" w:name="_Toc22755"/>
      <w:bookmarkStart w:id="2970" w:name="_Toc9335"/>
      <w:bookmarkStart w:id="2971" w:name="_Toc73"/>
      <w:bookmarkStart w:id="2972" w:name="_Toc28739"/>
      <w:bookmarkStart w:id="2973" w:name="_Toc4571"/>
      <w:bookmarkStart w:id="2974" w:name="_Toc24365"/>
      <w:bookmarkStart w:id="2975" w:name="_Toc2485"/>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13</w:t>
      </w:r>
      <w:r>
        <w:rPr>
          <w:rFonts w:hint="eastAsia" w:ascii="黑体" w:hAnsi="黑体" w:eastAsia="黑体"/>
          <w:b w:val="0"/>
          <w:color w:val="000000" w:themeColor="text1"/>
          <w:sz w:val="28"/>
          <w:szCs w:val="28"/>
          <w:highlight w:val="none"/>
          <w14:textFill>
            <w14:solidFill>
              <w14:schemeClr w14:val="tx1"/>
            </w14:solidFill>
          </w14:textFill>
        </w:rPr>
        <w:t>条 责任与保险</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pPr>
        <w:tabs>
          <w:tab w:val="left" w:pos="1260"/>
        </w:tabs>
        <w:snapToGrid w:val="0"/>
        <w:spacing w:line="360" w:lineRule="auto"/>
        <w:ind w:firstLine="420" w:firstLineChars="200"/>
        <w:jc w:val="left"/>
        <w:rPr>
          <w:rFonts w:ascii="宋体" w:hAnsi="宋体" w:cs="宋体"/>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13.2 </w:t>
      </w:r>
      <w:r>
        <w:rPr>
          <w:rFonts w:hint="eastAsia" w:ascii="宋体" w:hAnsi="宋体" w:cs="宋体"/>
          <w:bCs/>
          <w:color w:val="000000" w:themeColor="text1"/>
          <w:sz w:val="21"/>
          <w:szCs w:val="21"/>
          <w:highlight w:val="none"/>
          <w14:textFill>
            <w14:solidFill>
              <w14:schemeClr w14:val="tx1"/>
            </w14:solidFill>
          </w14:textFill>
        </w:rPr>
        <w:t>工程勘察责任保险的约定：</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bCs/>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2976" w:name="_Toc106719472"/>
      <w:bookmarkStart w:id="2977" w:name="_Toc7570"/>
      <w:bookmarkStart w:id="2978" w:name="_Toc1137"/>
      <w:bookmarkStart w:id="2979" w:name="_Toc2477"/>
      <w:bookmarkStart w:id="2980" w:name="_Toc2015"/>
      <w:bookmarkStart w:id="2981" w:name="_Toc22967"/>
      <w:bookmarkStart w:id="2982" w:name="_Toc2980"/>
      <w:bookmarkStart w:id="2983" w:name="_Toc406150507"/>
      <w:bookmarkStart w:id="2984" w:name="_Toc22776"/>
      <w:bookmarkStart w:id="2985" w:name="_Toc457826242"/>
      <w:bookmarkStart w:id="2986" w:name="_Toc22492"/>
      <w:bookmarkStart w:id="2987" w:name="_Toc11075"/>
      <w:bookmarkStart w:id="2988" w:name="_Toc5374"/>
      <w:bookmarkStart w:id="2989" w:name="_Toc27870"/>
      <w:bookmarkStart w:id="2990" w:name="_Toc13406"/>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14</w:t>
      </w:r>
      <w:r>
        <w:rPr>
          <w:rFonts w:hint="eastAsia" w:ascii="黑体" w:hAnsi="黑体" w:eastAsia="黑体"/>
          <w:b w:val="0"/>
          <w:color w:val="000000" w:themeColor="text1"/>
          <w:sz w:val="28"/>
          <w:szCs w:val="28"/>
          <w:highlight w:val="none"/>
          <w14:textFill>
            <w14:solidFill>
              <w14:schemeClr w14:val="tx1"/>
            </w14:solidFill>
          </w14:textFill>
        </w:rPr>
        <w:t>条 违约</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2991" w:name="_Toc457826243"/>
      <w:bookmarkStart w:id="2992" w:name="_Toc17198"/>
      <w:bookmarkStart w:id="2993" w:name="_Toc15563"/>
      <w:bookmarkStart w:id="2994" w:name="_Toc18038"/>
      <w:bookmarkStart w:id="2995" w:name="_Toc406150508"/>
      <w:bookmarkStart w:id="2996" w:name="_Toc27687"/>
      <w:bookmarkStart w:id="2997" w:name="_Toc17998"/>
      <w:bookmarkStart w:id="2998" w:name="_Toc19315"/>
      <w:bookmarkStart w:id="2999" w:name="_Toc32417"/>
      <w:bookmarkStart w:id="3000" w:name="_Toc17840"/>
      <w:bookmarkStart w:id="3001" w:name="_Toc1863"/>
      <w:bookmarkStart w:id="3002" w:name="_Toc106719473"/>
      <w:bookmarkStart w:id="3003" w:name="_Toc303"/>
      <w:bookmarkStart w:id="3004" w:name="_Toc2195"/>
      <w:bookmarkStart w:id="3005" w:name="_Toc25660"/>
      <w:r>
        <w:rPr>
          <w:rFonts w:ascii="宋体" w:hAnsi="宋体"/>
          <w:color w:val="000000" w:themeColor="text1"/>
          <w:sz w:val="21"/>
          <w:szCs w:val="21"/>
          <w:highlight w:val="none"/>
          <w14:textFill>
            <w14:solidFill>
              <w14:schemeClr w14:val="tx1"/>
            </w14:solidFill>
          </w14:textFill>
        </w:rPr>
        <w:t>14.1</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发包人违约</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p>
    <w:p>
      <w:pPr>
        <w:snapToGrid w:val="0"/>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14.1.2 </w:t>
      </w:r>
      <w:r>
        <w:rPr>
          <w:rFonts w:hint="eastAsia" w:ascii="宋体" w:hAnsi="宋体"/>
          <w:color w:val="000000" w:themeColor="text1"/>
          <w:sz w:val="21"/>
          <w:szCs w:val="21"/>
          <w:highlight w:val="none"/>
          <w14:textFill>
            <w14:solidFill>
              <w14:schemeClr w14:val="tx1"/>
            </w14:solidFill>
          </w14:textFill>
        </w:rPr>
        <w:t>发包人违约责任</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发包人支付勘察人的违约金：</w:t>
      </w:r>
    </w:p>
    <w:p>
      <w:pPr>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发包人发生其他违约情形应承担的违约责任：</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rPr>
          <w:rFonts w:ascii="宋体" w:hAnsi="宋体" w:cs="宋体"/>
          <w:b/>
          <w:color w:val="000000" w:themeColor="text1"/>
          <w:sz w:val="21"/>
          <w:szCs w:val="21"/>
          <w:highlight w:val="none"/>
          <w14:textFill>
            <w14:solidFill>
              <w14:schemeClr w14:val="tx1"/>
            </w14:solidFill>
          </w14:textFill>
        </w:rPr>
      </w:pPr>
      <w:bookmarkStart w:id="3006" w:name="_Toc457826244"/>
      <w:bookmarkStart w:id="3007" w:name="_Toc406150509"/>
      <w:r>
        <w:rPr>
          <w:rFonts w:ascii="宋体" w:hAnsi="宋体"/>
          <w:b/>
          <w:color w:val="000000" w:themeColor="text1"/>
          <w:sz w:val="21"/>
          <w:szCs w:val="21"/>
          <w:highlight w:val="none"/>
          <w14:textFill>
            <w14:solidFill>
              <w14:schemeClr w14:val="tx1"/>
            </w14:solidFill>
          </w14:textFill>
        </w:rPr>
        <w:t xml:space="preserve">14.2 </w:t>
      </w:r>
      <w:r>
        <w:rPr>
          <w:rFonts w:hint="eastAsia" w:ascii="宋体" w:hAnsi="宋体" w:cs="宋体"/>
          <w:b/>
          <w:color w:val="000000" w:themeColor="text1"/>
          <w:sz w:val="21"/>
          <w:szCs w:val="21"/>
          <w:highlight w:val="none"/>
          <w14:textFill>
            <w14:solidFill>
              <w14:schemeClr w14:val="tx1"/>
            </w14:solidFill>
          </w14:textFill>
        </w:rPr>
        <w:t>勘察人违约</w:t>
      </w:r>
      <w:bookmarkEnd w:id="3006"/>
      <w:bookmarkEnd w:id="3007"/>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14.2.2</w:t>
      </w:r>
      <w:r>
        <w:rPr>
          <w:rFonts w:hint="eastAsia" w:ascii="宋体" w:hAnsi="宋体" w:cs="宋体"/>
          <w:color w:val="000000" w:themeColor="text1"/>
          <w:sz w:val="21"/>
          <w:szCs w:val="21"/>
          <w:highlight w:val="none"/>
          <w14:textFill>
            <w14:solidFill>
              <w14:schemeClr w14:val="tx1"/>
            </w14:solidFill>
          </w14:textFill>
        </w:rPr>
        <w:t>勘察人违约责任</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勘察人支付发包人的违约金：</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）勘察人造成工期延误应承担的违约责任：</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）因勘察人原因导致工程质量安全事故或其他事故时的赔偿金上限：</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勘察人发生其他违约情形应承担的违约责任：</w:t>
      </w:r>
      <w:r>
        <w:rPr>
          <w:rFonts w:ascii="宋体" w:hAnsi="宋体" w:cs="宋体"/>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3008" w:name="_Toc2065"/>
      <w:bookmarkStart w:id="3009" w:name="_Toc11542"/>
      <w:bookmarkStart w:id="3010" w:name="_Toc3155"/>
      <w:bookmarkStart w:id="3011" w:name="_Toc106719474"/>
      <w:bookmarkStart w:id="3012" w:name="_Toc18503"/>
      <w:bookmarkStart w:id="3013" w:name="_Toc17757"/>
      <w:bookmarkStart w:id="3014" w:name="_Toc19556"/>
      <w:bookmarkStart w:id="3015" w:name="_Toc7369"/>
      <w:bookmarkStart w:id="3016" w:name="_Toc12983"/>
      <w:bookmarkStart w:id="3017" w:name="_Toc8133"/>
      <w:bookmarkStart w:id="3018" w:name="_Toc8130"/>
      <w:bookmarkStart w:id="3019" w:name="_Toc457826245"/>
      <w:bookmarkStart w:id="3020" w:name="_Toc16037"/>
      <w:bookmarkStart w:id="3021" w:name="_Toc17283"/>
      <w:bookmarkStart w:id="3022" w:name="_Toc406150510"/>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15</w:t>
      </w:r>
      <w:r>
        <w:rPr>
          <w:rFonts w:hint="eastAsia" w:ascii="黑体" w:hAnsi="黑体" w:eastAsia="黑体"/>
          <w:b w:val="0"/>
          <w:color w:val="000000" w:themeColor="text1"/>
          <w:sz w:val="28"/>
          <w:szCs w:val="28"/>
          <w:highlight w:val="none"/>
          <w14:textFill>
            <w14:solidFill>
              <w14:schemeClr w14:val="tx1"/>
            </w14:solidFill>
          </w14:textFill>
        </w:rPr>
        <w:t>条 索赔</w:t>
      </w:r>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3023" w:name="_Toc2075"/>
      <w:bookmarkStart w:id="3024" w:name="_Toc24513"/>
      <w:bookmarkStart w:id="3025" w:name="_Toc17987"/>
      <w:bookmarkStart w:id="3026" w:name="_Toc6098"/>
      <w:bookmarkStart w:id="3027" w:name="_Toc457826246"/>
      <w:bookmarkStart w:id="3028" w:name="_Toc18959"/>
      <w:bookmarkStart w:id="3029" w:name="_Toc7259"/>
      <w:bookmarkStart w:id="3030" w:name="_Toc18797"/>
      <w:bookmarkStart w:id="3031" w:name="_Toc10069"/>
      <w:bookmarkStart w:id="3032" w:name="_Toc13036"/>
      <w:bookmarkStart w:id="3033" w:name="_Toc30169"/>
      <w:bookmarkStart w:id="3034" w:name="_Toc25559"/>
      <w:bookmarkStart w:id="3035" w:name="_Toc106719475"/>
      <w:bookmarkStart w:id="3036" w:name="_Toc14621"/>
      <w:r>
        <w:rPr>
          <w:rFonts w:ascii="宋体" w:hAnsi="宋体" w:cs="宋体"/>
          <w:color w:val="000000" w:themeColor="text1"/>
          <w:sz w:val="21"/>
          <w:szCs w:val="21"/>
          <w:highlight w:val="none"/>
          <w14:textFill>
            <w14:solidFill>
              <w14:schemeClr w14:val="tx1"/>
            </w14:solidFill>
          </w14:textFill>
        </w:rPr>
        <w:t xml:space="preserve">15.1 </w:t>
      </w:r>
      <w:r>
        <w:rPr>
          <w:rFonts w:hint="eastAsia" w:ascii="宋体" w:hAnsi="宋体" w:cs="宋体"/>
          <w:color w:val="000000" w:themeColor="text1"/>
          <w:sz w:val="21"/>
          <w:szCs w:val="21"/>
          <w:highlight w:val="none"/>
          <w14:textFill>
            <w14:solidFill>
              <w14:schemeClr w14:val="tx1"/>
            </w14:solidFill>
          </w14:textFill>
        </w:rPr>
        <w:t>发包人索赔</w:t>
      </w:r>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p>
    <w:p>
      <w:pPr>
        <w:tabs>
          <w:tab w:val="left" w:pos="1260"/>
        </w:tabs>
        <w:snapToGrid w:val="0"/>
        <w:spacing w:line="360" w:lineRule="auto"/>
        <w:ind w:firstLine="420" w:firstLineChars="20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索赔程序和期限的约定：</w:t>
      </w:r>
    </w:p>
    <w:p>
      <w:pPr>
        <w:tabs>
          <w:tab w:val="left" w:pos="1260"/>
        </w:tabs>
        <w:snapToGrid w:val="0"/>
        <w:spacing w:line="360" w:lineRule="auto"/>
        <w:ind w:firstLine="420" w:firstLineChars="200"/>
        <w:jc w:val="left"/>
        <w:textAlignment w:val="auto"/>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1260"/>
        </w:tabs>
        <w:snapToGrid w:val="0"/>
        <w:spacing w:line="360" w:lineRule="auto"/>
        <w:ind w:firstLine="420" w:firstLineChars="200"/>
        <w:jc w:val="left"/>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3037" w:name="_Toc10210"/>
      <w:bookmarkStart w:id="3038" w:name="_Toc21440"/>
      <w:bookmarkStart w:id="3039" w:name="_Toc25643"/>
      <w:bookmarkStart w:id="3040" w:name="_Toc58"/>
      <w:bookmarkStart w:id="3041" w:name="_Toc21278"/>
      <w:bookmarkStart w:id="3042" w:name="_Toc6379"/>
      <w:bookmarkStart w:id="3043" w:name="_Toc1164"/>
      <w:bookmarkStart w:id="3044" w:name="_Toc14908"/>
      <w:bookmarkStart w:id="3045" w:name="_Toc17529"/>
      <w:bookmarkStart w:id="3046" w:name="_Toc106719476"/>
      <w:bookmarkStart w:id="3047" w:name="_Toc22458"/>
      <w:bookmarkStart w:id="3048" w:name="_Toc4351"/>
      <w:bookmarkStart w:id="3049" w:name="_Toc20490"/>
      <w:bookmarkStart w:id="3050" w:name="_Toc457826247"/>
      <w:r>
        <w:rPr>
          <w:rFonts w:ascii="宋体" w:hAnsi="宋体" w:cs="宋体"/>
          <w:color w:val="000000" w:themeColor="text1"/>
          <w:sz w:val="21"/>
          <w:szCs w:val="21"/>
          <w:highlight w:val="none"/>
          <w14:textFill>
            <w14:solidFill>
              <w14:schemeClr w14:val="tx1"/>
            </w14:solidFill>
          </w14:textFill>
        </w:rPr>
        <w:t xml:space="preserve">15.2 </w:t>
      </w:r>
      <w:r>
        <w:rPr>
          <w:rFonts w:hint="eastAsia" w:ascii="宋体" w:hAnsi="宋体" w:cs="宋体"/>
          <w:color w:val="000000" w:themeColor="text1"/>
          <w:sz w:val="21"/>
          <w:szCs w:val="21"/>
          <w:highlight w:val="none"/>
          <w14:textFill>
            <w14:solidFill>
              <w14:schemeClr w14:val="tx1"/>
            </w14:solidFill>
          </w14:textFill>
        </w:rPr>
        <w:t>勘察人索赔</w:t>
      </w:r>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索赔程序和期限的约定：</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1260"/>
        </w:tabs>
        <w:snapToGrid w:val="0"/>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3051" w:name="_Toc5008"/>
      <w:bookmarkStart w:id="3052" w:name="_Toc457826248"/>
      <w:bookmarkStart w:id="3053" w:name="_Toc1076"/>
      <w:bookmarkStart w:id="3054" w:name="_Toc26387"/>
      <w:bookmarkStart w:id="3055" w:name="_Toc28672"/>
      <w:bookmarkStart w:id="3056" w:name="_Toc17407"/>
      <w:bookmarkStart w:id="3057" w:name="_Toc7238"/>
      <w:bookmarkStart w:id="3058" w:name="_Toc13064"/>
      <w:bookmarkStart w:id="3059" w:name="_Toc10389"/>
      <w:bookmarkStart w:id="3060" w:name="_Toc25728"/>
      <w:bookmarkStart w:id="3061" w:name="_Toc106719477"/>
      <w:bookmarkStart w:id="3062" w:name="_Toc4897"/>
      <w:bookmarkStart w:id="3063" w:name="_Toc26255"/>
      <w:bookmarkStart w:id="3064" w:name="_Toc22075"/>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16</w:t>
      </w:r>
      <w:r>
        <w:rPr>
          <w:rFonts w:hint="eastAsia" w:ascii="黑体" w:hAnsi="黑体" w:eastAsia="黑体"/>
          <w:b w:val="0"/>
          <w:color w:val="000000" w:themeColor="text1"/>
          <w:sz w:val="28"/>
          <w:szCs w:val="28"/>
          <w:highlight w:val="none"/>
          <w14:textFill>
            <w14:solidFill>
              <w14:schemeClr w14:val="tx1"/>
            </w14:solidFill>
          </w14:textFill>
        </w:rPr>
        <w:t>条 争议解决</w:t>
      </w:r>
      <w:bookmarkEnd w:id="3022"/>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pPr>
        <w:pStyle w:val="6"/>
        <w:keepNext w:val="0"/>
        <w:keepLines w:val="0"/>
        <w:snapToGrid w:val="0"/>
        <w:spacing w:before="0" w:after="0"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bookmarkStart w:id="3065" w:name="_Toc27850"/>
      <w:bookmarkStart w:id="3066" w:name="_Toc25971"/>
      <w:bookmarkStart w:id="3067" w:name="_Toc1006"/>
      <w:bookmarkStart w:id="3068" w:name="_Toc954"/>
      <w:bookmarkStart w:id="3069" w:name="_Toc457826249"/>
      <w:bookmarkStart w:id="3070" w:name="_Toc406150511"/>
      <w:bookmarkStart w:id="3071" w:name="_Toc12608"/>
      <w:bookmarkStart w:id="3072" w:name="_Toc5711"/>
      <w:bookmarkStart w:id="3073" w:name="_Toc23528"/>
      <w:bookmarkStart w:id="3074" w:name="_Toc24272"/>
      <w:bookmarkStart w:id="3075" w:name="_Toc8859"/>
      <w:bookmarkStart w:id="3076" w:name="_Toc29118"/>
      <w:bookmarkStart w:id="3077" w:name="_Toc106719478"/>
      <w:bookmarkStart w:id="3078" w:name="_Toc5201"/>
      <w:bookmarkStart w:id="3079" w:name="_Toc4929"/>
      <w:r>
        <w:rPr>
          <w:rFonts w:ascii="宋体" w:hAnsi="宋体"/>
          <w:color w:val="000000" w:themeColor="text1"/>
          <w:sz w:val="21"/>
          <w:szCs w:val="21"/>
          <w:highlight w:val="none"/>
          <w14:textFill>
            <w14:solidFill>
              <w14:schemeClr w14:val="tx1"/>
            </w14:solidFill>
          </w14:textFill>
        </w:rPr>
        <w:t xml:space="preserve">16.3 </w:t>
      </w:r>
      <w:r>
        <w:rPr>
          <w:rFonts w:hint="eastAsia" w:ascii="宋体" w:hAnsi="宋体" w:cs="宋体"/>
          <w:color w:val="000000" w:themeColor="text1"/>
          <w:sz w:val="21"/>
          <w:szCs w:val="21"/>
          <w:highlight w:val="none"/>
          <w14:textFill>
            <w14:solidFill>
              <w14:schemeClr w14:val="tx1"/>
            </w14:solidFill>
          </w14:textFill>
        </w:rPr>
        <w:t>仲裁或诉讼</w:t>
      </w:r>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双方约定在履行合同过程中产生争议时，采取下列第</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种方式解决：</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）向</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仲裁委员会提请仲裁；</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）向</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人民法院提起诉讼。</w:t>
      </w:r>
    </w:p>
    <w:p>
      <w:pPr>
        <w:pStyle w:val="5"/>
        <w:keepNext w:val="0"/>
        <w:keepLines w:val="0"/>
        <w:snapToGrid w:val="0"/>
        <w:spacing w:beforeLines="50" w:afterLines="50" w:line="360" w:lineRule="auto"/>
        <w:jc w:val="left"/>
        <w:rPr>
          <w:rFonts w:ascii="黑体" w:hAnsi="黑体" w:eastAsia="黑体"/>
          <w:b w:val="0"/>
          <w:color w:val="000000" w:themeColor="text1"/>
          <w:sz w:val="28"/>
          <w:szCs w:val="28"/>
          <w:highlight w:val="none"/>
          <w14:textFill>
            <w14:solidFill>
              <w14:schemeClr w14:val="tx1"/>
            </w14:solidFill>
          </w14:textFill>
        </w:rPr>
      </w:pPr>
      <w:bookmarkStart w:id="3080" w:name="_Toc406150512"/>
      <w:bookmarkStart w:id="3081" w:name="_Toc16054"/>
      <w:bookmarkStart w:id="3082" w:name="_Toc9509"/>
      <w:bookmarkStart w:id="3083" w:name="_Toc9840"/>
      <w:bookmarkStart w:id="3084" w:name="_Toc7444"/>
      <w:bookmarkStart w:id="3085" w:name="_Toc457826250"/>
      <w:bookmarkStart w:id="3086" w:name="_Toc30527"/>
      <w:bookmarkStart w:id="3087" w:name="_Toc4675"/>
      <w:bookmarkStart w:id="3088" w:name="_Toc24930"/>
      <w:bookmarkStart w:id="3089" w:name="_Toc6478"/>
      <w:bookmarkStart w:id="3090" w:name="_Toc19783"/>
      <w:bookmarkStart w:id="3091" w:name="_Toc106719479"/>
      <w:bookmarkStart w:id="3092" w:name="_Toc29237"/>
      <w:bookmarkStart w:id="3093" w:name="_Toc18177"/>
      <w:bookmarkStart w:id="3094" w:name="_Toc4392"/>
      <w:r>
        <w:rPr>
          <w:rFonts w:hint="eastAsia" w:ascii="黑体" w:hAnsi="黑体" w:eastAsia="黑体"/>
          <w:b w:val="0"/>
          <w:color w:val="000000" w:themeColor="text1"/>
          <w:sz w:val="28"/>
          <w:szCs w:val="28"/>
          <w:highlight w:val="none"/>
          <w14:textFill>
            <w14:solidFill>
              <w14:schemeClr w14:val="tx1"/>
            </w14:solidFill>
          </w14:textFill>
        </w:rPr>
        <w:t>第</w:t>
      </w:r>
      <w:r>
        <w:rPr>
          <w:rFonts w:ascii="黑体" w:hAnsi="黑体" w:eastAsia="黑体"/>
          <w:b w:val="0"/>
          <w:color w:val="000000" w:themeColor="text1"/>
          <w:sz w:val="28"/>
          <w:szCs w:val="28"/>
          <w:highlight w:val="none"/>
          <w14:textFill>
            <w14:solidFill>
              <w14:schemeClr w14:val="tx1"/>
            </w14:solidFill>
          </w14:textFill>
        </w:rPr>
        <w:t>17</w:t>
      </w:r>
      <w:r>
        <w:rPr>
          <w:rFonts w:hint="eastAsia" w:ascii="黑体" w:hAnsi="黑体" w:eastAsia="黑体"/>
          <w:b w:val="0"/>
          <w:color w:val="000000" w:themeColor="text1"/>
          <w:sz w:val="28"/>
          <w:szCs w:val="28"/>
          <w:highlight w:val="none"/>
          <w14:textFill>
            <w14:solidFill>
              <w14:schemeClr w14:val="tx1"/>
            </w14:solidFill>
          </w14:textFill>
        </w:rPr>
        <w:t>条 补充条款</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pPr>
        <w:tabs>
          <w:tab w:val="left" w:pos="1260"/>
        </w:tabs>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双方根据有关法律法规规定，结合实际经协商一致，补充约定如下：</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p>
      <w:pPr>
        <w:tabs>
          <w:tab w:val="left" w:pos="1260"/>
        </w:tabs>
        <w:snapToGrid w:val="0"/>
        <w:spacing w:line="360" w:lineRule="auto"/>
        <w:ind w:firstLine="420" w:firstLineChars="200"/>
        <w:jc w:val="left"/>
        <w:rPr>
          <w:rFonts w:ascii="宋体" w:hAnsi="宋体" w:cs="宋体"/>
          <w:color w:val="000000" w:themeColor="text1"/>
          <w:sz w:val="21"/>
          <w:szCs w:val="21"/>
          <w:highlight w:val="none"/>
          <w:u w:val="single"/>
          <w14:textFill>
            <w14:solidFill>
              <w14:schemeClr w14:val="tx1"/>
            </w14:solidFill>
          </w14:textFill>
        </w:rPr>
      </w:pPr>
    </w:p>
    <w:bookmarkEnd w:id="2528"/>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095" w:name="_Toc406150513"/>
      <w:bookmarkStart w:id="3096" w:name="_Toc457826251"/>
      <w:bookmarkStart w:id="3097" w:name="_Toc406426565"/>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098" w:name="_Toc106719480"/>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099" w:name="_Toc3762"/>
      <w:bookmarkStart w:id="3100" w:name="_Toc26770"/>
      <w:bookmarkStart w:id="3101" w:name="_Toc22299"/>
      <w:bookmarkStart w:id="3102" w:name="_Toc8478"/>
      <w:bookmarkStart w:id="3103" w:name="_Toc12462"/>
      <w:bookmarkStart w:id="3104" w:name="_Toc17695"/>
      <w:bookmarkStart w:id="3105" w:name="_Toc23551"/>
      <w:bookmarkStart w:id="3106" w:name="_Toc22432"/>
      <w:bookmarkStart w:id="3107" w:name="_Toc14809"/>
      <w:bookmarkStart w:id="3108" w:name="_Toc32702"/>
      <w:bookmarkStart w:id="3109" w:name="_Toc28962"/>
      <w:bookmarkStart w:id="3110" w:name="_Toc16307"/>
      <w:r>
        <w:rPr>
          <w:rFonts w:hint="eastAsia" w:ascii="黑体" w:hAnsi="黑体" w:eastAsia="黑体"/>
          <w:b w:val="0"/>
          <w:color w:val="000000" w:themeColor="text1"/>
          <w:kern w:val="0"/>
          <w:sz w:val="21"/>
          <w:szCs w:val="21"/>
          <w:highlight w:val="none"/>
          <w14:textFill>
            <w14:solidFill>
              <w14:schemeClr w14:val="tx1"/>
            </w14:solidFill>
          </w14:textFill>
        </w:rPr>
        <w:t>附件5-1：</w:t>
      </w:r>
      <w:r>
        <w:rPr>
          <w:rFonts w:hint="eastAsia" w:ascii="黑体" w:hAnsi="黑体" w:eastAsia="黑体"/>
          <w:b w:val="0"/>
          <w:color w:val="000000" w:themeColor="text1"/>
          <w:kern w:val="0"/>
          <w:sz w:val="24"/>
          <w:szCs w:val="24"/>
          <w:highlight w:val="none"/>
          <w14:textFill>
            <w14:solidFill>
              <w14:schemeClr w14:val="tx1"/>
            </w14:solidFill>
          </w14:textFill>
        </w:rPr>
        <w:t>勘察任务书及技术要求</w:t>
      </w:r>
      <w:bookmarkEnd w:id="3098"/>
      <w:bookmarkEnd w:id="3099"/>
      <w:bookmarkEnd w:id="3100"/>
      <w:bookmarkEnd w:id="3101"/>
      <w:bookmarkEnd w:id="3102"/>
      <w:bookmarkEnd w:id="3103"/>
      <w:bookmarkEnd w:id="3104"/>
      <w:bookmarkEnd w:id="3105"/>
      <w:bookmarkEnd w:id="3106"/>
      <w:bookmarkEnd w:id="3107"/>
      <w:bookmarkEnd w:id="3108"/>
      <w:bookmarkEnd w:id="3109"/>
      <w:bookmarkEnd w:id="3110"/>
    </w:p>
    <w:bookmarkEnd w:id="3095"/>
    <w:bookmarkEnd w:id="3096"/>
    <w:p>
      <w:pPr>
        <w:pStyle w:val="4"/>
        <w:keepNext w:val="0"/>
        <w:keepLines w:val="0"/>
        <w:spacing w:before="0" w:after="0" w:line="360" w:lineRule="auto"/>
        <w:jc w:val="center"/>
        <w:rPr>
          <w:rFonts w:ascii="黑体" w:hAnsi="黑体" w:eastAsia="黑体"/>
          <w:b w:val="0"/>
          <w:color w:val="000000" w:themeColor="text1"/>
          <w:kern w:val="0"/>
          <w:sz w:val="24"/>
          <w:szCs w:val="24"/>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111" w:name="_Toc457826252"/>
      <w:bookmarkStart w:id="3112" w:name="_Toc406150514"/>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113" w:name="_Toc26083"/>
      <w:bookmarkStart w:id="3114" w:name="_Toc106719481"/>
      <w:bookmarkStart w:id="3115" w:name="_Toc23705"/>
      <w:bookmarkStart w:id="3116" w:name="_Toc14409"/>
      <w:bookmarkStart w:id="3117" w:name="_Toc24413"/>
      <w:bookmarkStart w:id="3118" w:name="_Toc13449"/>
      <w:bookmarkStart w:id="3119" w:name="_Toc6036"/>
      <w:bookmarkStart w:id="3120" w:name="_Toc14647"/>
      <w:bookmarkStart w:id="3121" w:name="_Toc31067"/>
      <w:bookmarkStart w:id="3122" w:name="_Toc10650"/>
      <w:bookmarkStart w:id="3123" w:name="_Toc29621"/>
      <w:bookmarkStart w:id="3124" w:name="_Toc2652"/>
      <w:bookmarkStart w:id="3125" w:name="_Toc19468"/>
      <w:r>
        <w:rPr>
          <w:rFonts w:hint="eastAsia" w:ascii="黑体" w:hAnsi="黑体" w:eastAsia="黑体"/>
          <w:b w:val="0"/>
          <w:color w:val="000000" w:themeColor="text1"/>
          <w:kern w:val="0"/>
          <w:sz w:val="21"/>
          <w:szCs w:val="21"/>
          <w:highlight w:val="none"/>
          <w14:textFill>
            <w14:solidFill>
              <w14:schemeClr w14:val="tx1"/>
            </w14:solidFill>
          </w14:textFill>
        </w:rPr>
        <w:t>附件5-2：</w:t>
      </w:r>
      <w:r>
        <w:rPr>
          <w:rFonts w:hint="eastAsia" w:ascii="黑体" w:hAnsi="黑体" w:eastAsia="黑体"/>
          <w:b w:val="0"/>
          <w:color w:val="000000" w:themeColor="text1"/>
          <w:kern w:val="0"/>
          <w:sz w:val="24"/>
          <w:szCs w:val="24"/>
          <w:highlight w:val="none"/>
          <w14:textFill>
            <w14:solidFill>
              <w14:schemeClr w14:val="tx1"/>
            </w14:solidFill>
          </w14:textFill>
        </w:rPr>
        <w:t>发包人向勘察人提交有关资料及文件一览表</w:t>
      </w:r>
      <w:bookmarkEnd w:id="3097"/>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Start w:id="3126" w:name="_Toc406150515"/>
    </w:p>
    <w:tbl>
      <w:tblPr>
        <w:tblStyle w:val="41"/>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638" w:type="dxa"/>
            <w:vAlign w:val="center"/>
          </w:tcPr>
          <w:p>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序号</w:t>
            </w:r>
          </w:p>
        </w:tc>
        <w:tc>
          <w:tcPr>
            <w:tcW w:w="3785" w:type="dxa"/>
            <w:vAlign w:val="center"/>
          </w:tcPr>
          <w:p>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资料及文件名称</w:t>
            </w:r>
          </w:p>
        </w:tc>
        <w:tc>
          <w:tcPr>
            <w:tcW w:w="720" w:type="dxa"/>
            <w:vAlign w:val="center"/>
          </w:tcPr>
          <w:p>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份数</w:t>
            </w:r>
          </w:p>
        </w:tc>
        <w:tc>
          <w:tcPr>
            <w:tcW w:w="2885" w:type="dxa"/>
            <w:vAlign w:val="center"/>
          </w:tcPr>
          <w:p>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提交日期</w:t>
            </w:r>
          </w:p>
        </w:tc>
        <w:tc>
          <w:tcPr>
            <w:tcW w:w="1087" w:type="dxa"/>
            <w:vAlign w:val="center"/>
          </w:tcPr>
          <w:p>
            <w:pPr>
              <w:spacing w:line="360" w:lineRule="auto"/>
              <w:jc w:val="center"/>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restart"/>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c>
          <w:tcPr>
            <w:tcW w:w="37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720"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2885" w:type="dxa"/>
            <w:vAlign w:val="center"/>
          </w:tcPr>
          <w:p>
            <w:pPr>
              <w:spacing w:line="360" w:lineRule="auto"/>
              <w:rPr>
                <w:rFonts w:ascii="宋体" w:hAnsi="宋体"/>
                <w:color w:val="000000" w:themeColor="text1"/>
                <w:sz w:val="21"/>
                <w:szCs w:val="21"/>
                <w:highlight w:val="none"/>
                <w14:textFill>
                  <w14:solidFill>
                    <w14:schemeClr w14:val="tx1"/>
                  </w14:solidFill>
                </w14:textFill>
              </w:rPr>
            </w:pPr>
          </w:p>
        </w:tc>
        <w:tc>
          <w:tcPr>
            <w:tcW w:w="1087" w:type="dxa"/>
            <w:vMerge w:val="continue"/>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127" w:name="_Toc457826253"/>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keepNext w:val="0"/>
        <w:keepLines w:val="0"/>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128" w:name="_Toc2192"/>
      <w:bookmarkStart w:id="3129" w:name="_Toc106719482"/>
      <w:bookmarkStart w:id="3130" w:name="_Toc25877"/>
      <w:bookmarkStart w:id="3131" w:name="_Toc2176"/>
      <w:bookmarkStart w:id="3132" w:name="_Toc16495"/>
      <w:bookmarkStart w:id="3133" w:name="_Toc28384"/>
      <w:bookmarkStart w:id="3134" w:name="_Toc32206"/>
      <w:bookmarkStart w:id="3135" w:name="_Toc5846"/>
      <w:bookmarkStart w:id="3136" w:name="_Toc1909"/>
      <w:bookmarkStart w:id="3137" w:name="_Toc12482"/>
      <w:bookmarkStart w:id="3138" w:name="_Toc5785"/>
      <w:bookmarkStart w:id="3139" w:name="_Toc18549"/>
      <w:bookmarkStart w:id="3140" w:name="_Toc559"/>
      <w:r>
        <w:rPr>
          <w:rFonts w:hint="eastAsia" w:ascii="黑体" w:hAnsi="黑体" w:eastAsia="黑体"/>
          <w:b w:val="0"/>
          <w:color w:val="000000" w:themeColor="text1"/>
          <w:kern w:val="0"/>
          <w:sz w:val="21"/>
          <w:szCs w:val="21"/>
          <w:highlight w:val="none"/>
          <w14:textFill>
            <w14:solidFill>
              <w14:schemeClr w14:val="tx1"/>
            </w14:solidFill>
          </w14:textFill>
        </w:rPr>
        <w:t>附件5-3：</w:t>
      </w:r>
      <w:r>
        <w:rPr>
          <w:rFonts w:hint="eastAsia" w:ascii="黑体" w:hAnsi="黑体" w:eastAsia="黑体"/>
          <w:b w:val="0"/>
          <w:color w:val="000000" w:themeColor="text1"/>
          <w:kern w:val="0"/>
          <w:sz w:val="24"/>
          <w:szCs w:val="24"/>
          <w:highlight w:val="none"/>
          <w14:textFill>
            <w14:solidFill>
              <w14:schemeClr w14:val="tx1"/>
            </w14:solidFill>
          </w14:textFill>
        </w:rPr>
        <w:t>进度计划</w:t>
      </w:r>
      <w:bookmarkEnd w:id="3128"/>
      <w:bookmarkEnd w:id="3129"/>
      <w:bookmarkEnd w:id="3130"/>
      <w:bookmarkEnd w:id="3131"/>
      <w:bookmarkEnd w:id="3132"/>
      <w:bookmarkEnd w:id="3133"/>
      <w:bookmarkEnd w:id="3134"/>
      <w:bookmarkEnd w:id="3135"/>
      <w:bookmarkEnd w:id="3136"/>
      <w:bookmarkEnd w:id="3137"/>
      <w:bookmarkEnd w:id="3138"/>
      <w:bookmarkEnd w:id="3139"/>
      <w:bookmarkEnd w:id="3140"/>
    </w:p>
    <w:bookmarkEnd w:id="3126"/>
    <w:bookmarkEnd w:id="3127"/>
    <w:p>
      <w:pPr>
        <w:pStyle w:val="4"/>
        <w:keepNext w:val="0"/>
        <w:keepLines w:val="0"/>
        <w:spacing w:before="0" w:after="0" w:line="360" w:lineRule="auto"/>
        <w:jc w:val="center"/>
        <w:rPr>
          <w:rFonts w:ascii="黑体" w:hAnsi="黑体" w:eastAsia="黑体"/>
          <w:b w:val="0"/>
          <w:color w:val="000000" w:themeColor="text1"/>
          <w:kern w:val="0"/>
          <w:sz w:val="24"/>
          <w:szCs w:val="24"/>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141" w:name="_Toc406150516"/>
      <w:bookmarkStart w:id="3142" w:name="_Toc457826254"/>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spacing w:before="0" w:after="0" w:line="360" w:lineRule="auto"/>
        <w:rPr>
          <w:rFonts w:ascii="黑体" w:hAnsi="黑体" w:eastAsia="黑体"/>
          <w:b w:val="0"/>
          <w:color w:val="000000" w:themeColor="text1"/>
          <w:kern w:val="0"/>
          <w:sz w:val="21"/>
          <w:szCs w:val="21"/>
          <w:highlight w:val="none"/>
          <w14:textFill>
            <w14:solidFill>
              <w14:schemeClr w14:val="tx1"/>
            </w14:solidFill>
          </w14:textFill>
        </w:rPr>
      </w:pPr>
      <w:bookmarkStart w:id="3143" w:name="_Toc22401"/>
      <w:bookmarkStart w:id="3144" w:name="_Toc23464"/>
      <w:bookmarkStart w:id="3145" w:name="_Toc22220"/>
      <w:bookmarkStart w:id="3146" w:name="_Toc23010"/>
      <w:bookmarkStart w:id="3147" w:name="_Toc5578"/>
      <w:bookmarkStart w:id="3148" w:name="_Toc23431"/>
      <w:bookmarkStart w:id="3149" w:name="_Toc28266"/>
      <w:bookmarkStart w:id="3150" w:name="_Toc756"/>
      <w:bookmarkStart w:id="3151" w:name="_Toc12690"/>
      <w:bookmarkStart w:id="3152" w:name="_Toc11435"/>
      <w:bookmarkStart w:id="3153" w:name="_Toc24069"/>
      <w:bookmarkStart w:id="3154" w:name="_Toc24845"/>
      <w:bookmarkStart w:id="3155" w:name="_Toc106719483"/>
      <w:r>
        <w:rPr>
          <w:rFonts w:hint="eastAsia" w:ascii="黑体" w:hAnsi="黑体" w:eastAsia="黑体"/>
          <w:b w:val="0"/>
          <w:color w:val="000000" w:themeColor="text1"/>
          <w:kern w:val="0"/>
          <w:sz w:val="21"/>
          <w:szCs w:val="21"/>
          <w:highlight w:val="none"/>
          <w14:textFill>
            <w14:solidFill>
              <w14:schemeClr w14:val="tx1"/>
            </w14:solidFill>
          </w14:textFill>
        </w:rPr>
        <w:t>附件5-4：</w:t>
      </w:r>
      <w:r>
        <w:rPr>
          <w:rFonts w:hint="eastAsia" w:ascii="黑体" w:hAnsi="黑体" w:eastAsia="黑体"/>
          <w:b w:val="0"/>
          <w:color w:val="000000" w:themeColor="text1"/>
          <w:kern w:val="0"/>
          <w:sz w:val="24"/>
          <w:szCs w:val="24"/>
          <w:highlight w:val="none"/>
          <w14:textFill>
            <w14:solidFill>
              <w14:schemeClr w14:val="tx1"/>
            </w14:solidFill>
          </w14:textFill>
        </w:rPr>
        <w:t>工作量和费用明细表</w:t>
      </w:r>
      <w:bookmarkEnd w:id="3143"/>
      <w:bookmarkEnd w:id="3144"/>
      <w:bookmarkEnd w:id="3145"/>
      <w:bookmarkEnd w:id="3146"/>
      <w:bookmarkEnd w:id="3147"/>
      <w:bookmarkEnd w:id="3148"/>
      <w:bookmarkEnd w:id="3149"/>
      <w:bookmarkEnd w:id="3150"/>
      <w:bookmarkEnd w:id="3151"/>
      <w:bookmarkEnd w:id="3152"/>
      <w:bookmarkEnd w:id="3153"/>
      <w:bookmarkEnd w:id="3154"/>
      <w:bookmarkEnd w:id="3155"/>
    </w:p>
    <w:bookmarkEnd w:id="3141"/>
    <w:bookmarkEnd w:id="3142"/>
    <w:p>
      <w:pPr>
        <w:pStyle w:val="4"/>
        <w:spacing w:before="0" w:after="0" w:line="360" w:lineRule="auto"/>
        <w:jc w:val="center"/>
        <w:rPr>
          <w:rFonts w:ascii="黑体" w:hAnsi="黑体" w:eastAsia="黑体"/>
          <w:b w:val="0"/>
          <w:color w:val="000000" w:themeColor="text1"/>
          <w:kern w:val="0"/>
          <w:sz w:val="24"/>
          <w:szCs w:val="24"/>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附件</w:t>
      </w:r>
      <w:r>
        <w:rPr>
          <w:rFonts w:hint="eastAsia" w:ascii="黑体" w:hAnsi="黑体" w:eastAsia="黑体"/>
          <w:color w:val="000000" w:themeColor="text1"/>
          <w:sz w:val="21"/>
          <w:szCs w:val="21"/>
          <w:highlight w:val="none"/>
          <w14:textFill>
            <w14:solidFill>
              <w14:schemeClr w14:val="tx1"/>
            </w14:solidFill>
          </w14:textFill>
        </w:rPr>
        <w:t>5-5：</w:t>
      </w:r>
      <w:r>
        <w:rPr>
          <w:rFonts w:hint="eastAsia" w:ascii="黑体" w:hAnsi="黑体" w:eastAsia="黑体"/>
          <w:color w:val="000000" w:themeColor="text1"/>
          <w:sz w:val="24"/>
          <w:szCs w:val="24"/>
          <w:highlight w:val="none"/>
          <w14:textFill>
            <w14:solidFill>
              <w14:schemeClr w14:val="tx1"/>
            </w14:solidFill>
          </w14:textFill>
        </w:rPr>
        <w:t>勘察</w:t>
      </w:r>
      <w:r>
        <w:rPr>
          <w:rFonts w:ascii="黑体" w:hAnsi="黑体" w:eastAsia="黑体"/>
          <w:color w:val="000000" w:themeColor="text1"/>
          <w:sz w:val="24"/>
          <w:szCs w:val="24"/>
          <w:highlight w:val="none"/>
          <w14:textFill>
            <w14:solidFill>
              <w14:schemeClr w14:val="tx1"/>
            </w14:solidFill>
          </w14:textFill>
        </w:rPr>
        <w:t>人主要人员表</w:t>
      </w:r>
    </w:p>
    <w:tbl>
      <w:tblPr>
        <w:tblStyle w:val="41"/>
        <w:tblW w:w="95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3"/>
        <w:gridCol w:w="1418"/>
        <w:gridCol w:w="1134"/>
        <w:gridCol w:w="1702"/>
        <w:gridCol w:w="3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30" w:hRule="atLeast"/>
          <w:jc w:val="center"/>
        </w:trPr>
        <w:tc>
          <w:tcPr>
            <w:tcW w:w="1573" w:type="dxa"/>
            <w:tcBorders>
              <w:bottom w:val="double" w:color="auto" w:sz="6" w:space="0"/>
            </w:tcBorders>
            <w:vAlign w:val="center"/>
          </w:tcPr>
          <w:p>
            <w:pPr>
              <w:pStyle w:val="19"/>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名    称</w:t>
            </w:r>
          </w:p>
        </w:tc>
        <w:tc>
          <w:tcPr>
            <w:tcW w:w="1418" w:type="dxa"/>
            <w:tcBorders>
              <w:bottom w:val="double" w:color="auto" w:sz="6" w:space="0"/>
            </w:tcBorders>
            <w:vAlign w:val="center"/>
          </w:tcPr>
          <w:p>
            <w:pPr>
              <w:pStyle w:val="19"/>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姓名</w:t>
            </w:r>
          </w:p>
        </w:tc>
        <w:tc>
          <w:tcPr>
            <w:tcW w:w="1134" w:type="dxa"/>
            <w:tcBorders>
              <w:bottom w:val="double" w:color="auto" w:sz="6" w:space="0"/>
            </w:tcBorders>
            <w:vAlign w:val="center"/>
          </w:tcPr>
          <w:p>
            <w:pPr>
              <w:pStyle w:val="19"/>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职务</w:t>
            </w:r>
          </w:p>
        </w:tc>
        <w:tc>
          <w:tcPr>
            <w:tcW w:w="1702" w:type="dxa"/>
            <w:tcBorders>
              <w:bottom w:val="double" w:color="auto" w:sz="6" w:space="0"/>
            </w:tcBorders>
            <w:vAlign w:val="center"/>
          </w:tcPr>
          <w:p>
            <w:pPr>
              <w:pStyle w:val="19"/>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注册执业资格</w:t>
            </w:r>
          </w:p>
        </w:tc>
        <w:tc>
          <w:tcPr>
            <w:tcW w:w="3684" w:type="dxa"/>
            <w:tcBorders>
              <w:bottom w:val="double" w:color="auto" w:sz="6" w:space="0"/>
            </w:tcBorders>
            <w:vAlign w:val="center"/>
          </w:tcPr>
          <w:p>
            <w:pPr>
              <w:pStyle w:val="19"/>
              <w:keepNext/>
              <w:spacing w:after="0" w:line="440" w:lineRule="exact"/>
              <w:ind w:left="63" w:right="63"/>
              <w:jc w:val="center"/>
              <w:rPr>
                <w:rFonts w:ascii="黑体" w:hAnsi="黑体" w:eastAsia="黑体"/>
                <w:color w:val="000000" w:themeColor="text1"/>
                <w:kern w:val="2"/>
                <w:sz w:val="21"/>
                <w:szCs w:val="21"/>
                <w:highlight w:val="none"/>
                <w14:textFill>
                  <w14:solidFill>
                    <w14:schemeClr w14:val="tx1"/>
                  </w14:solidFill>
                </w14:textFill>
              </w:rPr>
            </w:pPr>
            <w:r>
              <w:rPr>
                <w:rFonts w:hint="eastAsia" w:ascii="黑体" w:hAnsi="黑体" w:eastAsia="黑体"/>
                <w:color w:val="000000" w:themeColor="text1"/>
                <w:kern w:val="2"/>
                <w:sz w:val="21"/>
                <w:szCs w:val="21"/>
                <w:highlight w:val="none"/>
                <w14:textFill>
                  <w14:solidFill>
                    <w14:schemeClr w14:val="tx1"/>
                  </w14:solidFill>
                </w14:textFill>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7" w:hRule="atLeast"/>
          <w:jc w:val="center"/>
        </w:trPr>
        <w:tc>
          <w:tcPr>
            <w:tcW w:w="9511" w:type="dxa"/>
            <w:gridSpan w:val="5"/>
            <w:tcBorders>
              <w:top w:val="doub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35" w:hRule="atLeast"/>
          <w:jc w:val="center"/>
        </w:trPr>
        <w:tc>
          <w:tcPr>
            <w:tcW w:w="1573" w:type="dxa"/>
            <w:tcBorders>
              <w:top w:val="nil"/>
              <w:bottom w:val="single" w:color="auto" w:sz="4"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项目主管</w:t>
            </w:r>
          </w:p>
        </w:tc>
        <w:tc>
          <w:tcPr>
            <w:tcW w:w="1418" w:type="dxa"/>
            <w:tcBorders>
              <w:top w:val="nil"/>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tcBorders>
              <w:top w:val="nil"/>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tcBorders>
              <w:top w:val="nil"/>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tcBorders>
              <w:top w:val="nil"/>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32" w:hRule="atLeast"/>
          <w:jc w:val="center"/>
        </w:trPr>
        <w:tc>
          <w:tcPr>
            <w:tcW w:w="1573" w:type="dxa"/>
            <w:tcBorders>
              <w:top w:val="single" w:color="auto" w:sz="4" w:space="0"/>
              <w:bottom w:val="nil"/>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其他人员</w:t>
            </w: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8" w:hRule="atLeast"/>
          <w:jc w:val="center"/>
        </w:trPr>
        <w:tc>
          <w:tcPr>
            <w:tcW w:w="9511" w:type="dxa"/>
            <w:gridSpan w:val="5"/>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81" w:hRule="atLeast"/>
          <w:jc w:val="center"/>
        </w:trPr>
        <w:tc>
          <w:tcPr>
            <w:tcW w:w="1573" w:type="dxa"/>
            <w:tcBorders>
              <w:top w:val="single" w:color="auto" w:sz="6" w:space="0"/>
            </w:tcBorders>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418"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13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1702"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c>
          <w:tcPr>
            <w:tcW w:w="3684" w:type="dxa"/>
            <w:vAlign w:val="center"/>
          </w:tcPr>
          <w:p>
            <w:pPr>
              <w:pStyle w:val="19"/>
              <w:keepNext/>
              <w:spacing w:after="0" w:line="440" w:lineRule="exact"/>
              <w:ind w:left="63" w:right="63"/>
              <w:rPr>
                <w:rFonts w:ascii="宋体" w:hAnsi="宋体"/>
                <w:color w:val="000000" w:themeColor="text1"/>
                <w:kern w:val="2"/>
                <w:sz w:val="21"/>
                <w:szCs w:val="21"/>
                <w:highlight w:val="none"/>
                <w14:textFill>
                  <w14:solidFill>
                    <w14:schemeClr w14:val="tx1"/>
                  </w14:solidFill>
                </w14:textFill>
              </w:rPr>
            </w:pPr>
          </w:p>
        </w:tc>
      </w:tr>
    </w:tbl>
    <w:p>
      <w:pPr>
        <w:spacing w:line="440" w:lineRule="exact"/>
        <w:rPr>
          <w:rFonts w:ascii="宋体" w:hAnsi="宋体"/>
          <w:color w:val="000000" w:themeColor="text1"/>
          <w:sz w:val="30"/>
          <w:szCs w:val="30"/>
          <w:highlight w:val="none"/>
          <w14:textFill>
            <w14:solidFill>
              <w14:schemeClr w14:val="tx1"/>
            </w14:solidFill>
          </w14:textFill>
        </w:rPr>
      </w:pPr>
    </w:p>
    <w:p>
      <w:pPr>
        <w:spacing w:line="440" w:lineRule="exact"/>
        <w:rPr>
          <w:rFonts w:ascii="宋体" w:hAnsi="宋体"/>
          <w:b/>
          <w:color w:val="000000" w:themeColor="text1"/>
          <w:sz w:val="21"/>
          <w:szCs w:val="21"/>
          <w:highlight w:val="none"/>
          <w14:textFill>
            <w14:solidFill>
              <w14:schemeClr w14:val="tx1"/>
            </w14:solidFill>
          </w14:textFill>
        </w:rPr>
      </w:pPr>
    </w:p>
    <w:p>
      <w:pPr>
        <w:spacing w:line="440" w:lineRule="exact"/>
        <w:rPr>
          <w:rFonts w:ascii="宋体" w:hAnsi="宋体"/>
          <w:b/>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附件5-6：履约担保（格式）</w:t>
      </w:r>
    </w:p>
    <w:p>
      <w:pPr>
        <w:spacing w:line="360" w:lineRule="auto"/>
        <w:jc w:val="center"/>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履约担保</w:t>
      </w:r>
    </w:p>
    <w:p>
      <w:p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（发包人名称）：</w:t>
      </w:r>
    </w:p>
    <w:p>
      <w:pPr>
        <w:spacing w:line="360" w:lineRule="auto"/>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鉴于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（发包人名称，以下简称“发包人”）与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（勘察人名称）（以下称“勘察人”）于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日就</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（工程名称）勘察及有关事项协商一致共同签订《建设工程勘察合同》。我方愿意无条件地、不可撤销地就勘察人履行与你方签订的合同，向你方提供连带责任担保。 </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1.担保金额人民币（大写）</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2.担保有效期自你方与勘察人签订的合同生效之日起至发包人签收最后一批勘察成果文件之日起28日后失效。</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3.在本担保有效期内，因勘察人违反合同约定的义务给你方造成经济损失时，我方在收到你方以书面形式提出的在担保金额内的赔偿要求后，在7天内无条件支付。</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4.你方和勘察人按合同约定变更合同时，我方承担本担保规定的义务不变。</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5.因本保函发生的纠纷，可由双方协商解决；协商不成的，任何一方应向《建设工程勘察合同》专用条款第16.3款约定的同一仲裁或诉讼机构提起仲裁或诉讼。</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6.本保函自我方法定代表人（或其委托代理人）签字并加盖公章之日起生效。</w:t>
      </w: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担 保 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2205" w:firstLineChars="105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2205" w:firstLineChars="10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    真：</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left="1329" w:hanging="1329" w:hangingChars="633"/>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spacing w:line="360" w:lineRule="auto"/>
        <w:ind w:left="1329" w:hanging="1329" w:hangingChars="633"/>
        <w:jc w:val="left"/>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注：本履约担保格式可以采用经发包人同意的其他格式，但相关内容不得违背合同约定的实质性内容。</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p>
    <w:p>
      <w:pPr>
        <w:spacing w:line="360" w:lineRule="auto"/>
        <w:jc w:val="center"/>
        <w:rPr>
          <w:rFonts w:ascii="宋体" w:hAnsi="宋体" w:cs="黑体"/>
          <w:b/>
          <w:color w:val="000000" w:themeColor="text1"/>
          <w:sz w:val="21"/>
          <w:szCs w:val="21"/>
          <w:highlight w:val="none"/>
          <w14:textFill>
            <w14:solidFill>
              <w14:schemeClr w14:val="tx1"/>
            </w14:solidFill>
          </w14:textFill>
        </w:rPr>
      </w:pPr>
    </w:p>
    <w:p>
      <w:pPr>
        <w:spacing w:line="360" w:lineRule="auto"/>
        <w:rPr>
          <w:rFonts w:ascii="宋体" w:hAnsi="宋体" w:cs="黑体"/>
          <w:b/>
          <w:color w:val="000000" w:themeColor="text1"/>
          <w:sz w:val="21"/>
          <w:szCs w:val="21"/>
          <w:highlight w:val="none"/>
          <w14:textFill>
            <w14:solidFill>
              <w14:schemeClr w14:val="tx1"/>
            </w14:solidFill>
          </w14:textFill>
        </w:rPr>
      </w:pPr>
    </w:p>
    <w:p>
      <w:pPr>
        <w:spacing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b/>
          <w:color w:val="000000" w:themeColor="text1"/>
          <w:sz w:val="24"/>
          <w:szCs w:val="24"/>
          <w:highlight w:val="none"/>
          <w14:textFill>
            <w14:solidFill>
              <w14:schemeClr w14:val="tx1"/>
            </w14:solidFill>
          </w14:textFill>
        </w:rPr>
        <w:t>履约保证保险（凭证）</w:t>
      </w:r>
    </w:p>
    <w:p>
      <w:pPr>
        <w:pStyle w:val="66"/>
        <w:spacing w:after="0"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（发包人名称）：</w:t>
      </w:r>
      <w:r>
        <w:rPr>
          <w:rFonts w:hAnsi="宋体" w:cs="宋体"/>
          <w:color w:val="000000" w:themeColor="text1"/>
          <w:sz w:val="21"/>
          <w:szCs w:val="21"/>
          <w:highlight w:val="none"/>
          <w14:textFill>
            <w14:solidFill>
              <w14:schemeClr w14:val="tx1"/>
            </w14:solidFill>
          </w14:textFill>
        </w:rPr>
        <w:t xml:space="preserve"> </w:t>
      </w:r>
    </w:p>
    <w:p>
      <w:pPr>
        <w:pStyle w:val="124"/>
        <w:spacing w:line="360" w:lineRule="auto"/>
        <w:ind w:firstLine="42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鉴于</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（发包人名称，以下简称</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发包人</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）接受</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勘察</w:t>
      </w:r>
      <w:r>
        <w:rPr>
          <w:rFonts w:hint="eastAsia" w:hAnsi="宋体" w:cs="宋体"/>
          <w:color w:val="000000" w:themeColor="text1"/>
          <w:sz w:val="21"/>
          <w:szCs w:val="21"/>
          <w:highlight w:val="none"/>
          <w14:textFill>
            <w14:solidFill>
              <w14:schemeClr w14:val="tx1"/>
            </w14:solidFill>
          </w14:textFill>
        </w:rPr>
        <w:t>人名称，以下称</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勘察</w:t>
      </w:r>
      <w:r>
        <w:rPr>
          <w:rFonts w:hint="eastAsia" w:hAnsi="宋体" w:cs="宋体"/>
          <w:color w:val="000000" w:themeColor="text1"/>
          <w:sz w:val="21"/>
          <w:szCs w:val="21"/>
          <w:highlight w:val="none"/>
          <w14:textFill>
            <w14:solidFill>
              <w14:schemeClr w14:val="tx1"/>
            </w14:solidFill>
          </w14:textFill>
        </w:rPr>
        <w:t>人</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）于</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日参加</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（项目名称）</w:t>
      </w:r>
      <w:r>
        <w:rPr>
          <w:rFonts w:hint="eastAsia" w:hAnsi="宋体"/>
          <w:color w:val="000000" w:themeColor="text1"/>
          <w:sz w:val="21"/>
          <w:szCs w:val="21"/>
          <w:highlight w:val="none"/>
          <w14:textFill>
            <w14:solidFill>
              <w14:schemeClr w14:val="tx1"/>
            </w14:solidFill>
          </w14:textFill>
        </w:rPr>
        <w:t>勘察</w:t>
      </w:r>
      <w:r>
        <w:rPr>
          <w:rFonts w:hint="eastAsia" w:hAnsi="宋体" w:cs="宋体"/>
          <w:color w:val="000000" w:themeColor="text1"/>
          <w:sz w:val="21"/>
          <w:szCs w:val="21"/>
          <w:highlight w:val="none"/>
          <w14:textFill>
            <w14:solidFill>
              <w14:schemeClr w14:val="tx1"/>
            </w14:solidFill>
          </w14:textFill>
        </w:rPr>
        <w:t>的投标。我方愿意无条件地、不可撤销地就</w:t>
      </w:r>
      <w:r>
        <w:rPr>
          <w:rFonts w:hint="eastAsia" w:hAnsi="宋体"/>
          <w:color w:val="000000" w:themeColor="text1"/>
          <w:sz w:val="21"/>
          <w:szCs w:val="21"/>
          <w:highlight w:val="none"/>
          <w14:textFill>
            <w14:solidFill>
              <w14:schemeClr w14:val="tx1"/>
            </w14:solidFill>
          </w14:textFill>
        </w:rPr>
        <w:t>勘察</w:t>
      </w:r>
      <w:r>
        <w:rPr>
          <w:rFonts w:hint="eastAsia" w:hAnsi="宋体" w:cs="宋体"/>
          <w:color w:val="000000" w:themeColor="text1"/>
          <w:sz w:val="21"/>
          <w:szCs w:val="21"/>
          <w:highlight w:val="none"/>
          <w14:textFill>
            <w14:solidFill>
              <w14:schemeClr w14:val="tx1"/>
            </w14:solidFill>
          </w14:textFill>
        </w:rPr>
        <w:t>人履行与你方订立的合同，向你方提供履约保证保险。</w:t>
      </w:r>
    </w:p>
    <w:p>
      <w:pPr>
        <w:pStyle w:val="124"/>
        <w:spacing w:line="360" w:lineRule="auto"/>
        <w:ind w:firstLine="371" w:firstLineChars="177"/>
        <w:rPr>
          <w:rFonts w:hAnsi="宋体" w:cs="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1.保险单号：</w:t>
      </w:r>
      <w:r>
        <w:rPr>
          <w:rFonts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w:t>
      </w:r>
    </w:p>
    <w:p>
      <w:pPr>
        <w:pStyle w:val="124"/>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r>
        <w:rPr>
          <w:rFonts w:hAnsi="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履约保证保险金额人民币（大写）</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元（</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w:t>
      </w:r>
    </w:p>
    <w:p>
      <w:pPr>
        <w:pStyle w:val="57"/>
        <w:spacing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3</w:t>
      </w:r>
      <w:r>
        <w:rPr>
          <w:rFonts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保险有效期自发包人与勘察人签订的合同生效之日起至发包人签收最后一批勘察成果文件之日起28日后失效。</w:t>
      </w:r>
    </w:p>
    <w:p>
      <w:pPr>
        <w:pStyle w:val="57"/>
        <w:spacing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4</w:t>
      </w:r>
      <w:r>
        <w:rPr>
          <w:rFonts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在本保险有效期内，因勘察人违反合同约定的义务给你方造成经济损失时，我方在收到你方以书面形式提出的在履约保证保险金额内的赔偿要求后，在</w:t>
      </w:r>
      <w:r>
        <w:rPr>
          <w:rFonts w:ascii="宋体" w:hAnsi="宋体" w:eastAsia="宋体"/>
          <w:color w:val="000000" w:themeColor="text1"/>
          <w:sz w:val="21"/>
          <w:szCs w:val="21"/>
          <w:highlight w:val="none"/>
          <w14:textFill>
            <w14:solidFill>
              <w14:schemeClr w14:val="tx1"/>
            </w14:solidFill>
          </w14:textFill>
        </w:rPr>
        <w:t>7</w:t>
      </w:r>
      <w:r>
        <w:rPr>
          <w:rFonts w:hint="eastAsia" w:ascii="宋体" w:hAnsi="宋体" w:eastAsia="宋体"/>
          <w:color w:val="000000" w:themeColor="text1"/>
          <w:sz w:val="21"/>
          <w:szCs w:val="21"/>
          <w:highlight w:val="none"/>
          <w14:textFill>
            <w14:solidFill>
              <w14:schemeClr w14:val="tx1"/>
            </w14:solidFill>
          </w14:textFill>
        </w:rPr>
        <w:t>天内无条件支付。</w:t>
      </w:r>
    </w:p>
    <w:p>
      <w:pPr>
        <w:pStyle w:val="57"/>
        <w:spacing w:line="360" w:lineRule="auto"/>
        <w:ind w:firstLine="426"/>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w:t>
      </w:r>
      <w:r>
        <w:rPr>
          <w:rFonts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发包人和勘察人按合同约定变更合同时，我方承担保险合同约定的义务不变。</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6.因本</w:t>
      </w:r>
      <w:r>
        <w:rPr>
          <w:rFonts w:hint="eastAsia" w:ascii="宋体" w:hAnsi="宋体" w:cs="宋体"/>
          <w:color w:val="000000" w:themeColor="text1"/>
          <w:sz w:val="21"/>
          <w:szCs w:val="21"/>
          <w:highlight w:val="none"/>
          <w14:textFill>
            <w14:solidFill>
              <w14:schemeClr w14:val="tx1"/>
            </w14:solidFill>
          </w14:textFill>
        </w:rPr>
        <w:t>保险</w:t>
      </w:r>
      <w:r>
        <w:rPr>
          <w:rFonts w:hint="eastAsia" w:ascii="宋体" w:hAnsi="宋体"/>
          <w:color w:val="000000" w:themeColor="text1"/>
          <w:sz w:val="21"/>
          <w:szCs w:val="21"/>
          <w:highlight w:val="none"/>
          <w14:textFill>
            <w14:solidFill>
              <w14:schemeClr w14:val="tx1"/>
            </w14:solidFill>
          </w14:textFill>
        </w:rPr>
        <w:t>发生的纠纷，可由双方协商解决，协商不成的，任何一方应向《建设工程勘察合同》专用条款第16.3款约定的同一仲裁或诉讼机构提起仲裁或诉讼。</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7.本</w:t>
      </w:r>
      <w:r>
        <w:rPr>
          <w:rFonts w:hint="eastAsia" w:ascii="宋体" w:hAnsi="宋体" w:cs="宋体"/>
          <w:color w:val="000000" w:themeColor="text1"/>
          <w:sz w:val="21"/>
          <w:szCs w:val="21"/>
          <w:highlight w:val="none"/>
          <w14:textFill>
            <w14:solidFill>
              <w14:schemeClr w14:val="tx1"/>
            </w14:solidFill>
          </w14:textFill>
        </w:rPr>
        <w:t>保险</w:t>
      </w:r>
      <w:r>
        <w:rPr>
          <w:rFonts w:hint="eastAsia" w:ascii="宋体" w:hAnsi="宋体"/>
          <w:color w:val="000000" w:themeColor="text1"/>
          <w:sz w:val="21"/>
          <w:szCs w:val="21"/>
          <w:highlight w:val="none"/>
          <w14:textFill>
            <w14:solidFill>
              <w14:schemeClr w14:val="tx1"/>
            </w14:solidFill>
          </w14:textFill>
        </w:rPr>
        <w:t>自我方法定代表人（或其委托代理人）签字并加盖公章之日起生效。</w:t>
      </w:r>
    </w:p>
    <w:p>
      <w:pPr>
        <w:pStyle w:val="57"/>
        <w:spacing w:line="360" w:lineRule="auto"/>
        <w:rPr>
          <w:rFonts w:ascii="宋体" w:hAnsi="宋体" w:eastAsia="宋体"/>
          <w:color w:val="000000" w:themeColor="text1"/>
          <w:sz w:val="21"/>
          <w:szCs w:val="21"/>
          <w:highlight w:val="none"/>
          <w14:textFill>
            <w14:solidFill>
              <w14:schemeClr w14:val="tx1"/>
            </w14:solidFill>
          </w14:textFill>
        </w:rPr>
      </w:pPr>
    </w:p>
    <w:p>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保 险 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（盖单位章）</w:t>
      </w:r>
    </w:p>
    <w:p>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法定代表人或其委托代理人：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（签字）</w:t>
      </w:r>
    </w:p>
    <w:p>
      <w:pPr>
        <w:pStyle w:val="65"/>
        <w:spacing w:after="0" w:line="360" w:lineRule="auto"/>
        <w:ind w:firstLine="3968" w:firstLineChars="189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    址：</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邮政编码：</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    话：</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pPr>
        <w:pStyle w:val="65"/>
        <w:spacing w:after="0" w:line="360" w:lineRule="auto"/>
        <w:ind w:firstLine="3968" w:firstLineChars="189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传    真：</w:t>
      </w:r>
      <w:r>
        <w:rPr>
          <w:rFonts w:hint="eastAsia"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pPr>
        <w:spacing w:line="360" w:lineRule="auto"/>
        <w:ind w:firstLine="4095" w:firstLineChars="19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spacing w:line="360" w:lineRule="auto"/>
        <w:ind w:firstLine="6090" w:firstLineChars="2900"/>
        <w:jc w:val="left"/>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注：</w:t>
      </w:r>
      <w:r>
        <w:rPr>
          <w:rFonts w:hint="eastAsia" w:ascii="宋体" w:hAnsi="宋体"/>
          <w:color w:val="000000" w:themeColor="text1"/>
          <w:sz w:val="21"/>
          <w:szCs w:val="21"/>
          <w:highlight w:val="none"/>
          <w14:textFill>
            <w14:solidFill>
              <w14:schemeClr w14:val="tx1"/>
            </w14:solidFill>
          </w14:textFill>
        </w:rPr>
        <w:t>本履约保证保险（凭证）格式可以采用经发包人同意的其他格式，但相关内容不得违背合同约定的实质性内容。</w:t>
      </w:r>
    </w:p>
    <w:p>
      <w:pPr>
        <w:spacing w:line="360" w:lineRule="auto"/>
        <w:jc w:val="left"/>
        <w:rPr>
          <w:rFonts w:ascii="宋体" w:hAnsi="宋体"/>
          <w:b/>
          <w:color w:val="000000" w:themeColor="text1"/>
          <w:sz w:val="21"/>
          <w:szCs w:val="21"/>
          <w:highlight w:val="none"/>
          <w14:textFill>
            <w14:solidFill>
              <w14:schemeClr w14:val="tx1"/>
            </w14:solidFill>
          </w14:textFill>
        </w:rPr>
      </w:pPr>
    </w:p>
    <w:p>
      <w:pPr>
        <w:spacing w:line="360" w:lineRule="auto"/>
        <w:jc w:val="left"/>
        <w:rPr>
          <w:rFonts w:ascii="宋体" w:hAnsi="宋体"/>
          <w:b/>
          <w:color w:val="000000" w:themeColor="text1"/>
          <w:sz w:val="21"/>
          <w:szCs w:val="21"/>
          <w:highlight w:val="none"/>
          <w14:textFill>
            <w14:solidFill>
              <w14:schemeClr w14:val="tx1"/>
            </w14:solidFill>
          </w14:textFill>
        </w:rPr>
      </w:pPr>
    </w:p>
    <w:p>
      <w:pPr>
        <w:spacing w:line="360" w:lineRule="auto"/>
        <w:jc w:val="left"/>
        <w:rPr>
          <w:rFonts w:ascii="宋体" w:hAnsi="宋体"/>
          <w:b/>
          <w:color w:val="000000" w:themeColor="text1"/>
          <w:sz w:val="21"/>
          <w:szCs w:val="21"/>
          <w:highlight w:val="none"/>
          <w14:textFill>
            <w14:solidFill>
              <w14:schemeClr w14:val="tx1"/>
            </w14:solidFill>
          </w14:textFill>
        </w:rPr>
      </w:pPr>
    </w:p>
    <w:p>
      <w:pPr>
        <w:spacing w:line="360" w:lineRule="auto"/>
        <w:jc w:val="left"/>
        <w:rPr>
          <w:rFonts w:ascii="宋体" w:hAnsi="宋体"/>
          <w:b/>
          <w:color w:val="000000" w:themeColor="text1"/>
          <w:sz w:val="21"/>
          <w:szCs w:val="21"/>
          <w:highlight w:val="none"/>
          <w14:textFill>
            <w14:solidFill>
              <w14:schemeClr w14:val="tx1"/>
            </w14:solidFill>
          </w14:textFill>
        </w:rPr>
      </w:pPr>
    </w:p>
    <w:p>
      <w:pP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附件5-7：</w:t>
      </w:r>
      <w:r>
        <w:rPr>
          <w:rFonts w:hint="eastAsia" w:ascii="黑体" w:hAnsi="黑体" w:eastAsia="黑体"/>
          <w:color w:val="000000" w:themeColor="text1"/>
          <w:sz w:val="24"/>
          <w:szCs w:val="24"/>
          <w:highlight w:val="none"/>
          <w14:textFill>
            <w14:solidFill>
              <w14:schemeClr w14:val="tx1"/>
            </w14:solidFill>
          </w14:textFill>
        </w:rPr>
        <w:t>联合体协议书（如有）</w:t>
      </w:r>
    </w:p>
    <w:p>
      <w:pPr>
        <w:spacing w:line="440" w:lineRule="exact"/>
        <w:jc w:val="center"/>
        <w:rPr>
          <w:rFonts w:ascii="黑体" w:hAnsi="黑体" w:eastAsia="黑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spacing w:before="3000" w:after="0"/>
        <w:jc w:val="center"/>
        <w:rPr>
          <w:rFonts w:ascii="黑体" w:hAnsi="黑体" w:eastAsia="黑体"/>
          <w:b w:val="0"/>
          <w:color w:val="000000" w:themeColor="text1"/>
          <w:highlight w:val="none"/>
          <w14:textFill>
            <w14:solidFill>
              <w14:schemeClr w14:val="tx1"/>
            </w14:solidFill>
          </w14:textFill>
        </w:rPr>
      </w:pPr>
      <w:bookmarkStart w:id="3156" w:name="_Toc9309"/>
      <w:bookmarkStart w:id="3157" w:name="_Toc32410"/>
      <w:bookmarkStart w:id="3158" w:name="_Toc26053"/>
      <w:bookmarkStart w:id="3159" w:name="_Toc106719484"/>
      <w:bookmarkStart w:id="3160" w:name="_Toc32657"/>
      <w:bookmarkStart w:id="3161" w:name="_Toc2695"/>
      <w:bookmarkStart w:id="3162" w:name="_Toc52137886"/>
      <w:bookmarkStart w:id="3163" w:name="_Toc18352"/>
      <w:bookmarkStart w:id="3164" w:name="_Toc26400"/>
      <w:bookmarkStart w:id="3165" w:name="_Toc18310"/>
      <w:bookmarkStart w:id="3166" w:name="_Toc31194"/>
      <w:bookmarkStart w:id="3167" w:name="_Toc3238"/>
      <w:bookmarkStart w:id="3168" w:name="_Toc10785"/>
      <w:bookmarkStart w:id="3169" w:name="_Toc22354"/>
      <w:r>
        <w:rPr>
          <w:rFonts w:hint="eastAsia" w:ascii="黑体" w:hAnsi="黑体" w:eastAsia="黑体"/>
          <w:b w:val="0"/>
          <w:color w:val="000000" w:themeColor="text1"/>
          <w:highlight w:val="none"/>
          <w14:textFill>
            <w14:solidFill>
              <w14:schemeClr w14:val="tx1"/>
            </w14:solidFill>
          </w14:textFill>
        </w:rPr>
        <w:t>第二卷</w:t>
      </w:r>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spacing w:before="3000" w:after="0"/>
        <w:jc w:val="center"/>
        <w:rPr>
          <w:rFonts w:ascii="黑体" w:hAnsi="黑体" w:eastAsia="黑体"/>
          <w:b w:val="0"/>
          <w:color w:val="000000" w:themeColor="text1"/>
          <w:sz w:val="44"/>
          <w:szCs w:val="44"/>
          <w:highlight w:val="none"/>
          <w14:textFill>
            <w14:solidFill>
              <w14:schemeClr w14:val="tx1"/>
            </w14:solidFill>
          </w14:textFill>
        </w:rPr>
      </w:pPr>
      <w:bookmarkStart w:id="3170" w:name="_Toc52137887"/>
      <w:bookmarkStart w:id="3171" w:name="_Toc30220"/>
      <w:bookmarkStart w:id="3172" w:name="_Toc13263"/>
      <w:bookmarkStart w:id="3173" w:name="_Toc16369"/>
      <w:bookmarkStart w:id="3174" w:name="_Toc106719485"/>
      <w:bookmarkStart w:id="3175" w:name="_Toc933"/>
      <w:bookmarkStart w:id="3176" w:name="_Toc26139"/>
      <w:bookmarkStart w:id="3177" w:name="_Toc22244"/>
      <w:bookmarkStart w:id="3178" w:name="_Toc19194"/>
      <w:bookmarkStart w:id="3179" w:name="_Toc30060"/>
      <w:bookmarkStart w:id="3180" w:name="_Toc32460"/>
      <w:bookmarkStart w:id="3181" w:name="_Toc19810"/>
      <w:bookmarkStart w:id="3182" w:name="_Toc2314"/>
      <w:bookmarkStart w:id="3183" w:name="_Toc6676"/>
      <w:r>
        <w:rPr>
          <w:rFonts w:hint="eastAsia" w:ascii="黑体" w:hAnsi="黑体" w:eastAsia="黑体"/>
          <w:b w:val="0"/>
          <w:color w:val="000000" w:themeColor="text1"/>
          <w:sz w:val="44"/>
          <w:szCs w:val="44"/>
          <w:highlight w:val="none"/>
          <w14:textFill>
            <w14:solidFill>
              <w14:schemeClr w14:val="tx1"/>
            </w14:solidFill>
          </w14:textFill>
        </w:rPr>
        <w:t>第六章 发包人要求</w:t>
      </w:r>
      <w:bookmarkEnd w:id="3170"/>
      <w:r>
        <w:rPr>
          <w:rStyle w:val="49"/>
          <w:rFonts w:ascii="黑体" w:hAnsi="黑体" w:eastAsia="黑体"/>
          <w:b w:val="0"/>
          <w:color w:val="000000" w:themeColor="text1"/>
          <w:sz w:val="44"/>
          <w:szCs w:val="44"/>
          <w:highlight w:val="none"/>
          <w14:textFill>
            <w14:solidFill>
              <w14:schemeClr w14:val="tx1"/>
            </w14:solidFill>
          </w14:textFill>
        </w:rPr>
        <w:footnoteReference w:id="47"/>
      </w:r>
      <w:bookmarkEnd w:id="3171"/>
      <w:bookmarkEnd w:id="3172"/>
      <w:bookmarkEnd w:id="3173"/>
      <w:bookmarkEnd w:id="3174"/>
      <w:bookmarkEnd w:id="3175"/>
      <w:bookmarkEnd w:id="3176"/>
      <w:bookmarkEnd w:id="3177"/>
      <w:bookmarkEnd w:id="3178"/>
      <w:bookmarkEnd w:id="3179"/>
      <w:bookmarkEnd w:id="3180"/>
      <w:bookmarkEnd w:id="3181"/>
      <w:bookmarkEnd w:id="3182"/>
      <w:bookmarkEnd w:id="3183"/>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jc w:val="center"/>
        <w:rPr>
          <w:rFonts w:ascii="宋体" w:hAnsi="宋体"/>
          <w:b/>
          <w:color w:val="000000" w:themeColor="text1"/>
          <w:sz w:val="32"/>
          <w:szCs w:val="32"/>
          <w:highlight w:val="none"/>
          <w14:textFill>
            <w14:solidFill>
              <w14:schemeClr w14:val="tx1"/>
            </w14:solidFill>
          </w14:textFill>
        </w:rPr>
      </w:pPr>
    </w:p>
    <w:p>
      <w:pPr>
        <w:spacing w:beforeLines="100" w:afterLines="100" w:line="441" w:lineRule="exact"/>
        <w:ind w:right="17"/>
        <w:rPr>
          <w:rFonts w:ascii="黑体" w:hAnsi="黑体" w:eastAsia="黑体"/>
          <w:color w:val="000000" w:themeColor="text1"/>
          <w:sz w:val="28"/>
          <w:szCs w:val="28"/>
          <w:highlight w:val="none"/>
          <w14:textFill>
            <w14:solidFill>
              <w14:schemeClr w14:val="tx1"/>
            </w14:solidFill>
          </w14:textFill>
        </w:rPr>
      </w:pPr>
    </w:p>
    <w:p>
      <w:pPr>
        <w:pStyle w:val="6"/>
        <w:jc w:val="center"/>
        <w:rPr>
          <w:rFonts w:ascii="黑体" w:hAnsi="黑体" w:eastAsia="黑体"/>
          <w:b w:val="0"/>
          <w:color w:val="000000" w:themeColor="text1"/>
          <w:sz w:val="28"/>
          <w:szCs w:val="28"/>
          <w:highlight w:val="none"/>
          <w14:textFill>
            <w14:solidFill>
              <w14:schemeClr w14:val="tx1"/>
            </w14:solidFill>
          </w14:textFill>
        </w:rPr>
      </w:pPr>
      <w:bookmarkStart w:id="3184" w:name="_Toc24924"/>
      <w:bookmarkStart w:id="3185" w:name="_Toc23746"/>
      <w:bookmarkStart w:id="3186" w:name="_Toc11950"/>
      <w:bookmarkStart w:id="3187" w:name="_Toc106719486"/>
      <w:bookmarkStart w:id="3188" w:name="_Toc3548"/>
      <w:bookmarkStart w:id="3189" w:name="_Toc32161"/>
      <w:bookmarkStart w:id="3190" w:name="_Toc8826"/>
      <w:bookmarkStart w:id="3191" w:name="_Toc52137888"/>
      <w:bookmarkStart w:id="3192" w:name="_Toc11675"/>
      <w:bookmarkStart w:id="3193" w:name="_Toc83236372"/>
      <w:bookmarkStart w:id="3194" w:name="_Toc12315"/>
      <w:bookmarkStart w:id="3195" w:name="_Toc31026"/>
      <w:bookmarkStart w:id="3196" w:name="_Toc26166"/>
      <w:bookmarkStart w:id="3197" w:name="_Toc14806"/>
      <w:bookmarkStart w:id="3198" w:name="_Toc14600"/>
      <w:r>
        <w:rPr>
          <w:rFonts w:hint="eastAsia" w:ascii="黑体" w:hAnsi="黑体" w:eastAsia="黑体"/>
          <w:b w:val="0"/>
          <w:color w:val="000000" w:themeColor="text1"/>
          <w:sz w:val="28"/>
          <w:szCs w:val="28"/>
          <w:highlight w:val="none"/>
          <w14:textFill>
            <w14:solidFill>
              <w14:schemeClr w14:val="tx1"/>
            </w14:solidFill>
          </w14:textFill>
        </w:rPr>
        <w:t>第六章 发包人要求</w:t>
      </w:r>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Start w:id="3199" w:name="_bookmark182"/>
      <w:bookmarkEnd w:id="3199"/>
      <w:bookmarkStart w:id="3200" w:name="_Toc52137890"/>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201" w:name="_Toc8024"/>
      <w:bookmarkStart w:id="3202" w:name="_Toc8542"/>
      <w:bookmarkStart w:id="3203" w:name="_Toc19652"/>
      <w:bookmarkStart w:id="3204" w:name="_Toc10730"/>
      <w:bookmarkStart w:id="3205" w:name="_Toc106719487"/>
      <w:bookmarkStart w:id="3206" w:name="_Toc1525"/>
      <w:bookmarkStart w:id="3207" w:name="_Toc3020"/>
      <w:bookmarkStart w:id="3208" w:name="_Toc8124"/>
      <w:bookmarkStart w:id="3209" w:name="_Toc9754"/>
      <w:bookmarkStart w:id="3210" w:name="_Toc14564"/>
      <w:bookmarkStart w:id="3211" w:name="_Toc10138"/>
      <w:bookmarkStart w:id="3212" w:name="_Toc1316"/>
      <w:bookmarkStart w:id="3213" w:name="_Toc19070"/>
      <w:r>
        <w:rPr>
          <w:rFonts w:hint="eastAsia" w:ascii="黑体" w:hAnsi="黑体" w:eastAsia="黑体"/>
          <w:b w:val="0"/>
          <w:color w:val="000000" w:themeColor="text1"/>
          <w:sz w:val="28"/>
          <w:szCs w:val="28"/>
          <w:highlight w:val="none"/>
          <w14:textFill>
            <w14:solidFill>
              <w14:schemeClr w14:val="tx1"/>
            </w14:solidFill>
          </w14:textFill>
        </w:rPr>
        <w:t>一、勘察要求</w:t>
      </w:r>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发包</w:t>
      </w:r>
      <w:r>
        <w:rPr>
          <w:rFonts w:ascii="宋体" w:hAnsi="宋体"/>
          <w:color w:val="000000" w:themeColor="text1"/>
          <w:sz w:val="21"/>
          <w:szCs w:val="21"/>
          <w:highlight w:val="none"/>
          <w14:textFill>
            <w14:solidFill>
              <w14:schemeClr w14:val="tx1"/>
            </w14:solidFill>
          </w14:textFill>
        </w:rPr>
        <w:t>人应当根据项目情况在本章中明确相应的</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要求，一般应包括以下内容</w:t>
      </w:r>
      <w:r>
        <w:rPr>
          <w:rFonts w:hint="eastAsia" w:ascii="宋体" w:hAnsi="宋体"/>
          <w:color w:val="000000" w:themeColor="text1"/>
          <w:sz w:val="21"/>
          <w:szCs w:val="21"/>
          <w:highlight w:val="none"/>
          <w14:textFill>
            <w14:solidFill>
              <w14:schemeClr w14:val="tx1"/>
            </w14:solidFill>
          </w14:textFill>
        </w:rPr>
        <w:t>。</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（一）勘察条件</w:t>
      </w:r>
    </w:p>
    <w:p>
      <w:pPr>
        <w:pStyle w:val="19"/>
        <w:spacing w:after="0" w:line="360" w:lineRule="auto"/>
        <w:ind w:firstLine="525" w:firstLineChars="2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1.项目场地情况：</w:t>
      </w:r>
    </w:p>
    <w:p>
      <w:pPr>
        <w:pStyle w:val="19"/>
        <w:spacing w:after="0" w:line="360" w:lineRule="auto"/>
        <w:ind w:firstLine="525" w:firstLineChars="2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2.周边环境：</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3.交通条件：</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4.施工用水、用电：</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（二）本勘察项目的特殊技术要求</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（三）勘察工作范围和内容</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（四）地下建筑物、文物等保护要求</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（五）勘察成果要求</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（六）其他要求</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424" w:firstLineChars="202"/>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214" w:name="_bookmark183"/>
      <w:bookmarkEnd w:id="3214"/>
      <w:bookmarkStart w:id="3215" w:name="_Toc994"/>
      <w:bookmarkStart w:id="3216" w:name="_Toc106719488"/>
      <w:bookmarkStart w:id="3217" w:name="_Toc3135"/>
      <w:bookmarkStart w:id="3218" w:name="_Toc12497"/>
      <w:bookmarkStart w:id="3219" w:name="_Toc52137891"/>
      <w:bookmarkStart w:id="3220" w:name="_Toc31415"/>
      <w:bookmarkStart w:id="3221" w:name="_Toc13737"/>
      <w:bookmarkStart w:id="3222" w:name="_Toc17668"/>
      <w:bookmarkStart w:id="3223" w:name="_Toc16229"/>
      <w:bookmarkStart w:id="3224" w:name="_Toc28042"/>
      <w:bookmarkStart w:id="3225" w:name="_Toc19676"/>
      <w:bookmarkStart w:id="3226" w:name="_Toc16920"/>
      <w:bookmarkStart w:id="3227" w:name="_Toc1455"/>
      <w:bookmarkStart w:id="3228" w:name="_Toc20693"/>
      <w:r>
        <w:rPr>
          <w:rFonts w:hint="eastAsia" w:ascii="黑体" w:hAnsi="黑体" w:eastAsia="黑体"/>
          <w:b w:val="0"/>
          <w:color w:val="000000" w:themeColor="text1"/>
          <w:sz w:val="28"/>
          <w:szCs w:val="28"/>
          <w:highlight w:val="none"/>
          <w:lang w:eastAsia="zh-CN"/>
          <w14:textFill>
            <w14:solidFill>
              <w14:schemeClr w14:val="tx1"/>
            </w14:solidFill>
          </w14:textFill>
        </w:rPr>
        <w:t>二</w:t>
      </w:r>
      <w:r>
        <w:rPr>
          <w:rFonts w:ascii="黑体" w:hAnsi="黑体" w:eastAsia="黑体"/>
          <w:b w:val="0"/>
          <w:color w:val="000000" w:themeColor="text1"/>
          <w:sz w:val="28"/>
          <w:szCs w:val="28"/>
          <w:highlight w:val="none"/>
          <w14:textFill>
            <w14:solidFill>
              <w14:schemeClr w14:val="tx1"/>
            </w14:solidFill>
          </w14:textFill>
        </w:rPr>
        <w:t>、适用规范标准</w:t>
      </w:r>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工程勘察应符合国家和地方现行规范、规程、标准的规定，下列规范、规程或标准如有更新，则应以最新规定为准：</w:t>
      </w:r>
    </w:p>
    <w:p>
      <w:pPr>
        <w:pStyle w:val="19"/>
        <w:spacing w:after="0"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1.《建筑地基基础设计规范》（GB50007-2011）</w:t>
      </w:r>
    </w:p>
    <w:p>
      <w:pPr>
        <w:pStyle w:val="19"/>
        <w:spacing w:after="0"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2.《建筑抗震设计规范》（GB50011-2010）（2016年版）</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3.《岩土工程勘察规范》（GB50021-2001）（2009年版）</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bCs/>
          <w:color w:val="000000" w:themeColor="text1"/>
          <w:sz w:val="21"/>
          <w:szCs w:val="21"/>
          <w:highlight w:val="none"/>
          <w14:textFill>
            <w14:solidFill>
              <w14:schemeClr w14:val="tx1"/>
            </w14:solidFill>
          </w14:textFill>
        </w:rPr>
        <w:t>《土工试验方法标准》（GB/T50123-1999）</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5.《工程岩体试验方法标准》（GB/T50266-2013）</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6.《土的工程分类标准》（GB/T50145-2007）</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7.《软土地区岩土工程勘察规程》（JGJ83-2011）</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8.《建筑工程地质勘探与取样技术规程》（JGJ87-2012）</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9.福建省标准《岩土工程勘察规范》（DBJ 13-84-2006）</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10.福建省标准《建筑地基基础技术规范》（DBJ 13-07-2006）</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11.《建筑桩基技术规范》（JGJ94-2008）</w:t>
      </w:r>
    </w:p>
    <w:p>
      <w:pPr>
        <w:tabs>
          <w:tab w:val="left" w:pos="0"/>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12.《建筑基坑支护技术规范》（JGJ120-2012）</w:t>
      </w:r>
    </w:p>
    <w:p>
      <w:pPr>
        <w:tabs>
          <w:tab w:val="left" w:pos="420"/>
        </w:tabs>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13.《房屋建筑和市政基础施工工程勘察文件编制深度规定》(2020年版)</w:t>
      </w:r>
    </w:p>
    <w:p>
      <w:pPr>
        <w:tabs>
          <w:tab w:val="left" w:pos="0"/>
          <w:tab w:val="left" w:pos="567"/>
          <w:tab w:val="left" w:pos="993"/>
          <w:tab w:val="left" w:pos="1134"/>
        </w:tabs>
        <w:snapToGrid w:val="0"/>
        <w:spacing w:line="360" w:lineRule="auto"/>
        <w:ind w:firstLine="424" w:firstLineChars="202"/>
        <w:jc w:val="left"/>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 xml:space="preserve">    ……</w:t>
      </w:r>
    </w:p>
    <w:p>
      <w:pPr>
        <w:ind w:firstLine="315" w:firstLineChars="150"/>
        <w:rPr>
          <w:rFonts w:ascii="宋体"/>
          <w:bCs/>
          <w:color w:val="000000" w:themeColor="text1"/>
          <w:sz w:val="21"/>
          <w:szCs w:val="21"/>
          <w:highlight w:val="none"/>
          <w14:textFill>
            <w14:solidFill>
              <w14:schemeClr w14:val="tx1"/>
            </w14:solidFill>
          </w14:textFill>
        </w:rPr>
      </w:pPr>
      <w:r>
        <w:rPr>
          <w:rFonts w:hint="eastAsia" w:ascii="宋体"/>
          <w:bCs/>
          <w:color w:val="000000" w:themeColor="text1"/>
          <w:sz w:val="21"/>
          <w:szCs w:val="21"/>
          <w:highlight w:val="none"/>
          <w14:textFill>
            <w14:solidFill>
              <w14:schemeClr w14:val="tx1"/>
            </w14:solidFill>
          </w14:textFill>
        </w:rPr>
        <w:t>上述规范、规程和标准如有不一致的，则以较为严格的为准。</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229" w:name="_bookmark184"/>
      <w:bookmarkEnd w:id="3229"/>
      <w:bookmarkStart w:id="3230" w:name="_Toc24872"/>
      <w:bookmarkStart w:id="3231" w:name="_Toc19107"/>
      <w:bookmarkStart w:id="3232" w:name="_Toc52137892"/>
      <w:bookmarkStart w:id="3233" w:name="_Toc19839"/>
      <w:bookmarkStart w:id="3234" w:name="_Toc6052"/>
      <w:bookmarkStart w:id="3235" w:name="_Toc106719489"/>
      <w:bookmarkStart w:id="3236" w:name="_Toc11716"/>
      <w:bookmarkStart w:id="3237" w:name="_Toc1013"/>
      <w:bookmarkStart w:id="3238" w:name="_Toc9951"/>
      <w:bookmarkStart w:id="3239" w:name="_Toc839"/>
      <w:bookmarkStart w:id="3240" w:name="_Toc1268"/>
      <w:bookmarkStart w:id="3241" w:name="_Toc605"/>
      <w:bookmarkStart w:id="3242" w:name="_Toc24603"/>
      <w:bookmarkStart w:id="3243" w:name="_Toc13777"/>
      <w:r>
        <w:rPr>
          <w:rFonts w:hint="eastAsia" w:ascii="黑体" w:hAnsi="黑体" w:eastAsia="黑体"/>
          <w:b w:val="0"/>
          <w:color w:val="000000" w:themeColor="text1"/>
          <w:sz w:val="28"/>
          <w:szCs w:val="28"/>
          <w:highlight w:val="none"/>
          <w:lang w:eastAsia="zh-CN"/>
          <w14:textFill>
            <w14:solidFill>
              <w14:schemeClr w14:val="tx1"/>
            </w14:solidFill>
          </w14:textFill>
        </w:rPr>
        <w:t>三</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技术文件</w:t>
      </w:r>
      <w:r>
        <w:rPr>
          <w:rFonts w:ascii="黑体" w:hAnsi="黑体" w:eastAsia="黑体"/>
          <w:b w:val="0"/>
          <w:color w:val="000000" w:themeColor="text1"/>
          <w:sz w:val="28"/>
          <w:szCs w:val="28"/>
          <w:highlight w:val="none"/>
          <w14:textFill>
            <w14:solidFill>
              <w14:schemeClr w14:val="tx1"/>
            </w14:solidFill>
          </w14:textFill>
        </w:rPr>
        <w:t>要求</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（一）技术</w:t>
      </w:r>
      <w:r>
        <w:rPr>
          <w:rFonts w:ascii="宋体" w:hAnsi="宋体"/>
          <w:color w:val="000000" w:themeColor="text1"/>
          <w:sz w:val="21"/>
          <w:szCs w:val="21"/>
          <w:highlight w:val="none"/>
          <w14:textFill>
            <w14:solidFill>
              <w14:schemeClr w14:val="tx1"/>
            </w14:solidFill>
          </w14:textFill>
        </w:rPr>
        <w:t>文件的组成：</w:t>
      </w:r>
      <w:r>
        <w:rPr>
          <w:rFonts w:hint="eastAsia" w:ascii="宋体" w:hAnsi="宋体"/>
          <w:color w:val="000000" w:themeColor="text1"/>
          <w:sz w:val="21"/>
          <w:szCs w:val="21"/>
          <w:highlight w:val="none"/>
          <w14:textFill>
            <w14:solidFill>
              <w14:schemeClr w14:val="tx1"/>
            </w14:solidFill>
          </w14:textFill>
        </w:rPr>
        <w:t>见第二章投标人须知正文第3.1.3条规定。</w:t>
      </w:r>
    </w:p>
    <w:p>
      <w:pPr>
        <w:pStyle w:val="19"/>
        <w:spacing w:after="0" w:line="360" w:lineRule="auto"/>
        <w:ind w:firstLine="424" w:firstLineChars="202"/>
        <w:jc w:val="left"/>
        <w:rPr>
          <w:rFonts w:ascii="宋体" w:hAnsi="宋体" w:cs="仿宋_GB2312"/>
          <w:bCs/>
          <w:color w:val="000000" w:themeColor="text1"/>
          <w:sz w:val="21"/>
          <w:szCs w:val="21"/>
          <w:highlight w:val="none"/>
          <w:lang w:val="zh-CN"/>
          <w14:textFill>
            <w14:solidFill>
              <w14:schemeClr w14:val="tx1"/>
            </w14:solidFill>
          </w14:textFill>
        </w:rPr>
      </w:pPr>
      <w:r>
        <w:rPr>
          <w:rFonts w:hint="eastAsia" w:ascii="宋体" w:hAnsi="宋体" w:cs="仿宋_GB2312"/>
          <w:bCs/>
          <w:color w:val="000000" w:themeColor="text1"/>
          <w:sz w:val="21"/>
          <w:szCs w:val="21"/>
          <w:highlight w:val="none"/>
          <w:lang w:val="zh-CN"/>
          <w14:textFill>
            <w14:solidFill>
              <w14:schemeClr w14:val="tx1"/>
            </w14:solidFill>
          </w14:textFill>
        </w:rPr>
        <w:t>（二）勘察纲要编制要求</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cs="仿宋_GB2312"/>
          <w:bCs/>
          <w:color w:val="000000" w:themeColor="text1"/>
          <w:sz w:val="21"/>
          <w:szCs w:val="21"/>
          <w:highlight w:val="none"/>
          <w:lang w:val="zh-CN"/>
          <w14:textFill>
            <w14:solidFill>
              <w14:schemeClr w14:val="tx1"/>
            </w14:solidFill>
          </w14:textFill>
        </w:rPr>
        <w:t>勘察纲要的内容应当完整</w:t>
      </w:r>
      <w:r>
        <w:rPr>
          <w:rFonts w:hint="eastAsia" w:ascii="宋体" w:hAnsi="宋体"/>
          <w:color w:val="000000" w:themeColor="text1"/>
          <w:sz w:val="21"/>
          <w:szCs w:val="21"/>
          <w:highlight w:val="none"/>
          <w14:textFill>
            <w14:solidFill>
              <w14:schemeClr w14:val="tx1"/>
            </w14:solidFill>
          </w14:textFill>
        </w:rPr>
        <w:t>。</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2.勘察纲要</w:t>
      </w:r>
      <w:r>
        <w:rPr>
          <w:rFonts w:hint="eastAsia" w:ascii="宋体" w:cs="仿宋_GB2312"/>
          <w:bCs/>
          <w:color w:val="000000" w:themeColor="text1"/>
          <w:sz w:val="21"/>
          <w:szCs w:val="21"/>
          <w:highlight w:val="none"/>
          <w:lang w:val="zh-CN"/>
          <w14:textFill>
            <w14:solidFill>
              <w14:schemeClr w14:val="tx1"/>
            </w14:solidFill>
          </w14:textFill>
        </w:rPr>
        <w:t>内容见第三章第二节“评标办法前附表”第3项“技术文件详细评审标准”</w:t>
      </w:r>
      <w:r>
        <w:rPr>
          <w:rFonts w:hint="eastAsia" w:ascii="宋体" w:hAnsi="宋体"/>
          <w:color w:val="000000" w:themeColor="text1"/>
          <w:sz w:val="21"/>
          <w:szCs w:val="21"/>
          <w:highlight w:val="none"/>
          <w14:textFill>
            <w14:solidFill>
              <w14:schemeClr w14:val="tx1"/>
            </w14:solidFill>
          </w14:textFill>
        </w:rPr>
        <w:t>。</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3.勘察纲要采用暗标形式递交，不得体现投标人名称、具体人名，不得体现投标人承担过的工程项目名称，不得体现其他可以判定投标人的标识或文字。</w:t>
      </w:r>
    </w:p>
    <w:p>
      <w:pPr>
        <w:pStyle w:val="19"/>
        <w:spacing w:after="0" w:line="360" w:lineRule="auto"/>
        <w:ind w:firstLine="424" w:firstLineChars="202"/>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4.勘察纲要应控制在150页内（包含封面和目录）。</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244" w:name="_bookmark185"/>
      <w:bookmarkEnd w:id="3244"/>
      <w:bookmarkStart w:id="3245" w:name="_Toc17864"/>
      <w:bookmarkStart w:id="3246" w:name="_Toc6673"/>
      <w:bookmarkStart w:id="3247" w:name="_Toc17793"/>
      <w:bookmarkStart w:id="3248" w:name="_Toc7691"/>
      <w:bookmarkStart w:id="3249" w:name="_Toc17614"/>
      <w:bookmarkStart w:id="3250" w:name="_Toc2098"/>
      <w:bookmarkStart w:id="3251" w:name="_Toc8477"/>
      <w:bookmarkStart w:id="3252" w:name="_Toc20440"/>
      <w:bookmarkStart w:id="3253" w:name="_Toc8173"/>
      <w:bookmarkStart w:id="3254" w:name="_Toc52137893"/>
      <w:bookmarkStart w:id="3255" w:name="_Toc18957"/>
      <w:bookmarkStart w:id="3256" w:name="_Toc18698"/>
      <w:bookmarkStart w:id="3257" w:name="_Toc1697"/>
      <w:bookmarkStart w:id="3258" w:name="_Toc106719490"/>
      <w:r>
        <w:rPr>
          <w:rFonts w:hint="eastAsia" w:ascii="黑体" w:hAnsi="黑体" w:eastAsia="黑体"/>
          <w:b w:val="0"/>
          <w:color w:val="000000" w:themeColor="text1"/>
          <w:sz w:val="28"/>
          <w:szCs w:val="28"/>
          <w:highlight w:val="none"/>
          <w:lang w:eastAsia="zh-CN"/>
          <w14:textFill>
            <w14:solidFill>
              <w14:schemeClr w14:val="tx1"/>
            </w14:solidFill>
          </w14:textFill>
        </w:rPr>
        <w:t>四</w:t>
      </w:r>
      <w:r>
        <w:rPr>
          <w:rFonts w:hint="eastAsia" w:ascii="黑体" w:hAnsi="黑体" w:eastAsia="黑体"/>
          <w:b w:val="0"/>
          <w:color w:val="000000" w:themeColor="text1"/>
          <w:sz w:val="28"/>
          <w:szCs w:val="28"/>
          <w:highlight w:val="none"/>
          <w14:textFill>
            <w14:solidFill>
              <w14:schemeClr w14:val="tx1"/>
            </w14:solidFill>
          </w14:textFill>
        </w:rPr>
        <w:t>、服务要求</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p>
    <w:p>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right="17"/>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259" w:name="_Toc21657"/>
      <w:bookmarkStart w:id="3260" w:name="_Toc21554"/>
      <w:bookmarkStart w:id="3261" w:name="_Toc8342"/>
      <w:bookmarkStart w:id="3262" w:name="_Toc15664"/>
      <w:bookmarkStart w:id="3263" w:name="_Toc27629"/>
      <w:bookmarkStart w:id="3264" w:name="_Toc106719491"/>
      <w:bookmarkStart w:id="3265" w:name="_Toc9094"/>
      <w:bookmarkStart w:id="3266" w:name="_Toc6763"/>
      <w:bookmarkStart w:id="3267" w:name="_Toc18967"/>
      <w:bookmarkStart w:id="3268" w:name="_Toc14990"/>
      <w:bookmarkStart w:id="3269" w:name="_Toc52137894"/>
      <w:bookmarkStart w:id="3270" w:name="_Toc32760"/>
      <w:bookmarkStart w:id="3271" w:name="_Toc1452"/>
      <w:bookmarkStart w:id="3272" w:name="_Toc28797"/>
      <w:r>
        <w:rPr>
          <w:rFonts w:hint="eastAsia" w:ascii="黑体" w:hAnsi="黑体" w:eastAsia="黑体"/>
          <w:b w:val="0"/>
          <w:color w:val="000000" w:themeColor="text1"/>
          <w:sz w:val="28"/>
          <w:szCs w:val="28"/>
          <w:highlight w:val="none"/>
          <w:lang w:eastAsia="zh-CN"/>
          <w14:textFill>
            <w14:solidFill>
              <w14:schemeClr w14:val="tx1"/>
            </w14:solidFill>
          </w14:textFill>
        </w:rPr>
        <w:t>五</w:t>
      </w:r>
      <w:r>
        <w:rPr>
          <w:rFonts w:ascii="黑体" w:hAnsi="黑体" w:eastAsia="黑体"/>
          <w:b w:val="0"/>
          <w:color w:val="000000" w:themeColor="text1"/>
          <w:sz w:val="28"/>
          <w:szCs w:val="28"/>
          <w:highlight w:val="none"/>
          <w14:textFill>
            <w14:solidFill>
              <w14:schemeClr w14:val="tx1"/>
            </w14:solidFill>
          </w14:textFill>
        </w:rPr>
        <w:t>、发包人财产清单</w:t>
      </w:r>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p>
    <w:p>
      <w:pPr>
        <w:pStyle w:val="6"/>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3273" w:name="_bookmark186"/>
      <w:bookmarkEnd w:id="3273"/>
      <w:bookmarkStart w:id="3274" w:name="_Toc21400"/>
      <w:bookmarkStart w:id="3275" w:name="_Toc476"/>
      <w:bookmarkStart w:id="3276" w:name="_Toc52137895"/>
      <w:bookmarkStart w:id="3277" w:name="_Toc8833"/>
      <w:bookmarkStart w:id="3278" w:name="_Toc5238"/>
      <w:bookmarkStart w:id="3279" w:name="_Toc5440"/>
      <w:bookmarkStart w:id="3280" w:name="_Toc18366"/>
      <w:bookmarkStart w:id="3281" w:name="_Toc9401"/>
      <w:bookmarkStart w:id="3282" w:name="_Toc11358"/>
      <w:bookmarkStart w:id="3283" w:name="_Toc32510"/>
      <w:bookmarkStart w:id="3284" w:name="_Toc1460"/>
      <w:bookmarkStart w:id="3285" w:name="_Toc13354"/>
      <w:bookmarkStart w:id="3286" w:name="_Toc15566"/>
      <w:bookmarkStart w:id="3287" w:name="_Toc106719492"/>
      <w:r>
        <w:rPr>
          <w:rFonts w:ascii="宋体" w:hAnsi="宋体"/>
          <w:b w:val="0"/>
          <w:color w:val="000000" w:themeColor="text1"/>
          <w:sz w:val="21"/>
          <w:szCs w:val="21"/>
          <w:highlight w:val="none"/>
          <w14:textFill>
            <w14:solidFill>
              <w14:schemeClr w14:val="tx1"/>
            </w14:solidFill>
          </w14:textFill>
        </w:rPr>
        <w:t>（一）发包人提供的设备、设施</w:t>
      </w:r>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1.发包人提供的办公房屋及冷暖设施：</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2.发包人提供的设备清单：</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3.发包人提供的设施清单：</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3288" w:name="_bookmark187"/>
      <w:bookmarkEnd w:id="3288"/>
      <w:bookmarkStart w:id="3289" w:name="_Toc6047"/>
      <w:bookmarkStart w:id="3290" w:name="_Toc24635"/>
      <w:bookmarkStart w:id="3291" w:name="_Toc28992"/>
      <w:bookmarkStart w:id="3292" w:name="_Toc10205"/>
      <w:bookmarkStart w:id="3293" w:name="_Toc19450"/>
      <w:bookmarkStart w:id="3294" w:name="_Toc15519"/>
      <w:bookmarkStart w:id="3295" w:name="_Toc52137896"/>
      <w:bookmarkStart w:id="3296" w:name="_Toc32223"/>
      <w:bookmarkStart w:id="3297" w:name="_Toc18953"/>
      <w:bookmarkStart w:id="3298" w:name="_Toc6056"/>
      <w:bookmarkStart w:id="3299" w:name="_Toc28388"/>
      <w:bookmarkStart w:id="3300" w:name="_Toc13770"/>
      <w:bookmarkStart w:id="3301" w:name="_Toc106719493"/>
      <w:bookmarkStart w:id="3302" w:name="_Toc18813"/>
      <w:r>
        <w:rPr>
          <w:rFonts w:ascii="宋体" w:hAnsi="宋体"/>
          <w:b w:val="0"/>
          <w:color w:val="000000" w:themeColor="text1"/>
          <w:sz w:val="21"/>
          <w:szCs w:val="21"/>
          <w:highlight w:val="none"/>
          <w14:textFill>
            <w14:solidFill>
              <w14:schemeClr w14:val="tx1"/>
            </w14:solidFill>
          </w14:textFill>
        </w:rPr>
        <w:t>（二）发包人提供的资料</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.发包人提供的勘察资料</w:t>
      </w:r>
      <w:r>
        <w:rPr>
          <w:rStyle w:val="49"/>
          <w:rFonts w:ascii="宋体" w:hAnsi="宋体"/>
          <w:color w:val="000000" w:themeColor="text1"/>
          <w:sz w:val="21"/>
          <w:szCs w:val="21"/>
          <w:highlight w:val="none"/>
          <w14:textFill>
            <w14:solidFill>
              <w14:schemeClr w14:val="tx1"/>
            </w14:solidFill>
          </w14:textFill>
        </w:rPr>
        <w:footnoteReference w:id="48"/>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.其他资料</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spacing w:before="0" w:after="0" w:line="360" w:lineRule="auto"/>
        <w:ind w:firstLine="424" w:firstLineChars="202"/>
        <w:jc w:val="left"/>
        <w:rPr>
          <w:rFonts w:ascii="宋体" w:hAnsi="宋体"/>
          <w:b w:val="0"/>
          <w:color w:val="000000" w:themeColor="text1"/>
          <w:sz w:val="21"/>
          <w:szCs w:val="21"/>
          <w:highlight w:val="none"/>
          <w14:textFill>
            <w14:solidFill>
              <w14:schemeClr w14:val="tx1"/>
            </w14:solidFill>
          </w14:textFill>
        </w:rPr>
      </w:pPr>
      <w:bookmarkStart w:id="3303" w:name="_bookmark188"/>
      <w:bookmarkEnd w:id="3303"/>
      <w:bookmarkStart w:id="3304" w:name="_Toc30642"/>
      <w:bookmarkStart w:id="3305" w:name="_Toc52137897"/>
      <w:bookmarkStart w:id="3306" w:name="_Toc4272"/>
      <w:bookmarkStart w:id="3307" w:name="_Toc16610"/>
      <w:bookmarkStart w:id="3308" w:name="_Toc10518"/>
      <w:bookmarkStart w:id="3309" w:name="_Toc9289"/>
      <w:bookmarkStart w:id="3310" w:name="_Toc24144"/>
      <w:bookmarkStart w:id="3311" w:name="_Toc11385"/>
      <w:bookmarkStart w:id="3312" w:name="_Toc106719494"/>
      <w:bookmarkStart w:id="3313" w:name="_Toc15581"/>
      <w:bookmarkStart w:id="3314" w:name="_Toc25470"/>
      <w:bookmarkStart w:id="3315" w:name="_Toc20188"/>
      <w:bookmarkStart w:id="3316" w:name="_Toc25231"/>
      <w:bookmarkStart w:id="3317" w:name="_Toc5112"/>
      <w:r>
        <w:rPr>
          <w:rFonts w:ascii="宋体" w:hAnsi="宋体"/>
          <w:b w:val="0"/>
          <w:color w:val="000000" w:themeColor="text1"/>
          <w:sz w:val="21"/>
          <w:szCs w:val="21"/>
          <w:highlight w:val="none"/>
          <w14:textFill>
            <w14:solidFill>
              <w14:schemeClr w14:val="tx1"/>
            </w14:solidFill>
          </w14:textFill>
        </w:rPr>
        <w:t>（三）发包人财产使用要求及退还要求</w:t>
      </w:r>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1.发包人财产使用要求</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2.发包人财产退还要求</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318" w:name="_bookmark189"/>
      <w:bookmarkEnd w:id="3318"/>
      <w:bookmarkStart w:id="3319" w:name="_Toc22536"/>
      <w:bookmarkStart w:id="3320" w:name="_Toc15381"/>
      <w:bookmarkStart w:id="3321" w:name="_Toc23555"/>
      <w:bookmarkStart w:id="3322" w:name="_Toc13474"/>
      <w:bookmarkStart w:id="3323" w:name="_Toc30077"/>
      <w:bookmarkStart w:id="3324" w:name="_Toc17410"/>
      <w:bookmarkStart w:id="3325" w:name="_Toc2352"/>
      <w:bookmarkStart w:id="3326" w:name="_Toc11831"/>
      <w:bookmarkStart w:id="3327" w:name="_Toc18601"/>
      <w:bookmarkStart w:id="3328" w:name="_Toc52137898"/>
      <w:bookmarkStart w:id="3329" w:name="_Toc10786"/>
      <w:bookmarkStart w:id="3330" w:name="_Toc160"/>
      <w:bookmarkStart w:id="3331" w:name="_Toc2268"/>
      <w:bookmarkStart w:id="3332" w:name="_Toc106719495"/>
      <w:r>
        <w:rPr>
          <w:rFonts w:hint="eastAsia" w:ascii="黑体" w:hAnsi="黑体" w:eastAsia="黑体"/>
          <w:b w:val="0"/>
          <w:color w:val="000000" w:themeColor="text1"/>
          <w:sz w:val="28"/>
          <w:szCs w:val="28"/>
          <w:highlight w:val="none"/>
          <w:lang w:eastAsia="zh-CN"/>
          <w14:textFill>
            <w14:solidFill>
              <w14:schemeClr w14:val="tx1"/>
            </w14:solidFill>
          </w14:textFill>
        </w:rPr>
        <w:t>六</w:t>
      </w:r>
      <w:r>
        <w:rPr>
          <w:rFonts w:ascii="黑体" w:hAnsi="黑体" w:eastAsia="黑体"/>
          <w:b w:val="0"/>
          <w:color w:val="000000" w:themeColor="text1"/>
          <w:sz w:val="28"/>
          <w:szCs w:val="28"/>
          <w:highlight w:val="none"/>
          <w14:textFill>
            <w14:solidFill>
              <w14:schemeClr w14:val="tx1"/>
            </w14:solidFill>
          </w14:textFill>
        </w:rPr>
        <w:t>、发包人提供的便利条件</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1.发包人提供的生活条件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2.发包人提供的交通条件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3.发包人提供的网络、通讯条件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4.发包人提供的协助人员</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333" w:name="_bookmark190"/>
      <w:bookmarkEnd w:id="3333"/>
      <w:bookmarkStart w:id="3334" w:name="_Toc143"/>
      <w:bookmarkStart w:id="3335" w:name="_Toc20012"/>
      <w:bookmarkStart w:id="3336" w:name="_Toc8716"/>
      <w:bookmarkStart w:id="3337" w:name="_Toc29448"/>
      <w:bookmarkStart w:id="3338" w:name="_Toc1208"/>
      <w:bookmarkStart w:id="3339" w:name="_Toc28995"/>
      <w:bookmarkStart w:id="3340" w:name="_Toc52137899"/>
      <w:bookmarkStart w:id="3341" w:name="_Toc4580"/>
      <w:bookmarkStart w:id="3342" w:name="_Toc267"/>
      <w:bookmarkStart w:id="3343" w:name="_Toc19085"/>
      <w:bookmarkStart w:id="3344" w:name="_Toc106719496"/>
      <w:bookmarkStart w:id="3345" w:name="_Toc8278"/>
      <w:bookmarkStart w:id="3346" w:name="_Toc3337"/>
      <w:bookmarkStart w:id="3347" w:name="_Toc7961"/>
      <w:r>
        <w:rPr>
          <w:rFonts w:hint="eastAsia" w:ascii="黑体" w:hAnsi="黑体" w:eastAsia="黑体"/>
          <w:b w:val="0"/>
          <w:color w:val="000000" w:themeColor="text1"/>
          <w:sz w:val="28"/>
          <w:szCs w:val="28"/>
          <w:highlight w:val="none"/>
          <w:lang w:eastAsia="zh-CN"/>
          <w14:textFill>
            <w14:solidFill>
              <w14:schemeClr w14:val="tx1"/>
            </w14:solidFill>
          </w14:textFill>
        </w:rPr>
        <w:t>七</w:t>
      </w:r>
      <w:r>
        <w:rPr>
          <w:rFonts w:ascii="黑体" w:hAnsi="黑体" w:eastAsia="黑体"/>
          <w:b w:val="0"/>
          <w:color w:val="000000" w:themeColor="text1"/>
          <w:sz w:val="28"/>
          <w:szCs w:val="28"/>
          <w:highlight w:val="none"/>
          <w14:textFill>
            <w14:solidFill>
              <w14:schemeClr w14:val="tx1"/>
            </w14:solidFill>
          </w14:textFill>
        </w:rPr>
        <w:t>、</w:t>
      </w:r>
      <w:r>
        <w:rPr>
          <w:rFonts w:hint="eastAsia" w:ascii="黑体" w:hAnsi="黑体" w:eastAsia="黑体"/>
          <w:b w:val="0"/>
          <w:color w:val="000000" w:themeColor="text1"/>
          <w:sz w:val="28"/>
          <w:szCs w:val="28"/>
          <w:highlight w:val="none"/>
          <w14:textFill>
            <w14:solidFill>
              <w14:schemeClr w14:val="tx1"/>
            </w14:solidFill>
          </w14:textFill>
        </w:rPr>
        <w:t>勘察</w:t>
      </w:r>
      <w:r>
        <w:rPr>
          <w:rFonts w:ascii="黑体" w:hAnsi="黑体" w:eastAsia="黑体"/>
          <w:b w:val="0"/>
          <w:color w:val="000000" w:themeColor="text1"/>
          <w:sz w:val="28"/>
          <w:szCs w:val="28"/>
          <w:highlight w:val="none"/>
          <w14:textFill>
            <w14:solidFill>
              <w14:schemeClr w14:val="tx1"/>
            </w14:solidFill>
          </w14:textFill>
        </w:rPr>
        <w:t>人需要自备的工作条件</w:t>
      </w:r>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人自备的工作手册：</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人自备的办公设备：</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人自备的交通工具：</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人自备的现场办公设施：</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19"/>
        <w:spacing w:after="0" w:line="360" w:lineRule="auto"/>
        <w:ind w:firstLine="567" w:firstLineChars="270"/>
        <w:jc w:val="left"/>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人自备的安全设施：</w:t>
      </w:r>
      <w:r>
        <w:rPr>
          <w:rFonts w:hint="eastAsia" w:ascii="宋体" w:hAnsi="宋体"/>
          <w:color w:val="000000" w:themeColor="text1"/>
          <w:sz w:val="21"/>
          <w:szCs w:val="21"/>
          <w:highlight w:val="none"/>
          <w:u w:val="single"/>
          <w14:textFill>
            <w14:solidFill>
              <w14:schemeClr w14:val="tx1"/>
            </w14:solidFill>
          </w14:textFill>
        </w:rPr>
        <w:t xml:space="preserve">                                                         </w:t>
      </w:r>
    </w:p>
    <w:p>
      <w:pPr>
        <w:pStyle w:val="6"/>
        <w:spacing w:beforeLines="50" w:afterLines="50" w:line="360" w:lineRule="auto"/>
        <w:rPr>
          <w:rFonts w:ascii="黑体" w:hAnsi="黑体" w:eastAsia="黑体"/>
          <w:b w:val="0"/>
          <w:color w:val="000000" w:themeColor="text1"/>
          <w:sz w:val="28"/>
          <w:szCs w:val="28"/>
          <w:highlight w:val="none"/>
          <w14:textFill>
            <w14:solidFill>
              <w14:schemeClr w14:val="tx1"/>
            </w14:solidFill>
          </w14:textFill>
        </w:rPr>
      </w:pPr>
      <w:bookmarkStart w:id="3348" w:name="_bookmark191"/>
      <w:bookmarkEnd w:id="3348"/>
      <w:bookmarkStart w:id="3349" w:name="_Toc52137901"/>
      <w:bookmarkStart w:id="3350" w:name="_Toc32705"/>
      <w:bookmarkStart w:id="3351" w:name="_Toc628"/>
      <w:bookmarkStart w:id="3352" w:name="_Toc32274"/>
      <w:bookmarkStart w:id="3353" w:name="_Toc11424"/>
      <w:bookmarkStart w:id="3354" w:name="_Toc32580"/>
      <w:bookmarkStart w:id="3355" w:name="_Toc17076"/>
      <w:bookmarkStart w:id="3356" w:name="_Toc6932"/>
      <w:bookmarkStart w:id="3357" w:name="_Toc27899"/>
      <w:bookmarkStart w:id="3358" w:name="_Toc106719497"/>
      <w:bookmarkStart w:id="3359" w:name="_Toc1722"/>
      <w:bookmarkStart w:id="3360" w:name="_Toc10159"/>
      <w:bookmarkStart w:id="3361" w:name="_Toc31975"/>
      <w:bookmarkStart w:id="3362" w:name="_Toc25109"/>
      <w:r>
        <w:rPr>
          <w:rFonts w:hint="eastAsia" w:ascii="黑体" w:hAnsi="黑体" w:eastAsia="黑体"/>
          <w:b w:val="0"/>
          <w:color w:val="000000" w:themeColor="text1"/>
          <w:sz w:val="28"/>
          <w:szCs w:val="28"/>
          <w:highlight w:val="none"/>
          <w:lang w:eastAsia="zh-CN"/>
          <w14:textFill>
            <w14:solidFill>
              <w14:schemeClr w14:val="tx1"/>
            </w14:solidFill>
          </w14:textFill>
        </w:rPr>
        <w:t>八</w:t>
      </w:r>
      <w:r>
        <w:rPr>
          <w:rFonts w:ascii="黑体" w:hAnsi="黑体" w:eastAsia="黑体"/>
          <w:b w:val="0"/>
          <w:color w:val="000000" w:themeColor="text1"/>
          <w:sz w:val="28"/>
          <w:szCs w:val="28"/>
          <w:highlight w:val="none"/>
          <w14:textFill>
            <w14:solidFill>
              <w14:schemeClr w14:val="tx1"/>
            </w14:solidFill>
          </w14:textFill>
        </w:rPr>
        <w:t>、发包人的其他要求</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p>
    <w:p>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spacing w:line="360" w:lineRule="auto"/>
        <w:jc w:val="center"/>
        <w:rPr>
          <w:rFonts w:ascii="宋体" w:hAnsi="宋体"/>
          <w:b/>
          <w:color w:val="000000" w:themeColor="text1"/>
          <w:sz w:val="44"/>
          <w:szCs w:val="44"/>
          <w:highlight w:val="none"/>
          <w14:textFill>
            <w14:solidFill>
              <w14:schemeClr w14:val="tx1"/>
            </w14:solidFill>
          </w14:textFill>
        </w:rPr>
      </w:pPr>
    </w:p>
    <w:p>
      <w:pPr>
        <w:pStyle w:val="4"/>
        <w:spacing w:before="3000" w:after="0"/>
        <w:jc w:val="center"/>
        <w:rPr>
          <w:rFonts w:hint="eastAsia" w:ascii="黑体" w:hAnsi="黑体" w:eastAsia="黑体"/>
          <w:b w:val="0"/>
          <w:color w:val="000000" w:themeColor="text1"/>
          <w:highlight w:val="none"/>
          <w14:textFill>
            <w14:solidFill>
              <w14:schemeClr w14:val="tx1"/>
            </w14:solidFill>
          </w14:textFill>
        </w:rPr>
      </w:pPr>
      <w:bookmarkStart w:id="3363" w:name="_Toc10714"/>
      <w:bookmarkStart w:id="3364" w:name="_Toc15349"/>
      <w:bookmarkStart w:id="3365" w:name="_Toc8119"/>
      <w:bookmarkStart w:id="3366" w:name="_Toc106719498"/>
      <w:bookmarkStart w:id="3367" w:name="_Toc1911"/>
      <w:bookmarkStart w:id="3368" w:name="_Toc52137916"/>
      <w:bookmarkStart w:id="3369" w:name="_Toc12287"/>
      <w:bookmarkStart w:id="3370" w:name="_Toc20184"/>
      <w:bookmarkStart w:id="3371" w:name="_Toc6505"/>
      <w:bookmarkStart w:id="3372" w:name="_Toc3341"/>
      <w:bookmarkStart w:id="3373" w:name="_Toc30413"/>
      <w:bookmarkStart w:id="3374" w:name="_Toc2711"/>
      <w:bookmarkStart w:id="3375" w:name="_Toc2998"/>
    </w:p>
    <w:p>
      <w:pPr>
        <w:pStyle w:val="4"/>
        <w:spacing w:before="3000" w:after="0"/>
        <w:jc w:val="center"/>
        <w:rPr>
          <w:rFonts w:ascii="黑体" w:hAnsi="黑体" w:eastAsia="黑体"/>
          <w:b w:val="0"/>
          <w:color w:val="000000" w:themeColor="text1"/>
          <w:highlight w:val="none"/>
          <w14:textFill>
            <w14:solidFill>
              <w14:schemeClr w14:val="tx1"/>
            </w14:solidFill>
          </w14:textFill>
        </w:rPr>
      </w:pPr>
      <w:bookmarkStart w:id="3376" w:name="_Toc7283"/>
      <w:r>
        <w:rPr>
          <w:rFonts w:hint="eastAsia" w:ascii="黑体" w:hAnsi="黑体" w:eastAsia="黑体"/>
          <w:b w:val="0"/>
          <w:color w:val="000000" w:themeColor="text1"/>
          <w:highlight w:val="none"/>
          <w14:textFill>
            <w14:solidFill>
              <w14:schemeClr w14:val="tx1"/>
            </w14:solidFill>
          </w14:textFill>
        </w:rPr>
        <w:t>第三卷</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spacing w:line="360" w:lineRule="auto"/>
        <w:rPr>
          <w:rFonts w:ascii="黑体" w:hAnsi="黑体" w:eastAsia="黑体"/>
          <w:color w:val="000000" w:themeColor="text1"/>
          <w:sz w:val="44"/>
          <w:szCs w:val="44"/>
          <w:highlight w:val="none"/>
          <w14:textFill>
            <w14:solidFill>
              <w14:schemeClr w14:val="tx1"/>
            </w14:solidFill>
          </w14:textFill>
        </w:rPr>
      </w:pPr>
    </w:p>
    <w:p>
      <w:pPr>
        <w:pStyle w:val="5"/>
        <w:spacing w:before="3000" w:after="0"/>
        <w:jc w:val="center"/>
        <w:rPr>
          <w:rFonts w:ascii="黑体" w:hAnsi="黑体" w:eastAsia="黑体"/>
          <w:b w:val="0"/>
          <w:color w:val="000000" w:themeColor="text1"/>
          <w:sz w:val="44"/>
          <w:szCs w:val="44"/>
          <w:highlight w:val="none"/>
          <w14:textFill>
            <w14:solidFill>
              <w14:schemeClr w14:val="tx1"/>
            </w14:solidFill>
          </w14:textFill>
        </w:rPr>
      </w:pPr>
      <w:bookmarkStart w:id="3377" w:name="_Toc52137917"/>
      <w:bookmarkStart w:id="3378" w:name="_Toc106719499"/>
      <w:bookmarkStart w:id="3379" w:name="_Toc13693"/>
      <w:bookmarkStart w:id="3380" w:name="_Toc12441"/>
      <w:bookmarkStart w:id="3381" w:name="_Toc8510"/>
      <w:bookmarkStart w:id="3382" w:name="_Toc23668"/>
      <w:bookmarkStart w:id="3383" w:name="_Toc19955"/>
      <w:bookmarkStart w:id="3384" w:name="_Toc10777"/>
      <w:bookmarkStart w:id="3385" w:name="_Toc28919"/>
      <w:bookmarkStart w:id="3386" w:name="_Toc30122"/>
      <w:bookmarkStart w:id="3387" w:name="_Toc20995"/>
      <w:bookmarkStart w:id="3388" w:name="_Toc14405"/>
      <w:bookmarkStart w:id="3389" w:name="_Toc17731"/>
      <w:bookmarkStart w:id="3390" w:name="_Toc9653"/>
      <w:r>
        <w:rPr>
          <w:rFonts w:hint="eastAsia" w:ascii="黑体" w:hAnsi="黑体" w:eastAsia="黑体"/>
          <w:b w:val="0"/>
          <w:color w:val="000000" w:themeColor="text1"/>
          <w:sz w:val="44"/>
          <w:szCs w:val="44"/>
          <w:highlight w:val="none"/>
          <w14:textFill>
            <w14:solidFill>
              <w14:schemeClr w14:val="tx1"/>
            </w14:solidFill>
          </w14:textFill>
        </w:rPr>
        <w:t>第七章 投标文件格式</w:t>
      </w:r>
      <w:bookmarkEnd w:id="3377"/>
      <w:bookmarkEnd w:id="3378"/>
      <w:r>
        <w:rPr>
          <w:rStyle w:val="49"/>
          <w:rFonts w:ascii="黑体" w:hAnsi="黑体" w:eastAsia="黑体"/>
          <w:b w:val="0"/>
          <w:color w:val="000000" w:themeColor="text1"/>
          <w:sz w:val="44"/>
          <w:szCs w:val="44"/>
          <w:highlight w:val="none"/>
          <w14:textFill>
            <w14:solidFill>
              <w14:schemeClr w14:val="tx1"/>
            </w14:solidFill>
          </w14:textFill>
        </w:rPr>
        <w:footnoteReference w:id="49"/>
      </w:r>
      <w:bookmarkEnd w:id="3379"/>
      <w:bookmarkEnd w:id="3380"/>
      <w:bookmarkEnd w:id="3381"/>
      <w:bookmarkEnd w:id="3382"/>
      <w:bookmarkEnd w:id="3383"/>
      <w:bookmarkEnd w:id="3384"/>
      <w:bookmarkEnd w:id="3385"/>
      <w:bookmarkEnd w:id="3386"/>
      <w:bookmarkEnd w:id="3387"/>
      <w:bookmarkEnd w:id="3388"/>
      <w:bookmarkEnd w:id="3389"/>
      <w:bookmarkEnd w:id="3390"/>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bookmarkStart w:id="3391" w:name="_Toc300038998"/>
      <w:bookmarkStart w:id="3392" w:name="_Toc30278"/>
      <w:bookmarkStart w:id="3393" w:name="_Toc4176"/>
      <w:bookmarkStart w:id="3394" w:name="_Toc516753562"/>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rPr>
          <w:rFonts w:ascii="宋体" w:hAnsi="宋体"/>
          <w:b/>
          <w:color w:val="000000" w:themeColor="text1"/>
          <w:sz w:val="32"/>
          <w:szCs w:val="32"/>
          <w:highlight w:val="none"/>
          <w14:textFill>
            <w14:solidFill>
              <w14:schemeClr w14:val="tx1"/>
            </w14:solidFill>
          </w14:textFill>
        </w:rPr>
      </w:pPr>
    </w:p>
    <w:p>
      <w:pPr>
        <w:spacing w:beforeLines="100" w:afterLines="100" w:line="360" w:lineRule="auto"/>
        <w:rPr>
          <w:rFonts w:ascii="宋体" w:hAnsi="宋体"/>
          <w:b/>
          <w:color w:val="000000" w:themeColor="text1"/>
          <w:sz w:val="32"/>
          <w:szCs w:val="32"/>
          <w:highlight w:val="none"/>
          <w14:textFill>
            <w14:solidFill>
              <w14:schemeClr w14:val="tx1"/>
            </w14:solidFill>
          </w14:textFill>
        </w:rPr>
      </w:pPr>
    </w:p>
    <w:p>
      <w:pPr>
        <w:pStyle w:val="6"/>
        <w:spacing w:before="3000" w:after="0"/>
        <w:jc w:val="center"/>
        <w:rPr>
          <w:rFonts w:hint="eastAsia" w:ascii="黑体" w:hAnsi="黑体" w:eastAsia="黑体"/>
          <w:b w:val="0"/>
          <w:color w:val="000000" w:themeColor="text1"/>
          <w:highlight w:val="none"/>
          <w14:textFill>
            <w14:solidFill>
              <w14:schemeClr w14:val="tx1"/>
            </w14:solidFill>
          </w14:textFill>
        </w:rPr>
      </w:pPr>
      <w:bookmarkStart w:id="3395" w:name="_Toc687"/>
      <w:bookmarkStart w:id="3396" w:name="_Toc23097"/>
      <w:bookmarkStart w:id="3397" w:name="_Toc31980"/>
      <w:bookmarkStart w:id="3398" w:name="_Toc24751"/>
      <w:bookmarkStart w:id="3399" w:name="_Toc52137918"/>
      <w:bookmarkStart w:id="3400" w:name="_Toc27673"/>
      <w:bookmarkStart w:id="3401" w:name="_Toc16303"/>
      <w:bookmarkStart w:id="3402" w:name="_Toc14044"/>
      <w:bookmarkStart w:id="3403" w:name="_Toc28840"/>
      <w:bookmarkStart w:id="3404" w:name="_Toc106719500"/>
      <w:bookmarkStart w:id="3405" w:name="_Toc29560"/>
      <w:bookmarkStart w:id="3406" w:name="_Toc30871"/>
      <w:bookmarkStart w:id="3407" w:name="_Toc22705"/>
    </w:p>
    <w:p>
      <w:pPr>
        <w:pStyle w:val="6"/>
        <w:spacing w:before="3000" w:after="0"/>
        <w:jc w:val="center"/>
        <w:rPr>
          <w:rFonts w:ascii="黑体" w:hAnsi="黑体" w:eastAsia="黑体"/>
          <w:b w:val="0"/>
          <w:color w:val="000000" w:themeColor="text1"/>
          <w:sz w:val="44"/>
          <w:szCs w:val="44"/>
          <w:highlight w:val="none"/>
          <w14:textFill>
            <w14:solidFill>
              <w14:schemeClr w14:val="tx1"/>
            </w14:solidFill>
          </w14:textFill>
        </w:rPr>
      </w:pPr>
      <w:bookmarkStart w:id="3408" w:name="_Toc25303"/>
      <w:r>
        <w:rPr>
          <w:rFonts w:hint="eastAsia" w:ascii="黑体" w:hAnsi="黑体" w:eastAsia="黑体"/>
          <w:b w:val="0"/>
          <w:color w:val="000000" w:themeColor="text1"/>
          <w:highlight w:val="none"/>
          <w14:textFill>
            <w14:solidFill>
              <w14:schemeClr w14:val="tx1"/>
            </w14:solidFill>
          </w14:textFill>
        </w:rPr>
        <w:t>一、资格审查文件</w:t>
      </w:r>
      <w:bookmarkEnd w:id="3391"/>
      <w:bookmarkEnd w:id="3392"/>
      <w:bookmarkEnd w:id="3393"/>
      <w:bookmarkEnd w:id="3394"/>
      <w:r>
        <w:rPr>
          <w:rStyle w:val="49"/>
          <w:rFonts w:ascii="黑体" w:hAnsi="黑体" w:eastAsia="黑体"/>
          <w:b w:val="0"/>
          <w:color w:val="000000" w:themeColor="text1"/>
          <w:sz w:val="44"/>
          <w:szCs w:val="44"/>
          <w:highlight w:val="none"/>
          <w14:textFill>
            <w14:solidFill>
              <w14:schemeClr w14:val="tx1"/>
            </w14:solidFill>
          </w14:textFill>
        </w:rPr>
        <w:footnoteReference w:id="50"/>
      </w:r>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int="eastAsia"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int="eastAsia"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int="eastAsia" w:hAnsi="宋体"/>
          <w:color w:val="000000" w:themeColor="text1"/>
          <w:sz w:val="24"/>
          <w:szCs w:val="24"/>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（用于资格审查文件封面）</w:t>
      </w:r>
    </w:p>
    <w:p>
      <w:pPr>
        <w:pStyle w:val="23"/>
        <w:spacing w:line="264" w:lineRule="auto"/>
        <w:jc w:val="center"/>
        <w:rPr>
          <w:rFonts w:hAnsi="宋体"/>
          <w:color w:val="000000" w:themeColor="text1"/>
          <w:sz w:val="36"/>
          <w:highlight w:val="none"/>
          <w14:textFill>
            <w14:solidFill>
              <w14:schemeClr w14:val="tx1"/>
            </w14:solidFill>
          </w14:textFill>
        </w:rPr>
      </w:pPr>
    </w:p>
    <w:p>
      <w:pPr>
        <w:pStyle w:val="23"/>
        <w:spacing w:line="264" w:lineRule="auto"/>
        <w:ind w:firstLine="1440" w:firstLineChars="450"/>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项目名称：</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pStyle w:val="23"/>
        <w:spacing w:beforeLines="100" w:afterLines="100" w:line="264" w:lineRule="auto"/>
        <w:ind w:firstLine="1440" w:firstLineChars="450"/>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招标</w:t>
      </w:r>
      <w:r>
        <w:rPr>
          <w:rFonts w:hint="eastAsia" w:ascii="黑体" w:hAnsi="黑体" w:eastAsia="黑体"/>
          <w:color w:val="000000" w:themeColor="text1"/>
          <w:sz w:val="32"/>
          <w:szCs w:val="32"/>
          <w:highlight w:val="none"/>
          <w:lang w:val="en-US" w:eastAsia="zh-CN"/>
          <w14:textFill>
            <w14:solidFill>
              <w14:schemeClr w14:val="tx1"/>
            </w14:solidFill>
          </w14:textFill>
        </w:rPr>
        <w:t>项目</w:t>
      </w:r>
      <w:r>
        <w:rPr>
          <w:rFonts w:hint="eastAsia" w:ascii="黑体" w:hAnsi="黑体" w:eastAsia="黑体"/>
          <w:color w:val="000000" w:themeColor="text1"/>
          <w:sz w:val="32"/>
          <w:szCs w:val="32"/>
          <w:highlight w:val="none"/>
          <w14:textFill>
            <w14:solidFill>
              <w14:schemeClr w14:val="tx1"/>
            </w14:solidFill>
          </w14:textFill>
        </w:rPr>
        <w:t>编号：</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pStyle w:val="23"/>
        <w:spacing w:beforeLines="100" w:afterLines="100" w:line="264" w:lineRule="auto"/>
        <w:jc w:val="center"/>
        <w:rPr>
          <w:rFonts w:ascii="黑体" w:hAnsi="黑体" w:eastAsia="黑体"/>
          <w:color w:val="000000" w:themeColor="text1"/>
          <w:sz w:val="36"/>
          <w:highlight w:val="none"/>
          <w14:textFill>
            <w14:solidFill>
              <w14:schemeClr w14:val="tx1"/>
            </w14:solidFill>
          </w14:textFill>
        </w:rPr>
      </w:pPr>
    </w:p>
    <w:p>
      <w:pPr>
        <w:pStyle w:val="23"/>
        <w:spacing w:line="264" w:lineRule="auto"/>
        <w:jc w:val="center"/>
        <w:rPr>
          <w:rFonts w:ascii="黑体" w:hAnsi="黑体" w:eastAsia="黑体"/>
          <w:b/>
          <w:color w:val="000000" w:themeColor="text1"/>
          <w:sz w:val="72"/>
          <w:szCs w:val="72"/>
          <w:highlight w:val="none"/>
          <w14:textFill>
            <w14:solidFill>
              <w14:schemeClr w14:val="tx1"/>
            </w14:solidFill>
          </w14:textFill>
        </w:rPr>
      </w:pPr>
    </w:p>
    <w:p>
      <w:pPr>
        <w:pStyle w:val="23"/>
        <w:spacing w:line="264" w:lineRule="auto"/>
        <w:jc w:val="center"/>
        <w:rPr>
          <w:rFonts w:ascii="黑体" w:hAnsi="黑体" w:eastAsia="黑体"/>
          <w:color w:val="000000" w:themeColor="text1"/>
          <w:sz w:val="28"/>
          <w:highlight w:val="none"/>
          <w14:textFill>
            <w14:solidFill>
              <w14:schemeClr w14:val="tx1"/>
            </w14:solidFill>
          </w14:textFill>
        </w:rPr>
      </w:pPr>
      <w:r>
        <w:rPr>
          <w:rFonts w:hint="eastAsia" w:ascii="黑体" w:hAnsi="黑体" w:eastAsia="黑体"/>
          <w:b/>
          <w:color w:val="000000" w:themeColor="text1"/>
          <w:sz w:val="84"/>
          <w:highlight w:val="none"/>
          <w14:textFill>
            <w14:solidFill>
              <w14:schemeClr w14:val="tx1"/>
            </w14:solidFill>
          </w14:textFill>
        </w:rPr>
        <w:t>投 标 文 件</w:t>
      </w:r>
    </w:p>
    <w:p>
      <w:pPr>
        <w:pStyle w:val="23"/>
        <w:spacing w:line="264" w:lineRule="auto"/>
        <w:jc w:val="center"/>
        <w:rPr>
          <w:rFonts w:ascii="黑体" w:hAnsi="黑体" w:eastAsia="黑体"/>
          <w:color w:val="000000" w:themeColor="text1"/>
          <w:sz w:val="72"/>
          <w:highlight w:val="none"/>
          <w14:textFill>
            <w14:solidFill>
              <w14:schemeClr w14:val="tx1"/>
            </w14:solidFill>
          </w14:textFill>
        </w:rPr>
      </w:pPr>
    </w:p>
    <w:p>
      <w:pPr>
        <w:pStyle w:val="23"/>
        <w:spacing w:line="264" w:lineRule="auto"/>
        <w:jc w:val="center"/>
        <w:rPr>
          <w:rFonts w:ascii="黑体" w:hAnsi="黑体" w:eastAsia="黑体"/>
          <w:color w:val="000000" w:themeColor="text1"/>
          <w:sz w:val="52"/>
          <w:szCs w:val="52"/>
          <w:highlight w:val="none"/>
          <w14:textFill>
            <w14:solidFill>
              <w14:schemeClr w14:val="tx1"/>
            </w14:solidFill>
          </w14:textFill>
        </w:rPr>
      </w:pPr>
    </w:p>
    <w:p>
      <w:pPr>
        <w:pStyle w:val="23"/>
        <w:spacing w:line="264" w:lineRule="auto"/>
        <w:jc w:val="center"/>
        <w:rPr>
          <w:rFonts w:ascii="黑体" w:hAnsi="黑体" w:eastAsia="黑体"/>
          <w:color w:val="000000" w:themeColor="text1"/>
          <w:sz w:val="52"/>
          <w:szCs w:val="52"/>
          <w:highlight w:val="none"/>
          <w14:textFill>
            <w14:solidFill>
              <w14:schemeClr w14:val="tx1"/>
            </w14:solidFill>
          </w14:textFill>
        </w:rPr>
      </w:pPr>
    </w:p>
    <w:p>
      <w:pPr>
        <w:pStyle w:val="23"/>
        <w:jc w:val="center"/>
        <w:rPr>
          <w:rFonts w:ascii="黑体" w:hAnsi="黑体" w:eastAsia="黑体"/>
          <w:color w:val="000000" w:themeColor="text1"/>
          <w:sz w:val="72"/>
          <w:highlight w:val="none"/>
          <w14:textFill>
            <w14:solidFill>
              <w14:schemeClr w14:val="tx1"/>
            </w14:solidFill>
          </w14:textFill>
        </w:rPr>
      </w:pPr>
    </w:p>
    <w:p>
      <w:pPr>
        <w:pStyle w:val="23"/>
        <w:spacing w:line="360" w:lineRule="auto"/>
        <w:ind w:firstLine="560"/>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投标文件内容</w:t>
      </w:r>
      <w:r>
        <w:rPr>
          <w:rFonts w:hint="eastAsia" w:ascii="黑体" w:hAnsi="黑体" w:eastAsia="黑体"/>
          <w:color w:val="000000" w:themeColor="text1"/>
          <w:sz w:val="28"/>
          <w:szCs w:val="28"/>
          <w:highlight w:val="none"/>
          <w:u w:val="single"/>
          <w14:textFill>
            <w14:solidFill>
              <w14:schemeClr w14:val="tx1"/>
            </w14:solidFill>
          </w14:textFill>
        </w:rPr>
        <w:t xml:space="preserve">               资格审查文件             </w:t>
      </w:r>
    </w:p>
    <w:p>
      <w:pPr>
        <w:pStyle w:val="23"/>
        <w:spacing w:line="360" w:lineRule="auto"/>
        <w:ind w:firstLine="567" w:firstLineChars="189"/>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投标人</w:t>
      </w:r>
      <w:r>
        <w:rPr>
          <w:rFonts w:ascii="黑体" w:hAnsi="黑体" w:eastAsia="黑体"/>
          <w:color w:val="000000" w:themeColor="text1"/>
          <w:sz w:val="30"/>
          <w:highlight w:val="none"/>
          <w14:textFill>
            <w14:solidFill>
              <w14:schemeClr w14:val="tx1"/>
            </w14:solidFill>
          </w14:textFill>
        </w:rPr>
        <w:t>:</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（盖投标人单位公章）</w:t>
      </w:r>
      <w:r>
        <w:rPr>
          <w:rStyle w:val="49"/>
          <w:rFonts w:ascii="黑体" w:hAnsi="黑体" w:eastAsia="黑体"/>
          <w:color w:val="000000" w:themeColor="text1"/>
          <w:sz w:val="30"/>
          <w:highlight w:val="none"/>
          <w14:textFill>
            <w14:solidFill>
              <w14:schemeClr w14:val="tx1"/>
            </w14:solidFill>
          </w14:textFill>
        </w:rPr>
        <w:footnoteReference w:id="51"/>
      </w:r>
    </w:p>
    <w:p>
      <w:pPr>
        <w:pStyle w:val="23"/>
        <w:spacing w:line="360" w:lineRule="auto"/>
        <w:ind w:firstLine="567" w:firstLineChars="189"/>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法定代表人或委托代理人：</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（签字或盖章）</w:t>
      </w:r>
      <w:r>
        <w:rPr>
          <w:rStyle w:val="49"/>
          <w:rFonts w:ascii="黑体" w:hAnsi="黑体" w:eastAsia="黑体"/>
          <w:color w:val="000000" w:themeColor="text1"/>
          <w:sz w:val="30"/>
          <w:highlight w:val="none"/>
          <w14:textFill>
            <w14:solidFill>
              <w14:schemeClr w14:val="tx1"/>
            </w14:solidFill>
          </w14:textFill>
        </w:rPr>
        <w:footnoteReference w:id="52"/>
      </w:r>
    </w:p>
    <w:p>
      <w:pPr>
        <w:pStyle w:val="23"/>
        <w:spacing w:line="360" w:lineRule="auto"/>
        <w:ind w:firstLine="600" w:firstLineChars="200"/>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日期：</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年</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月</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日</w:t>
      </w:r>
    </w:p>
    <w:p>
      <w:pPr>
        <w:pStyle w:val="23"/>
        <w:spacing w:beforeLines="400"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目 录</w:t>
      </w:r>
    </w:p>
    <w:p>
      <w:pPr>
        <w:pStyle w:val="23"/>
        <w:spacing w:line="360" w:lineRule="auto"/>
        <w:ind w:firstLine="420" w:firstLineChars="200"/>
        <w:jc w:val="left"/>
        <w:rPr>
          <w:rFonts w:hAnsi="宋体"/>
          <w:color w:val="000000" w:themeColor="text1"/>
          <w:highlight w:val="none"/>
          <w14:textFill>
            <w14:solidFill>
              <w14:schemeClr w14:val="tx1"/>
            </w14:solidFill>
          </w14:textFill>
        </w:rPr>
      </w:pPr>
    </w:p>
    <w:p>
      <w:pPr>
        <w:pStyle w:val="15"/>
        <w:tabs>
          <w:tab w:val="left" w:pos="1000"/>
          <w:tab w:val="left" w:pos="1560"/>
        </w:tabs>
        <w:spacing w:line="36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（一）资格审查申请函</w:t>
      </w:r>
    </w:p>
    <w:p>
      <w:pPr>
        <w:pStyle w:val="15"/>
        <w:tabs>
          <w:tab w:val="left" w:pos="1000"/>
          <w:tab w:val="left" w:pos="1560"/>
        </w:tabs>
        <w:spacing w:line="360" w:lineRule="auto"/>
        <w:ind w:firstLine="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（二）资格审查申请函附表：</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附表1：投标人基本情况表</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附表2：法定代表人资格证明书和勘察项目负责人身份证明</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附表3：投标人诚信承诺函</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附表4：授权委托书</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附表5：拟担任本项目勘察人员汇总表</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附表6：拟担任主要勘察人员简历表和注册执业资格（职称）证书</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附表7：拟担任项目负责人承诺函、勘察项目负责人和其他主要勘察人员到位承诺书</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附表8：投标人和拟担任勘察项目负责人“类似项目勘察业绩”（如有时）</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附表9：</w:t>
      </w:r>
      <w:r>
        <w:rPr>
          <w:rFonts w:hint="eastAsia" w:ascii="宋体"/>
          <w:color w:val="000000" w:themeColor="text1"/>
          <w:szCs w:val="21"/>
          <w:highlight w:val="none"/>
          <w14:textFill>
            <w14:solidFill>
              <w14:schemeClr w14:val="tx1"/>
            </w14:solidFill>
          </w14:textFill>
        </w:rPr>
        <w:t>土工实验室设立要求</w:t>
      </w:r>
    </w:p>
    <w:p>
      <w:pPr>
        <w:pStyle w:val="15"/>
        <w:tabs>
          <w:tab w:val="left" w:pos="567"/>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附表10：联合体协议书（如有时）</w:t>
      </w:r>
    </w:p>
    <w:p>
      <w:pPr>
        <w:pStyle w:val="15"/>
        <w:tabs>
          <w:tab w:val="left" w:pos="1000"/>
        </w:tabs>
        <w:spacing w:line="360" w:lineRule="auto"/>
        <w:ind w:firstLine="707" w:firstLineChars="337"/>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附表11：其他需要提交的资料</w:t>
      </w: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序号和页码由投标人自行编列。</w:t>
      </w: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（一）资格审查申请函（格式）</w:t>
      </w:r>
    </w:p>
    <w:p>
      <w:pPr>
        <w:ind w:firstLine="640" w:firstLineChars="20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资格审查申</w:t>
      </w:r>
      <w:r>
        <w:rPr>
          <w:rFonts w:hint="eastAsia" w:ascii="黑体" w:hAnsi="黑体" w:eastAsia="黑体" w:cs="宋体"/>
          <w:color w:val="000000" w:themeColor="text1"/>
          <w:sz w:val="32"/>
          <w:szCs w:val="32"/>
          <w:highlight w:val="none"/>
          <w14:textFill>
            <w14:solidFill>
              <w14:schemeClr w14:val="tx1"/>
            </w14:solidFill>
          </w14:textFill>
        </w:rPr>
        <w:t>请</w:t>
      </w:r>
      <w:r>
        <w:rPr>
          <w:rFonts w:hint="eastAsia" w:ascii="黑体" w:hAnsi="黑体" w:eastAsia="黑体"/>
          <w:color w:val="000000" w:themeColor="text1"/>
          <w:sz w:val="32"/>
          <w:szCs w:val="32"/>
          <w:highlight w:val="none"/>
          <w14:textFill>
            <w14:solidFill>
              <w14:schemeClr w14:val="tx1"/>
            </w14:solidFill>
          </w14:textFill>
        </w:rPr>
        <w:t>函</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1.根据</w:t>
      </w:r>
      <w:r>
        <w:rPr>
          <w:rFonts w:hint="eastAsia" w:ascii="宋体" w:hAnsi="宋体" w:cs="宋体"/>
          <w:color w:val="000000" w:themeColor="text1"/>
          <w:sz w:val="21"/>
          <w:szCs w:val="21"/>
          <w:highlight w:val="none"/>
          <w14:textFill>
            <w14:solidFill>
              <w14:schemeClr w14:val="tx1"/>
            </w14:solidFill>
          </w14:textFill>
        </w:rPr>
        <w:t>贵</w:t>
      </w:r>
      <w:r>
        <w:rPr>
          <w:rFonts w:hint="eastAsia" w:ascii="宋体" w:hAnsi="宋体"/>
          <w:color w:val="000000" w:themeColor="text1"/>
          <w:sz w:val="21"/>
          <w:szCs w:val="21"/>
          <w:highlight w:val="none"/>
          <w14:textFill>
            <w14:solidFill>
              <w14:schemeClr w14:val="tx1"/>
            </w14:solidFill>
          </w14:textFill>
        </w:rPr>
        <w:t>方编号</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目名称）勘察招</w:t>
      </w:r>
      <w:r>
        <w:rPr>
          <w:rFonts w:hint="eastAsia" w:ascii="宋体" w:hAnsi="宋体" w:cs="宋体"/>
          <w:color w:val="000000" w:themeColor="text1"/>
          <w:sz w:val="21"/>
          <w:szCs w:val="21"/>
          <w:highlight w:val="none"/>
          <w14:textFill>
            <w14:solidFill>
              <w14:schemeClr w14:val="tx1"/>
            </w14:solidFill>
          </w14:textFill>
        </w:rPr>
        <w:t>标发</w:t>
      </w:r>
      <w:r>
        <w:rPr>
          <w:rFonts w:hint="eastAsia" w:ascii="宋体" w:hAnsi="宋体"/>
          <w:color w:val="000000" w:themeColor="text1"/>
          <w:sz w:val="21"/>
          <w:szCs w:val="21"/>
          <w:highlight w:val="none"/>
          <w14:textFill>
            <w14:solidFill>
              <w14:schemeClr w14:val="tx1"/>
            </w14:solidFill>
          </w14:textFill>
        </w:rPr>
        <w:t>出的招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公告（</w:t>
      </w:r>
      <w:r>
        <w:rPr>
          <w:rFonts w:hint="eastAsia" w:ascii="宋体" w:hAnsi="宋体"/>
          <w:color w:val="000000" w:themeColor="text1"/>
          <w:sz w:val="21"/>
          <w:szCs w:val="21"/>
          <w:highlight w:val="none"/>
          <w:lang w:val="en-US" w:eastAsia="zh-CN"/>
          <w14:textFill>
            <w14:solidFill>
              <w14:schemeClr w14:val="tx1"/>
            </w14:solidFill>
          </w14:textFill>
        </w:rPr>
        <w:t>或</w:t>
      </w:r>
      <w:r>
        <w:rPr>
          <w:rFonts w:hint="eastAsia" w:ascii="宋体" w:hAnsi="宋体"/>
          <w:color w:val="000000" w:themeColor="text1"/>
          <w:sz w:val="21"/>
          <w:szCs w:val="21"/>
          <w:highlight w:val="none"/>
          <w:lang w:eastAsia="zh-CN"/>
          <w14:textFill>
            <w14:solidFill>
              <w14:schemeClr w14:val="tx1"/>
            </w14:solidFill>
          </w14:textFill>
        </w:rPr>
        <w:t>投标邀请书</w:t>
      </w: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（姓名），代表投标人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（投标人名称）愿意按照招标文件的</w:t>
      </w:r>
      <w:r>
        <w:rPr>
          <w:rFonts w:hint="eastAsia" w:ascii="宋体" w:hAnsi="宋体" w:cs="宋体"/>
          <w:color w:val="000000" w:themeColor="text1"/>
          <w:sz w:val="21"/>
          <w:szCs w:val="21"/>
          <w:highlight w:val="none"/>
          <w14:textFill>
            <w14:solidFill>
              <w14:schemeClr w14:val="tx1"/>
            </w14:solidFill>
          </w14:textFill>
        </w:rPr>
        <w:t>资格审查文件</w:t>
      </w:r>
      <w:r>
        <w:rPr>
          <w:rFonts w:hint="eastAsia" w:ascii="宋体" w:hAnsi="宋体"/>
          <w:color w:val="000000" w:themeColor="text1"/>
          <w:sz w:val="21"/>
          <w:szCs w:val="21"/>
          <w:highlight w:val="none"/>
          <w14:textFill>
            <w14:solidFill>
              <w14:schemeClr w14:val="tx1"/>
            </w14:solidFill>
          </w14:textFill>
        </w:rPr>
        <w:t>提出的该项目勘察的投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2.我方己</w:t>
      </w:r>
      <w:r>
        <w:rPr>
          <w:rFonts w:hint="eastAsia" w:ascii="宋体" w:hAnsi="宋体" w:cs="宋体"/>
          <w:color w:val="000000" w:themeColor="text1"/>
          <w:sz w:val="21"/>
          <w:szCs w:val="21"/>
          <w:highlight w:val="none"/>
          <w14:textFill>
            <w14:solidFill>
              <w14:schemeClr w14:val="tx1"/>
            </w14:solidFill>
          </w14:textFill>
        </w:rPr>
        <w:t>详细</w:t>
      </w:r>
      <w:r>
        <w:rPr>
          <w:rFonts w:hint="eastAsia" w:ascii="宋体" w:hAnsi="宋体"/>
          <w:color w:val="000000" w:themeColor="text1"/>
          <w:sz w:val="21"/>
          <w:szCs w:val="21"/>
          <w:highlight w:val="none"/>
          <w14:textFill>
            <w14:solidFill>
              <w14:schemeClr w14:val="tx1"/>
            </w14:solidFill>
          </w14:textFill>
        </w:rPr>
        <w:t>了解全部</w:t>
      </w:r>
      <w:r>
        <w:rPr>
          <w:rFonts w:hint="eastAsia" w:ascii="宋体" w:hAnsi="宋体" w:cs="宋体"/>
          <w:color w:val="000000" w:themeColor="text1"/>
          <w:sz w:val="21"/>
          <w:szCs w:val="21"/>
          <w:highlight w:val="none"/>
          <w14:textFill>
            <w14:solidFill>
              <w14:schemeClr w14:val="tx1"/>
            </w14:solidFill>
          </w14:textFill>
        </w:rPr>
        <w:t>招标文件（含资格审查文件）</w:t>
      </w:r>
      <w:r>
        <w:rPr>
          <w:rFonts w:hint="eastAsia" w:ascii="宋体" w:hAnsi="宋体"/>
          <w:color w:val="000000" w:themeColor="text1"/>
          <w:sz w:val="21"/>
          <w:szCs w:val="21"/>
          <w:highlight w:val="none"/>
          <w14:textFill>
            <w14:solidFill>
              <w14:schemeClr w14:val="tx1"/>
            </w14:solidFill>
          </w14:textFill>
        </w:rPr>
        <w:t>，接受招标文件的</w:t>
      </w:r>
      <w:r>
        <w:rPr>
          <w:rFonts w:hint="eastAsia" w:ascii="宋体" w:hAnsi="宋体" w:cs="宋体"/>
          <w:color w:val="000000" w:themeColor="text1"/>
          <w:sz w:val="21"/>
          <w:szCs w:val="21"/>
          <w:highlight w:val="none"/>
          <w14:textFill>
            <w14:solidFill>
              <w14:schemeClr w14:val="tx1"/>
            </w14:solidFill>
          </w14:textFill>
        </w:rPr>
        <w:t>资格审查文件对</w:t>
      </w:r>
      <w:r>
        <w:rPr>
          <w:rFonts w:hint="eastAsia" w:ascii="宋体" w:hAnsi="宋体"/>
          <w:color w:val="000000" w:themeColor="text1"/>
          <w:sz w:val="21"/>
          <w:szCs w:val="21"/>
          <w:highlight w:val="none"/>
          <w14:textFill>
            <w14:solidFill>
              <w14:schemeClr w14:val="tx1"/>
            </w14:solidFill>
          </w14:textFill>
        </w:rPr>
        <w:t>此次申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的全部要求和</w:t>
      </w:r>
      <w:r>
        <w:rPr>
          <w:rFonts w:hint="eastAsia" w:ascii="宋体" w:hAnsi="宋体" w:cs="宋体"/>
          <w:color w:val="000000" w:themeColor="text1"/>
          <w:sz w:val="21"/>
          <w:szCs w:val="21"/>
          <w:highlight w:val="none"/>
          <w14:textFill>
            <w14:solidFill>
              <w14:schemeClr w14:val="tx1"/>
            </w14:solidFill>
          </w14:textFill>
        </w:rPr>
        <w:t>规</w:t>
      </w:r>
      <w:r>
        <w:rPr>
          <w:rFonts w:hint="eastAsia" w:ascii="宋体" w:hAnsi="宋体"/>
          <w:color w:val="000000" w:themeColor="text1"/>
          <w:sz w:val="21"/>
          <w:szCs w:val="21"/>
          <w:highlight w:val="none"/>
          <w14:textFill>
            <w14:solidFill>
              <w14:schemeClr w14:val="tx1"/>
            </w14:solidFill>
          </w14:textFill>
        </w:rPr>
        <w:t>定。</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3.本申</w:t>
      </w:r>
      <w:r>
        <w:rPr>
          <w:rFonts w:hint="eastAsia" w:ascii="宋体" w:hAnsi="宋体" w:cs="宋体"/>
          <w:color w:val="000000" w:themeColor="text1"/>
          <w:sz w:val="21"/>
          <w:szCs w:val="21"/>
          <w:highlight w:val="none"/>
          <w14:textFill>
            <w14:solidFill>
              <w14:schemeClr w14:val="tx1"/>
            </w14:solidFill>
          </w14:textFill>
        </w:rPr>
        <w:t>请书</w:t>
      </w:r>
      <w:r>
        <w:rPr>
          <w:rFonts w:hint="eastAsia" w:ascii="宋体" w:hAnsi="宋体"/>
          <w:color w:val="000000" w:themeColor="text1"/>
          <w:sz w:val="21"/>
          <w:szCs w:val="21"/>
          <w:highlight w:val="none"/>
          <w14:textFill>
            <w14:solidFill>
              <w14:schemeClr w14:val="tx1"/>
            </w14:solidFill>
          </w14:textFill>
        </w:rPr>
        <w:t>包括以下内容：</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（1）资格审查申请函；</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（2）资格审查申请函附表；</w:t>
      </w:r>
    </w:p>
    <w:p>
      <w:pPr>
        <w:spacing w:line="360" w:lineRule="auto"/>
        <w:ind w:firstLine="735" w:firstLineChars="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8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4.我方按照资格审查文件要求组建勘察项目组，将由</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（姓名）国家注册土木工程师（岩土）</w:t>
      </w:r>
      <w:r>
        <w:rPr>
          <w:rFonts w:hint="eastAsia" w:ascii="宋体" w:hAnsi="宋体"/>
          <w:color w:val="000000" w:themeColor="text1"/>
          <w:sz w:val="21"/>
          <w:szCs w:val="21"/>
          <w:highlight w:val="none"/>
          <w:u w:val="single"/>
          <w14:textFill>
            <w14:solidFill>
              <w14:schemeClr w14:val="tx1"/>
            </w14:solidFill>
          </w14:textFill>
        </w:rPr>
        <w:t>（注册编号：            ）</w:t>
      </w:r>
      <w:r>
        <w:rPr>
          <w:rFonts w:hint="eastAsia" w:ascii="宋体" w:hAnsi="宋体"/>
          <w:color w:val="000000" w:themeColor="text1"/>
          <w:sz w:val="21"/>
          <w:szCs w:val="21"/>
          <w:highlight w:val="none"/>
          <w14:textFill>
            <w14:solidFill>
              <w14:schemeClr w14:val="tx1"/>
            </w14:solidFill>
          </w14:textFill>
        </w:rPr>
        <w:t>任勘察项目负责人。</w:t>
      </w:r>
    </w:p>
    <w:p>
      <w:pPr>
        <w:spacing w:line="360" w:lineRule="auto"/>
        <w:ind w:firstLine="426"/>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5.我方所提交的声明和</w:t>
      </w:r>
      <w:r>
        <w:rPr>
          <w:rFonts w:hint="eastAsia" w:ascii="宋体" w:hAnsi="宋体" w:cs="宋体"/>
          <w:color w:val="000000" w:themeColor="text1"/>
          <w:sz w:val="21"/>
          <w:szCs w:val="21"/>
          <w:highlight w:val="none"/>
          <w14:textFill>
            <w14:solidFill>
              <w14:schemeClr w14:val="tx1"/>
            </w14:solidFill>
          </w14:textFill>
        </w:rPr>
        <w:t>资</w:t>
      </w:r>
      <w:r>
        <w:rPr>
          <w:rFonts w:hint="eastAsia" w:ascii="宋体" w:hAnsi="宋体"/>
          <w:color w:val="000000" w:themeColor="text1"/>
          <w:sz w:val="21"/>
          <w:szCs w:val="21"/>
          <w:highlight w:val="none"/>
          <w14:textFill>
            <w14:solidFill>
              <w14:schemeClr w14:val="tx1"/>
            </w14:solidFill>
          </w14:textFill>
        </w:rPr>
        <w:t>料完整、真</w:t>
      </w:r>
      <w:r>
        <w:rPr>
          <w:rFonts w:hint="eastAsia" w:ascii="宋体" w:hAnsi="宋体" w:cs="宋体"/>
          <w:color w:val="000000" w:themeColor="text1"/>
          <w:sz w:val="21"/>
          <w:szCs w:val="21"/>
          <w:highlight w:val="none"/>
          <w14:textFill>
            <w14:solidFill>
              <w14:schemeClr w14:val="tx1"/>
            </w14:solidFill>
          </w14:textFill>
        </w:rPr>
        <w:t>实</w:t>
      </w:r>
      <w:r>
        <w:rPr>
          <w:rFonts w:hint="eastAsia" w:ascii="宋体" w:hAnsi="宋体"/>
          <w:color w:val="000000" w:themeColor="text1"/>
          <w:sz w:val="21"/>
          <w:szCs w:val="21"/>
          <w:highlight w:val="none"/>
          <w14:textFill>
            <w14:solidFill>
              <w14:schemeClr w14:val="tx1"/>
            </w14:solidFill>
          </w14:textFill>
        </w:rPr>
        <w:t>、准确。</w:t>
      </w:r>
    </w:p>
    <w:p>
      <w:pPr>
        <w:spacing w:line="360" w:lineRule="auto"/>
        <w:ind w:firstLine="424" w:firstLineChars="202"/>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6.我方承</w:t>
      </w:r>
      <w:r>
        <w:rPr>
          <w:rFonts w:hint="eastAsia" w:ascii="宋体" w:hAnsi="宋体" w:cs="宋体"/>
          <w:color w:val="000000" w:themeColor="text1"/>
          <w:sz w:val="21"/>
          <w:szCs w:val="21"/>
          <w:highlight w:val="none"/>
          <w14:textFill>
            <w14:solidFill>
              <w14:schemeClr w14:val="tx1"/>
            </w14:solidFill>
          </w14:textFill>
        </w:rPr>
        <w:t>诺</w:t>
      </w:r>
      <w:r>
        <w:rPr>
          <w:rFonts w:hint="eastAsia" w:ascii="宋体" w:hAnsi="宋体"/>
          <w:color w:val="000000" w:themeColor="text1"/>
          <w:sz w:val="21"/>
          <w:szCs w:val="21"/>
          <w:highlight w:val="none"/>
          <w14:textFill>
            <w14:solidFill>
              <w14:schemeClr w14:val="tx1"/>
            </w14:solidFill>
          </w14:textFill>
        </w:rPr>
        <w:t>在提交申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日后的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个日</w:t>
      </w:r>
      <w:r>
        <w:rPr>
          <w:rFonts w:hint="eastAsia" w:ascii="宋体" w:hAnsi="宋体" w:cs="宋体"/>
          <w:color w:val="000000" w:themeColor="text1"/>
          <w:sz w:val="21"/>
          <w:szCs w:val="21"/>
          <w:highlight w:val="none"/>
          <w14:textFill>
            <w14:solidFill>
              <w14:schemeClr w14:val="tx1"/>
            </w14:solidFill>
          </w14:textFill>
        </w:rPr>
        <w:t>历</w:t>
      </w:r>
      <w:r>
        <w:rPr>
          <w:rFonts w:hint="eastAsia" w:ascii="宋体" w:hAnsi="宋体"/>
          <w:color w:val="000000" w:themeColor="text1"/>
          <w:sz w:val="21"/>
          <w:szCs w:val="21"/>
          <w:highlight w:val="none"/>
          <w14:textFill>
            <w14:solidFill>
              <w14:schemeClr w14:val="tx1"/>
            </w14:solidFill>
          </w14:textFill>
        </w:rPr>
        <w:t>天内不改</w:t>
      </w:r>
      <w:r>
        <w:rPr>
          <w:rFonts w:hint="eastAsia" w:ascii="宋体" w:hAnsi="宋体" w:cs="宋体"/>
          <w:color w:val="000000" w:themeColor="text1"/>
          <w:sz w:val="21"/>
          <w:szCs w:val="21"/>
          <w:highlight w:val="none"/>
          <w14:textFill>
            <w14:solidFill>
              <w14:schemeClr w14:val="tx1"/>
            </w14:solidFill>
          </w14:textFill>
        </w:rPr>
        <w:t>变</w:t>
      </w:r>
      <w:r>
        <w:rPr>
          <w:rFonts w:hint="eastAsia" w:ascii="宋体" w:hAnsi="宋体"/>
          <w:color w:val="000000" w:themeColor="text1"/>
          <w:sz w:val="21"/>
          <w:szCs w:val="21"/>
          <w:highlight w:val="none"/>
          <w14:textFill>
            <w14:solidFill>
              <w14:schemeClr w14:val="tx1"/>
            </w14:solidFill>
          </w14:textFill>
        </w:rPr>
        <w:t>申</w:t>
      </w:r>
      <w:r>
        <w:rPr>
          <w:rFonts w:hint="eastAsia" w:ascii="宋体" w:hAnsi="宋体" w:cs="宋体"/>
          <w:color w:val="000000" w:themeColor="text1"/>
          <w:sz w:val="21"/>
          <w:szCs w:val="21"/>
          <w:highlight w:val="none"/>
          <w14:textFill>
            <w14:solidFill>
              <w14:schemeClr w14:val="tx1"/>
            </w14:solidFill>
          </w14:textFill>
        </w:rPr>
        <w:t>请</w:t>
      </w:r>
      <w:r>
        <w:rPr>
          <w:rFonts w:hint="eastAsia" w:ascii="宋体" w:hAnsi="宋体"/>
          <w:color w:val="000000" w:themeColor="text1"/>
          <w:sz w:val="21"/>
          <w:szCs w:val="21"/>
          <w:highlight w:val="none"/>
          <w14:textFill>
            <w14:solidFill>
              <w14:schemeClr w14:val="tx1"/>
            </w14:solidFill>
          </w14:textFill>
        </w:rPr>
        <w:t>内容。本申</w:t>
      </w:r>
      <w:r>
        <w:rPr>
          <w:rFonts w:hint="eastAsia" w:ascii="宋体" w:hAnsi="宋体" w:cs="宋体"/>
          <w:color w:val="000000" w:themeColor="text1"/>
          <w:sz w:val="21"/>
          <w:szCs w:val="21"/>
          <w:highlight w:val="none"/>
          <w14:textFill>
            <w14:solidFill>
              <w14:schemeClr w14:val="tx1"/>
            </w14:solidFill>
          </w14:textFill>
        </w:rPr>
        <w:t>请书</w:t>
      </w:r>
      <w:r>
        <w:rPr>
          <w:rFonts w:hint="eastAsia" w:ascii="宋体" w:hAnsi="宋体"/>
          <w:color w:val="000000" w:themeColor="text1"/>
          <w:sz w:val="21"/>
          <w:szCs w:val="21"/>
          <w:highlight w:val="none"/>
          <w14:textFill>
            <w14:solidFill>
              <w14:schemeClr w14:val="tx1"/>
            </w14:solidFill>
          </w14:textFill>
        </w:rPr>
        <w:t>将作</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人与我方之</w:t>
      </w:r>
      <w:r>
        <w:rPr>
          <w:rFonts w:hint="eastAsia" w:ascii="宋体" w:hAnsi="宋体" w:cs="宋体"/>
          <w:color w:val="000000" w:themeColor="text1"/>
          <w:sz w:val="21"/>
          <w:szCs w:val="21"/>
          <w:highlight w:val="none"/>
          <w14:textFill>
            <w14:solidFill>
              <w14:schemeClr w14:val="tx1"/>
            </w14:solidFill>
          </w14:textFill>
        </w:rPr>
        <w:t>间</w:t>
      </w:r>
      <w:r>
        <w:rPr>
          <w:rFonts w:hint="eastAsia" w:ascii="宋体" w:hAnsi="宋体"/>
          <w:color w:val="000000" w:themeColor="text1"/>
          <w:sz w:val="21"/>
          <w:szCs w:val="21"/>
          <w:highlight w:val="none"/>
          <w14:textFill>
            <w14:solidFill>
              <w14:schemeClr w14:val="tx1"/>
            </w14:solidFill>
          </w14:textFill>
        </w:rPr>
        <w:t>具有法律</w:t>
      </w:r>
      <w:r>
        <w:rPr>
          <w:rFonts w:hint="eastAsia" w:ascii="宋体" w:hAnsi="宋体" w:cs="宋体"/>
          <w:color w:val="000000" w:themeColor="text1"/>
          <w:sz w:val="21"/>
          <w:szCs w:val="21"/>
          <w:highlight w:val="none"/>
          <w14:textFill>
            <w14:solidFill>
              <w14:schemeClr w14:val="tx1"/>
            </w14:solidFill>
          </w14:textFill>
        </w:rPr>
        <w:t>约</w:t>
      </w:r>
      <w:r>
        <w:rPr>
          <w:rFonts w:hint="eastAsia" w:ascii="宋体" w:hAnsi="宋体"/>
          <w:color w:val="000000" w:themeColor="text1"/>
          <w:sz w:val="21"/>
          <w:szCs w:val="21"/>
          <w:highlight w:val="none"/>
          <w14:textFill>
            <w14:solidFill>
              <w14:schemeClr w14:val="tx1"/>
            </w14:solidFill>
          </w14:textFill>
        </w:rPr>
        <w:t>束力的文件。</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与本投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的一切正式往来通</w:t>
      </w:r>
      <w:r>
        <w:rPr>
          <w:rFonts w:hint="eastAsia" w:ascii="宋体" w:hAnsi="宋体" w:cs="宋体"/>
          <w:color w:val="000000" w:themeColor="text1"/>
          <w:sz w:val="21"/>
          <w:szCs w:val="21"/>
          <w:highlight w:val="none"/>
          <w14:textFill>
            <w14:solidFill>
              <w14:schemeClr w14:val="tx1"/>
            </w14:solidFill>
          </w14:textFill>
        </w:rPr>
        <w:t>讯请</w:t>
      </w:r>
      <w:r>
        <w:rPr>
          <w:rFonts w:hint="eastAsia" w:ascii="宋体" w:hAnsi="宋体"/>
          <w:color w:val="000000" w:themeColor="text1"/>
          <w:sz w:val="21"/>
          <w:szCs w:val="21"/>
          <w:highlight w:val="none"/>
          <w14:textFill>
            <w14:solidFill>
              <w14:schemeClr w14:val="tx1"/>
            </w14:solidFill>
          </w14:textFill>
        </w:rPr>
        <w:t>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r>
        <w:rPr>
          <w:rStyle w:val="49"/>
          <w:rFonts w:ascii="宋体" w:hAnsi="宋体"/>
          <w:color w:val="000000" w:themeColor="text1"/>
          <w:sz w:val="21"/>
          <w:szCs w:val="21"/>
          <w:highlight w:val="none"/>
          <w14:textFill>
            <w14:solidFill>
              <w14:schemeClr w14:val="tx1"/>
            </w14:solidFill>
          </w14:textFill>
        </w:rPr>
        <w:footnoteReference w:id="53"/>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拟担任勘察项目负责人：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【盖实体国家注册土木工程师（岩土）执业章、签字】</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地址：</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邮编</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电话</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传</w:t>
      </w:r>
      <w:r>
        <w:rPr>
          <w:rFonts w:hint="eastAsia" w:ascii="宋体" w:hAnsi="宋体"/>
          <w:color w:val="000000" w:themeColor="text1"/>
          <w:sz w:val="21"/>
          <w:szCs w:val="21"/>
          <w:highlight w:val="none"/>
          <w14:textFill>
            <w14:solidFill>
              <w14:schemeClr w14:val="tx1"/>
            </w14:solidFill>
          </w14:textFill>
        </w:rPr>
        <w:t>真：</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w:t>
      </w:r>
      <w:r>
        <w:rPr>
          <w:rFonts w:hint="eastAsia" w:ascii="宋体" w:hAnsi="宋体"/>
          <w:color w:val="000000" w:themeColor="text1"/>
          <w:sz w:val="21"/>
          <w:szCs w:val="21"/>
          <w:highlight w:val="none"/>
          <w14:textFill>
            <w14:solidFill>
              <w14:schemeClr w14:val="tx1"/>
            </w14:solidFill>
          </w14:textFill>
        </w:rPr>
        <w:t>系人：</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pStyle w:val="15"/>
        <w:tabs>
          <w:tab w:val="left" w:pos="113"/>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br w:type="page"/>
      </w:r>
    </w:p>
    <w:p>
      <w:pPr>
        <w:pStyle w:val="15"/>
        <w:tabs>
          <w:tab w:val="left" w:pos="113"/>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（二）资格审查申请函附表（格式）</w:t>
      </w:r>
    </w:p>
    <w:p>
      <w:pPr>
        <w:pStyle w:val="15"/>
        <w:tabs>
          <w:tab w:val="left" w:pos="1000"/>
        </w:tabs>
        <w:spacing w:line="360" w:lineRule="auto"/>
        <w:ind w:firstLine="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  投标人基本情况表（格式）</w:t>
      </w:r>
    </w:p>
    <w:p>
      <w:pPr>
        <w:spacing w:after="100" w:afterAutospacing="1"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w:t>
      </w:r>
      <w:r>
        <w:rPr>
          <w:rFonts w:hint="eastAsia" w:ascii="黑体" w:hAnsi="黑体" w:eastAsia="黑体" w:cs="宋体"/>
          <w:color w:val="000000" w:themeColor="text1"/>
          <w:sz w:val="32"/>
          <w:szCs w:val="32"/>
          <w:highlight w:val="none"/>
          <w14:textFill>
            <w14:solidFill>
              <w14:schemeClr w14:val="tx1"/>
            </w14:solidFill>
          </w14:textFill>
        </w:rPr>
        <w:t>标</w:t>
      </w:r>
      <w:r>
        <w:rPr>
          <w:rFonts w:hint="eastAsia" w:ascii="黑体" w:hAnsi="黑体" w:eastAsia="黑体"/>
          <w:color w:val="000000" w:themeColor="text1"/>
          <w:sz w:val="32"/>
          <w:szCs w:val="32"/>
          <w:highlight w:val="none"/>
          <w14:textFill>
            <w14:solidFill>
              <w14:schemeClr w14:val="tx1"/>
            </w14:solidFill>
          </w14:textFill>
        </w:rPr>
        <w:t>人基本情况表</w:t>
      </w:r>
      <w:r>
        <w:rPr>
          <w:rStyle w:val="49"/>
          <w:rFonts w:ascii="黑体" w:hAnsi="黑体" w:eastAsia="黑体"/>
          <w:color w:val="000000" w:themeColor="text1"/>
          <w:sz w:val="32"/>
          <w:szCs w:val="32"/>
          <w:highlight w:val="none"/>
          <w14:textFill>
            <w14:solidFill>
              <w14:schemeClr w14:val="tx1"/>
            </w14:solidFill>
          </w14:textFill>
        </w:rPr>
        <w:footnoteReference w:id="54"/>
      </w:r>
    </w:p>
    <w:tbl>
      <w:tblPr>
        <w:tblStyle w:val="41"/>
        <w:tblW w:w="9136"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1157"/>
        <w:gridCol w:w="897"/>
        <w:gridCol w:w="1026"/>
        <w:gridCol w:w="1172"/>
        <w:gridCol w:w="117"/>
        <w:gridCol w:w="420"/>
        <w:gridCol w:w="866"/>
        <w:gridCol w:w="833"/>
        <w:gridCol w:w="281"/>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292" w:type="dxa"/>
            <w:gridSpan w:val="2"/>
            <w:vAlign w:val="center"/>
          </w:tcPr>
          <w:p>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投标人名称</w:t>
            </w:r>
          </w:p>
        </w:tc>
        <w:tc>
          <w:tcPr>
            <w:tcW w:w="6844" w:type="dxa"/>
            <w:gridSpan w:val="9"/>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292" w:type="dxa"/>
            <w:gridSpan w:val="2"/>
            <w:vAlign w:val="center"/>
          </w:tcPr>
          <w:p>
            <w:pPr>
              <w:pStyle w:val="105"/>
              <w:spacing w:before="107"/>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注册地址</w:t>
            </w:r>
          </w:p>
        </w:tc>
        <w:tc>
          <w:tcPr>
            <w:tcW w:w="3212" w:type="dxa"/>
            <w:gridSpan w:val="4"/>
            <w:vAlign w:val="center"/>
          </w:tcPr>
          <w:p>
            <w:pPr>
              <w:rPr>
                <w:rFonts w:ascii="宋体" w:hAnsi="宋体"/>
                <w:color w:val="000000" w:themeColor="text1"/>
                <w:sz w:val="21"/>
                <w:szCs w:val="21"/>
                <w:highlight w:val="none"/>
                <w14:textFill>
                  <w14:solidFill>
                    <w14:schemeClr w14:val="tx1"/>
                  </w14:solidFill>
                </w14:textFill>
              </w:rPr>
            </w:pPr>
          </w:p>
        </w:tc>
        <w:tc>
          <w:tcPr>
            <w:tcW w:w="1286" w:type="dxa"/>
            <w:gridSpan w:val="2"/>
            <w:vAlign w:val="center"/>
          </w:tcPr>
          <w:p>
            <w:pPr>
              <w:pStyle w:val="105"/>
              <w:spacing w:before="107"/>
              <w:ind w:left="2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邮政编码</w:t>
            </w:r>
          </w:p>
        </w:tc>
        <w:tc>
          <w:tcPr>
            <w:tcW w:w="2346" w:type="dxa"/>
            <w:gridSpan w:val="3"/>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292" w:type="dxa"/>
            <w:gridSpan w:val="2"/>
            <w:vMerge w:val="restart"/>
            <w:vAlign w:val="center"/>
          </w:tcPr>
          <w:p>
            <w:pPr>
              <w:pStyle w:val="105"/>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联系方式</w:t>
            </w:r>
          </w:p>
        </w:tc>
        <w:tc>
          <w:tcPr>
            <w:tcW w:w="897" w:type="dxa"/>
            <w:vAlign w:val="center"/>
          </w:tcPr>
          <w:p>
            <w:pPr>
              <w:pStyle w:val="105"/>
              <w:spacing w:before="107"/>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联系人</w:t>
            </w:r>
          </w:p>
        </w:tc>
        <w:tc>
          <w:tcPr>
            <w:tcW w:w="2315" w:type="dxa"/>
            <w:gridSpan w:val="3"/>
            <w:vAlign w:val="center"/>
          </w:tcPr>
          <w:p>
            <w:pPr>
              <w:rPr>
                <w:rFonts w:ascii="宋体" w:hAnsi="宋体"/>
                <w:color w:val="000000" w:themeColor="text1"/>
                <w:sz w:val="21"/>
                <w:szCs w:val="21"/>
                <w:highlight w:val="none"/>
                <w14:textFill>
                  <w14:solidFill>
                    <w14:schemeClr w14:val="tx1"/>
                  </w14:solidFill>
                </w14:textFill>
              </w:rPr>
            </w:pPr>
          </w:p>
        </w:tc>
        <w:tc>
          <w:tcPr>
            <w:tcW w:w="1286" w:type="dxa"/>
            <w:gridSpan w:val="2"/>
            <w:vAlign w:val="center"/>
          </w:tcPr>
          <w:p>
            <w:pPr>
              <w:pStyle w:val="105"/>
              <w:spacing w:before="107"/>
              <w:ind w:left="37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 话</w:t>
            </w:r>
          </w:p>
        </w:tc>
        <w:tc>
          <w:tcPr>
            <w:tcW w:w="2346" w:type="dxa"/>
            <w:gridSpan w:val="3"/>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292" w:type="dxa"/>
            <w:gridSpan w:val="2"/>
            <w:vMerge w:val="continue"/>
            <w:vAlign w:val="center"/>
          </w:tcPr>
          <w:p>
            <w:pPr>
              <w:rPr>
                <w:rFonts w:ascii="宋体" w:hAnsi="宋体"/>
                <w:color w:val="000000" w:themeColor="text1"/>
                <w:sz w:val="21"/>
                <w:szCs w:val="21"/>
                <w:highlight w:val="none"/>
                <w14:textFill>
                  <w14:solidFill>
                    <w14:schemeClr w14:val="tx1"/>
                  </w14:solidFill>
                </w14:textFill>
              </w:rPr>
            </w:pPr>
          </w:p>
        </w:tc>
        <w:tc>
          <w:tcPr>
            <w:tcW w:w="897" w:type="dxa"/>
            <w:vAlign w:val="center"/>
          </w:tcPr>
          <w:p>
            <w:pPr>
              <w:pStyle w:val="105"/>
              <w:tabs>
                <w:tab w:val="left" w:pos="422"/>
              </w:tabs>
              <w:spacing w:before="108"/>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真</w:t>
            </w:r>
          </w:p>
        </w:tc>
        <w:tc>
          <w:tcPr>
            <w:tcW w:w="2315" w:type="dxa"/>
            <w:gridSpan w:val="3"/>
            <w:vAlign w:val="center"/>
          </w:tcPr>
          <w:p>
            <w:pPr>
              <w:rPr>
                <w:rFonts w:ascii="宋体" w:hAnsi="宋体"/>
                <w:color w:val="000000" w:themeColor="text1"/>
                <w:sz w:val="21"/>
                <w:szCs w:val="21"/>
                <w:highlight w:val="none"/>
                <w14:textFill>
                  <w14:solidFill>
                    <w14:schemeClr w14:val="tx1"/>
                  </w14:solidFill>
                </w14:textFill>
              </w:rPr>
            </w:pPr>
          </w:p>
        </w:tc>
        <w:tc>
          <w:tcPr>
            <w:tcW w:w="1286" w:type="dxa"/>
            <w:gridSpan w:val="2"/>
            <w:vAlign w:val="center"/>
          </w:tcPr>
          <w:p>
            <w:pPr>
              <w:pStyle w:val="105"/>
              <w:spacing w:before="108"/>
              <w:ind w:left="37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网 址</w:t>
            </w:r>
          </w:p>
        </w:tc>
        <w:tc>
          <w:tcPr>
            <w:tcW w:w="2346" w:type="dxa"/>
            <w:gridSpan w:val="3"/>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292" w:type="dxa"/>
            <w:gridSpan w:val="2"/>
            <w:vAlign w:val="center"/>
          </w:tcPr>
          <w:p>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法定代表人</w:t>
            </w:r>
          </w:p>
        </w:tc>
        <w:tc>
          <w:tcPr>
            <w:tcW w:w="897" w:type="dxa"/>
            <w:vAlign w:val="center"/>
          </w:tcPr>
          <w:p>
            <w:pPr>
              <w:pStyle w:val="105"/>
              <w:spacing w:before="107"/>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姓名</w:t>
            </w:r>
          </w:p>
        </w:tc>
        <w:tc>
          <w:tcPr>
            <w:tcW w:w="1026" w:type="dxa"/>
            <w:vAlign w:val="center"/>
          </w:tcPr>
          <w:p>
            <w:pPr>
              <w:rPr>
                <w:rFonts w:ascii="宋体" w:hAnsi="宋体"/>
                <w:color w:val="000000" w:themeColor="text1"/>
                <w:sz w:val="21"/>
                <w:szCs w:val="21"/>
                <w:highlight w:val="none"/>
                <w14:textFill>
                  <w14:solidFill>
                    <w14:schemeClr w14:val="tx1"/>
                  </w14:solidFill>
                </w14:textFill>
              </w:rPr>
            </w:pPr>
          </w:p>
        </w:tc>
        <w:tc>
          <w:tcPr>
            <w:tcW w:w="1289" w:type="dxa"/>
            <w:gridSpan w:val="2"/>
            <w:vAlign w:val="center"/>
          </w:tcPr>
          <w:p>
            <w:pPr>
              <w:pStyle w:val="105"/>
              <w:spacing w:before="107"/>
              <w:ind w:left="2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技术职称</w:t>
            </w:r>
          </w:p>
        </w:tc>
        <w:tc>
          <w:tcPr>
            <w:tcW w:w="1286" w:type="dxa"/>
            <w:gridSpan w:val="2"/>
            <w:vAlign w:val="center"/>
          </w:tcPr>
          <w:p>
            <w:pPr>
              <w:rPr>
                <w:rFonts w:ascii="宋体" w:hAnsi="宋体"/>
                <w:color w:val="000000" w:themeColor="text1"/>
                <w:sz w:val="21"/>
                <w:szCs w:val="21"/>
                <w:highlight w:val="none"/>
                <w14:textFill>
                  <w14:solidFill>
                    <w14:schemeClr w14:val="tx1"/>
                  </w14:solidFill>
                </w14:textFill>
              </w:rPr>
            </w:pPr>
          </w:p>
        </w:tc>
        <w:tc>
          <w:tcPr>
            <w:tcW w:w="1114" w:type="dxa"/>
            <w:gridSpan w:val="2"/>
            <w:vAlign w:val="center"/>
          </w:tcPr>
          <w:p>
            <w:pPr>
              <w:pStyle w:val="105"/>
              <w:spacing w:before="107"/>
              <w:ind w:left="34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w:t>
            </w:r>
          </w:p>
        </w:tc>
        <w:tc>
          <w:tcPr>
            <w:tcW w:w="1232"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292" w:type="dxa"/>
            <w:gridSpan w:val="2"/>
            <w:vAlign w:val="center"/>
          </w:tcPr>
          <w:p>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技术负责人</w:t>
            </w:r>
          </w:p>
        </w:tc>
        <w:tc>
          <w:tcPr>
            <w:tcW w:w="897" w:type="dxa"/>
            <w:vAlign w:val="center"/>
          </w:tcPr>
          <w:p>
            <w:pPr>
              <w:pStyle w:val="105"/>
              <w:spacing w:before="107"/>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姓名</w:t>
            </w:r>
          </w:p>
        </w:tc>
        <w:tc>
          <w:tcPr>
            <w:tcW w:w="1026" w:type="dxa"/>
            <w:vAlign w:val="center"/>
          </w:tcPr>
          <w:p>
            <w:pPr>
              <w:rPr>
                <w:rFonts w:ascii="宋体" w:hAnsi="宋体"/>
                <w:color w:val="000000" w:themeColor="text1"/>
                <w:sz w:val="21"/>
                <w:szCs w:val="21"/>
                <w:highlight w:val="none"/>
                <w14:textFill>
                  <w14:solidFill>
                    <w14:schemeClr w14:val="tx1"/>
                  </w14:solidFill>
                </w14:textFill>
              </w:rPr>
            </w:pPr>
          </w:p>
        </w:tc>
        <w:tc>
          <w:tcPr>
            <w:tcW w:w="1289" w:type="dxa"/>
            <w:gridSpan w:val="2"/>
            <w:vAlign w:val="center"/>
          </w:tcPr>
          <w:p>
            <w:pPr>
              <w:pStyle w:val="105"/>
              <w:spacing w:before="107"/>
              <w:ind w:left="2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技术职称</w:t>
            </w:r>
          </w:p>
        </w:tc>
        <w:tc>
          <w:tcPr>
            <w:tcW w:w="1286" w:type="dxa"/>
            <w:gridSpan w:val="2"/>
            <w:vAlign w:val="center"/>
          </w:tcPr>
          <w:p>
            <w:pPr>
              <w:rPr>
                <w:rFonts w:ascii="宋体" w:hAnsi="宋体"/>
                <w:color w:val="000000" w:themeColor="text1"/>
                <w:sz w:val="21"/>
                <w:szCs w:val="21"/>
                <w:highlight w:val="none"/>
                <w14:textFill>
                  <w14:solidFill>
                    <w14:schemeClr w14:val="tx1"/>
                  </w14:solidFill>
                </w14:textFill>
              </w:rPr>
            </w:pPr>
          </w:p>
        </w:tc>
        <w:tc>
          <w:tcPr>
            <w:tcW w:w="1114" w:type="dxa"/>
            <w:gridSpan w:val="2"/>
            <w:vAlign w:val="center"/>
          </w:tcPr>
          <w:p>
            <w:pPr>
              <w:pStyle w:val="105"/>
              <w:spacing w:before="107"/>
              <w:ind w:left="34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w:t>
            </w:r>
          </w:p>
        </w:tc>
        <w:tc>
          <w:tcPr>
            <w:tcW w:w="1232" w:type="dxa"/>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exact"/>
        </w:trPr>
        <w:tc>
          <w:tcPr>
            <w:tcW w:w="2292" w:type="dxa"/>
            <w:gridSpan w:val="2"/>
            <w:vAlign w:val="center"/>
          </w:tcPr>
          <w:p>
            <w:pPr>
              <w:pStyle w:val="105"/>
              <w:ind w:left="34"/>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企业勘察资质证书</w:t>
            </w:r>
          </w:p>
        </w:tc>
        <w:tc>
          <w:tcPr>
            <w:tcW w:w="6844" w:type="dxa"/>
            <w:gridSpan w:val="9"/>
            <w:vAlign w:val="center"/>
          </w:tcPr>
          <w:p>
            <w:pPr>
              <w:pStyle w:val="105"/>
              <w:tabs>
                <w:tab w:val="left" w:pos="3150"/>
                <w:tab w:val="left" w:pos="5045"/>
              </w:tabs>
              <w:spacing w:before="107"/>
              <w:ind w:left="118" w:leftChars="59"/>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类型：</w:t>
            </w:r>
            <w:r>
              <w:rPr>
                <w:rFonts w:hint="eastAsia"/>
                <w:color w:val="000000" w:themeColor="text1"/>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等级</w:t>
            </w:r>
            <w:r>
              <w:rPr>
                <w:rFonts w:hint="eastAsia"/>
                <w:color w:val="000000" w:themeColor="text1"/>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2292" w:type="dxa"/>
            <w:gridSpan w:val="2"/>
            <w:vAlign w:val="center"/>
          </w:tcPr>
          <w:p>
            <w:pPr>
              <w:pStyle w:val="105"/>
              <w:ind w:right="159"/>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质量管理体系证书</w:t>
            </w:r>
          </w:p>
          <w:p>
            <w:pPr>
              <w:pStyle w:val="105"/>
              <w:ind w:right="159"/>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（如有）</w:t>
            </w:r>
          </w:p>
        </w:tc>
        <w:tc>
          <w:tcPr>
            <w:tcW w:w="6844" w:type="dxa"/>
            <w:gridSpan w:val="9"/>
            <w:vAlign w:val="center"/>
          </w:tcPr>
          <w:p>
            <w:pPr>
              <w:pStyle w:val="105"/>
              <w:spacing w:before="1"/>
              <w:rPr>
                <w:color w:val="000000" w:themeColor="text1"/>
                <w:sz w:val="21"/>
                <w:szCs w:val="21"/>
                <w:highlight w:val="none"/>
                <w:lang w:eastAsia="zh-CN"/>
                <w14:textFill>
                  <w14:solidFill>
                    <w14:schemeClr w14:val="tx1"/>
                  </w14:solidFill>
                </w14:textFill>
              </w:rPr>
            </w:pPr>
          </w:p>
          <w:p>
            <w:pPr>
              <w:pStyle w:val="105"/>
              <w:tabs>
                <w:tab w:val="left" w:pos="4095"/>
                <w:tab w:val="left" w:pos="5045"/>
              </w:tabs>
              <w:ind w:left="118" w:leftChars="59"/>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类型：</w:t>
            </w:r>
            <w:r>
              <w:rPr>
                <w:rFonts w:hint="eastAsia"/>
                <w:color w:val="000000" w:themeColor="text1"/>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等级：</w:t>
            </w:r>
            <w:r>
              <w:rPr>
                <w:color w:val="000000" w:themeColor="text1"/>
                <w:sz w:val="21"/>
                <w:szCs w:val="21"/>
                <w:highlight w:val="non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292" w:type="dxa"/>
            <w:gridSpan w:val="2"/>
            <w:vAlign w:val="center"/>
          </w:tcPr>
          <w:p>
            <w:pPr>
              <w:pStyle w:val="105"/>
              <w:spacing w:before="107"/>
              <w:ind w:left="49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营业执照号</w:t>
            </w:r>
          </w:p>
        </w:tc>
        <w:tc>
          <w:tcPr>
            <w:tcW w:w="3095" w:type="dxa"/>
            <w:gridSpan w:val="3"/>
            <w:vAlign w:val="center"/>
          </w:tcPr>
          <w:p>
            <w:pPr>
              <w:rPr>
                <w:rFonts w:ascii="宋体" w:hAnsi="宋体"/>
                <w:color w:val="000000" w:themeColor="text1"/>
                <w:sz w:val="21"/>
                <w:szCs w:val="21"/>
                <w:highlight w:val="none"/>
                <w14:textFill>
                  <w14:solidFill>
                    <w14:schemeClr w14:val="tx1"/>
                  </w14:solidFill>
                </w14:textFill>
              </w:rPr>
            </w:pPr>
          </w:p>
        </w:tc>
        <w:tc>
          <w:tcPr>
            <w:tcW w:w="3749" w:type="dxa"/>
            <w:gridSpan w:val="6"/>
            <w:vAlign w:val="center"/>
          </w:tcPr>
          <w:p>
            <w:pPr>
              <w:pStyle w:val="105"/>
              <w:spacing w:before="107"/>
              <w:ind w:left="117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292" w:type="dxa"/>
            <w:gridSpan w:val="2"/>
            <w:vAlign w:val="center"/>
          </w:tcPr>
          <w:p>
            <w:pPr>
              <w:pStyle w:val="105"/>
              <w:spacing w:before="107"/>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注册资本</w:t>
            </w:r>
          </w:p>
        </w:tc>
        <w:tc>
          <w:tcPr>
            <w:tcW w:w="3095" w:type="dxa"/>
            <w:gridSpan w:val="3"/>
            <w:vAlign w:val="center"/>
          </w:tcPr>
          <w:p>
            <w:pPr>
              <w:rPr>
                <w:rFonts w:ascii="宋体" w:hAnsi="宋体"/>
                <w:color w:val="000000" w:themeColor="text1"/>
                <w:sz w:val="21"/>
                <w:szCs w:val="21"/>
                <w:highlight w:val="none"/>
                <w14:textFill>
                  <w14:solidFill>
                    <w14:schemeClr w14:val="tx1"/>
                  </w14:solidFill>
                </w14:textFill>
              </w:rPr>
            </w:pPr>
          </w:p>
        </w:tc>
        <w:tc>
          <w:tcPr>
            <w:tcW w:w="537" w:type="dxa"/>
            <w:gridSpan w:val="2"/>
            <w:vMerge w:val="restart"/>
            <w:vAlign w:val="center"/>
          </w:tcPr>
          <w:p>
            <w:pPr>
              <w:pStyle w:val="105"/>
              <w:rPr>
                <w:color w:val="000000" w:themeColor="text1"/>
                <w:sz w:val="21"/>
                <w:szCs w:val="21"/>
                <w:highlight w:val="none"/>
                <w14:textFill>
                  <w14:solidFill>
                    <w14:schemeClr w14:val="tx1"/>
                  </w14:solidFill>
                </w14:textFill>
              </w:rPr>
            </w:pPr>
          </w:p>
          <w:p>
            <w:pPr>
              <w:pStyle w:val="105"/>
              <w:rPr>
                <w:color w:val="000000" w:themeColor="text1"/>
                <w:sz w:val="21"/>
                <w:szCs w:val="21"/>
                <w:highlight w:val="none"/>
                <w14:textFill>
                  <w14:solidFill>
                    <w14:schemeClr w14:val="tx1"/>
                  </w14:solidFill>
                </w14:textFill>
              </w:rPr>
            </w:pPr>
          </w:p>
          <w:p>
            <w:pPr>
              <w:pStyle w:val="105"/>
              <w:spacing w:before="1" w:line="384" w:lineRule="auto"/>
              <w:ind w:left="103" w:right="7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其 中</w:t>
            </w:r>
          </w:p>
        </w:tc>
        <w:tc>
          <w:tcPr>
            <w:tcW w:w="1699" w:type="dxa"/>
            <w:gridSpan w:val="2"/>
            <w:vAlign w:val="center"/>
          </w:tcPr>
          <w:p>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高级职称人员</w:t>
            </w:r>
          </w:p>
        </w:tc>
        <w:tc>
          <w:tcPr>
            <w:tcW w:w="1513" w:type="dxa"/>
            <w:gridSpan w:val="2"/>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292" w:type="dxa"/>
            <w:gridSpan w:val="2"/>
            <w:vAlign w:val="center"/>
          </w:tcPr>
          <w:p>
            <w:pPr>
              <w:pStyle w:val="105"/>
              <w:spacing w:before="107"/>
              <w:ind w:left="5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成立日期</w:t>
            </w:r>
          </w:p>
        </w:tc>
        <w:tc>
          <w:tcPr>
            <w:tcW w:w="3095" w:type="dxa"/>
            <w:gridSpan w:val="3"/>
            <w:vAlign w:val="center"/>
          </w:tcPr>
          <w:p>
            <w:pPr>
              <w:rPr>
                <w:rFonts w:ascii="宋体" w:hAnsi="宋体"/>
                <w:color w:val="000000" w:themeColor="text1"/>
                <w:sz w:val="21"/>
                <w:szCs w:val="21"/>
                <w:highlight w:val="none"/>
                <w14:textFill>
                  <w14:solidFill>
                    <w14:schemeClr w14:val="tx1"/>
                  </w14:solidFill>
                </w14:textFill>
              </w:rPr>
            </w:pPr>
          </w:p>
        </w:tc>
        <w:tc>
          <w:tcPr>
            <w:tcW w:w="537" w:type="dxa"/>
            <w:gridSpan w:val="2"/>
            <w:vMerge w:val="continue"/>
            <w:vAlign w:val="center"/>
          </w:tcPr>
          <w:p>
            <w:pPr>
              <w:rPr>
                <w:rFonts w:ascii="宋体" w:hAnsi="宋体"/>
                <w:color w:val="000000" w:themeColor="text1"/>
                <w:sz w:val="21"/>
                <w:szCs w:val="21"/>
                <w:highlight w:val="none"/>
                <w14:textFill>
                  <w14:solidFill>
                    <w14:schemeClr w14:val="tx1"/>
                  </w14:solidFill>
                </w14:textFill>
              </w:rPr>
            </w:pPr>
          </w:p>
        </w:tc>
        <w:tc>
          <w:tcPr>
            <w:tcW w:w="1699" w:type="dxa"/>
            <w:gridSpan w:val="2"/>
            <w:vAlign w:val="center"/>
          </w:tcPr>
          <w:p>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中级职称人员</w:t>
            </w:r>
          </w:p>
        </w:tc>
        <w:tc>
          <w:tcPr>
            <w:tcW w:w="1513" w:type="dxa"/>
            <w:gridSpan w:val="2"/>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292" w:type="dxa"/>
            <w:gridSpan w:val="2"/>
            <w:vMerge w:val="restart"/>
            <w:vAlign w:val="center"/>
          </w:tcPr>
          <w:p>
            <w:pPr>
              <w:pStyle w:val="105"/>
              <w:spacing w:before="107"/>
              <w:ind w:left="177"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经营范围</w:t>
            </w:r>
          </w:p>
        </w:tc>
        <w:tc>
          <w:tcPr>
            <w:tcW w:w="3095" w:type="dxa"/>
            <w:gridSpan w:val="3"/>
            <w:vMerge w:val="restart"/>
            <w:vAlign w:val="center"/>
          </w:tcPr>
          <w:p>
            <w:pPr>
              <w:rPr>
                <w:rFonts w:ascii="宋体" w:hAnsi="宋体"/>
                <w:color w:val="000000" w:themeColor="text1"/>
                <w:sz w:val="21"/>
                <w:szCs w:val="21"/>
                <w:highlight w:val="none"/>
                <w14:textFill>
                  <w14:solidFill>
                    <w14:schemeClr w14:val="tx1"/>
                  </w14:solidFill>
                </w14:textFill>
              </w:rPr>
            </w:pPr>
          </w:p>
        </w:tc>
        <w:tc>
          <w:tcPr>
            <w:tcW w:w="537" w:type="dxa"/>
            <w:gridSpan w:val="2"/>
            <w:vMerge w:val="continue"/>
            <w:vAlign w:val="center"/>
          </w:tcPr>
          <w:p>
            <w:pPr>
              <w:rPr>
                <w:rFonts w:ascii="宋体" w:hAnsi="宋体"/>
                <w:color w:val="000000" w:themeColor="text1"/>
                <w:sz w:val="21"/>
                <w:szCs w:val="21"/>
                <w:highlight w:val="none"/>
                <w14:textFill>
                  <w14:solidFill>
                    <w14:schemeClr w14:val="tx1"/>
                  </w14:solidFill>
                </w14:textFill>
              </w:rPr>
            </w:pPr>
          </w:p>
        </w:tc>
        <w:tc>
          <w:tcPr>
            <w:tcW w:w="1699" w:type="dxa"/>
            <w:gridSpan w:val="2"/>
            <w:vAlign w:val="center"/>
          </w:tcPr>
          <w:p>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技术人员数量</w:t>
            </w:r>
          </w:p>
        </w:tc>
        <w:tc>
          <w:tcPr>
            <w:tcW w:w="1513" w:type="dxa"/>
            <w:gridSpan w:val="2"/>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292" w:type="dxa"/>
            <w:gridSpan w:val="2"/>
            <w:vMerge w:val="continue"/>
            <w:vAlign w:val="center"/>
          </w:tcPr>
          <w:p>
            <w:pPr>
              <w:pStyle w:val="105"/>
              <w:spacing w:before="107"/>
              <w:ind w:left="177"/>
              <w:rPr>
                <w:color w:val="000000" w:themeColor="text1"/>
                <w:sz w:val="21"/>
                <w:szCs w:val="21"/>
                <w:highlight w:val="none"/>
                <w14:textFill>
                  <w14:solidFill>
                    <w14:schemeClr w14:val="tx1"/>
                  </w14:solidFill>
                </w14:textFill>
              </w:rPr>
            </w:pPr>
          </w:p>
        </w:tc>
        <w:tc>
          <w:tcPr>
            <w:tcW w:w="3095" w:type="dxa"/>
            <w:gridSpan w:val="3"/>
            <w:vMerge w:val="continue"/>
            <w:vAlign w:val="center"/>
          </w:tcPr>
          <w:p>
            <w:pPr>
              <w:rPr>
                <w:rFonts w:ascii="宋体" w:hAnsi="宋体"/>
                <w:color w:val="000000" w:themeColor="text1"/>
                <w:sz w:val="21"/>
                <w:szCs w:val="21"/>
                <w:highlight w:val="none"/>
                <w14:textFill>
                  <w14:solidFill>
                    <w14:schemeClr w14:val="tx1"/>
                  </w14:solidFill>
                </w14:textFill>
              </w:rPr>
            </w:pPr>
          </w:p>
        </w:tc>
        <w:tc>
          <w:tcPr>
            <w:tcW w:w="537" w:type="dxa"/>
            <w:gridSpan w:val="2"/>
            <w:vMerge w:val="continue"/>
            <w:vAlign w:val="center"/>
          </w:tcPr>
          <w:p>
            <w:pPr>
              <w:rPr>
                <w:rFonts w:ascii="宋体" w:hAnsi="宋体"/>
                <w:color w:val="000000" w:themeColor="text1"/>
                <w:sz w:val="21"/>
                <w:szCs w:val="21"/>
                <w:highlight w:val="none"/>
                <w14:textFill>
                  <w14:solidFill>
                    <w14:schemeClr w14:val="tx1"/>
                  </w14:solidFill>
                </w14:textFill>
              </w:rPr>
            </w:pPr>
          </w:p>
        </w:tc>
        <w:tc>
          <w:tcPr>
            <w:tcW w:w="1699" w:type="dxa"/>
            <w:gridSpan w:val="2"/>
            <w:vAlign w:val="center"/>
          </w:tcPr>
          <w:p>
            <w:pPr>
              <w:pStyle w:val="105"/>
              <w:spacing w:before="107"/>
              <w:ind w:left="2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各类注册人员</w:t>
            </w:r>
          </w:p>
        </w:tc>
        <w:tc>
          <w:tcPr>
            <w:tcW w:w="1513" w:type="dxa"/>
            <w:gridSpan w:val="2"/>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0" w:hRule="exact"/>
        </w:trPr>
        <w:tc>
          <w:tcPr>
            <w:tcW w:w="5387" w:type="dxa"/>
            <w:gridSpan w:val="5"/>
            <w:tcBorders>
              <w:right w:val="single" w:color="auto" w:sz="4" w:space="0"/>
            </w:tcBorders>
            <w:vAlign w:val="center"/>
          </w:tcPr>
          <w:p>
            <w:pPr>
              <w:pStyle w:val="105"/>
              <w:spacing w:line="360" w:lineRule="exact"/>
              <w:ind w:right="142" w:rightChars="71" w:hanging="3"/>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投标人关联企业情况（包括但不限于与 投标人法定</w:t>
            </w:r>
            <w:r>
              <w:rPr>
                <w:rFonts w:hint="eastAsia"/>
                <w:color w:val="000000" w:themeColor="text1"/>
                <w:sz w:val="21"/>
                <w:szCs w:val="21"/>
                <w:highlight w:val="none"/>
                <w:lang w:val="en-US" w:eastAsia="zh-CN"/>
                <w14:textFill>
                  <w14:solidFill>
                    <w14:schemeClr w14:val="tx1"/>
                  </w14:solidFill>
                </w14:textFill>
              </w:rPr>
              <w:t>代</w:t>
            </w:r>
            <w:r>
              <w:rPr>
                <w:color w:val="000000" w:themeColor="text1"/>
                <w:sz w:val="21"/>
                <w:szCs w:val="21"/>
                <w:highlight w:val="none"/>
                <w:lang w:eastAsia="zh-CN"/>
                <w14:textFill>
                  <w14:solidFill>
                    <w14:schemeClr w14:val="tx1"/>
                  </w14:solidFill>
                </w14:textFill>
              </w:rPr>
              <w:t>表人为同一人或者存在控股、管理关系的不同单位）</w:t>
            </w:r>
          </w:p>
        </w:tc>
        <w:tc>
          <w:tcPr>
            <w:tcW w:w="3749" w:type="dxa"/>
            <w:gridSpan w:val="6"/>
            <w:tcBorders>
              <w:lef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4" w:hRule="exact"/>
        </w:trPr>
        <w:tc>
          <w:tcPr>
            <w:tcW w:w="5387" w:type="dxa"/>
            <w:gridSpan w:val="5"/>
            <w:tcBorders>
              <w:right w:val="single" w:color="auto" w:sz="4" w:space="0"/>
            </w:tcBorders>
            <w:vAlign w:val="center"/>
          </w:tcPr>
          <w:p>
            <w:pPr>
              <w:pStyle w:val="105"/>
              <w:spacing w:line="360" w:lineRule="exact"/>
              <w:ind w:right="142" w:rightChars="71" w:hanging="3"/>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是否存在招标文件第二章投标须知正文第1.5.4条规定的任何一种情形。其中，投标人存在进入清算程序，或被宣告破产，或其他丧失履约能力的情形的，应当如实填写具体情况，由评标委员会对是否会导致中标后合同无法履行作出判断。</w:t>
            </w:r>
          </w:p>
        </w:tc>
        <w:tc>
          <w:tcPr>
            <w:tcW w:w="3749" w:type="dxa"/>
            <w:gridSpan w:val="6"/>
            <w:tcBorders>
              <w:lef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135" w:type="dxa"/>
            <w:vAlign w:val="center"/>
          </w:tcPr>
          <w:p>
            <w:pPr>
              <w:pStyle w:val="105"/>
              <w:spacing w:before="107"/>
              <w:ind w:left="158" w:right="154"/>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c>
          <w:tcPr>
            <w:tcW w:w="8001" w:type="dxa"/>
            <w:gridSpan w:val="10"/>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投标人基本情况表附件见后页，附件是本表的组成部分。</w:t>
            </w:r>
          </w:p>
        </w:tc>
      </w:tr>
    </w:tbl>
    <w:p>
      <w:pPr>
        <w:pStyle w:val="15"/>
        <w:tabs>
          <w:tab w:val="left" w:pos="1000"/>
        </w:tabs>
        <w:spacing w:line="360" w:lineRule="auto"/>
        <w:ind w:firstLine="0"/>
        <w:rPr>
          <w:rFonts w:ascii="黑体" w:hAnsi="黑体" w:eastAsia="黑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黑体" w:hAnsi="黑体" w:eastAsia="黑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投</w:t>
      </w:r>
      <w:r>
        <w:rPr>
          <w:rFonts w:hint="eastAsia" w:ascii="黑体" w:hAnsi="黑体" w:eastAsia="黑体" w:cs="宋体"/>
          <w:color w:val="000000" w:themeColor="text1"/>
          <w:szCs w:val="21"/>
          <w:highlight w:val="none"/>
          <w14:textFill>
            <w14:solidFill>
              <w14:schemeClr w14:val="tx1"/>
            </w14:solidFill>
          </w14:textFill>
        </w:rPr>
        <w:t>标</w:t>
      </w:r>
      <w:r>
        <w:rPr>
          <w:rFonts w:hint="eastAsia" w:ascii="黑体" w:hAnsi="黑体" w:eastAsia="黑体"/>
          <w:color w:val="000000" w:themeColor="text1"/>
          <w:szCs w:val="21"/>
          <w:highlight w:val="none"/>
          <w14:textFill>
            <w14:solidFill>
              <w14:schemeClr w14:val="tx1"/>
            </w14:solidFill>
          </w14:textFill>
        </w:rPr>
        <w:t>人基本情况表附件：</w:t>
      </w:r>
    </w:p>
    <w:p>
      <w:pPr>
        <w:pStyle w:val="15"/>
        <w:tabs>
          <w:tab w:val="left" w:pos="1000"/>
        </w:tabs>
        <w:spacing w:line="360" w:lineRule="auto"/>
        <w:ind w:firstLine="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highlight w:val="none"/>
          <w14:textFill>
            <w14:solidFill>
              <w14:schemeClr w14:val="tx1"/>
            </w14:solidFill>
          </w14:textFill>
        </w:rPr>
        <w:t>资质证书（含变更证明文件）</w:t>
      </w:r>
      <w:r>
        <w:rPr>
          <w:rStyle w:val="49"/>
          <w:rFonts w:ascii="宋体" w:hAnsi="宋体" w:eastAsia="宋体"/>
          <w:color w:val="000000" w:themeColor="text1"/>
          <w:highlight w:val="none"/>
          <w14:textFill>
            <w14:solidFill>
              <w14:schemeClr w14:val="tx1"/>
            </w14:solidFill>
          </w14:textFill>
        </w:rPr>
        <w:footnoteReference w:id="55"/>
      </w:r>
    </w:p>
    <w:p>
      <w:pPr>
        <w:pStyle w:val="15"/>
        <w:tabs>
          <w:tab w:val="left" w:pos="1000"/>
        </w:tabs>
        <w:spacing w:line="360" w:lineRule="auto"/>
        <w:ind w:firstLine="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（2）营业执照（含变更证明文件）</w:t>
      </w:r>
      <w:r>
        <w:rPr>
          <w:rStyle w:val="49"/>
          <w:rFonts w:ascii="宋体" w:hAnsi="宋体" w:eastAsia="宋体"/>
          <w:color w:val="000000" w:themeColor="text1"/>
          <w:highlight w:val="none"/>
          <w14:textFill>
            <w14:solidFill>
              <w14:schemeClr w14:val="tx1"/>
            </w14:solidFill>
          </w14:textFill>
        </w:rPr>
        <w:footnoteReference w:id="56"/>
      </w:r>
    </w:p>
    <w:p>
      <w:pPr>
        <w:pStyle w:val="15"/>
        <w:tabs>
          <w:tab w:val="left" w:pos="1000"/>
        </w:tabs>
        <w:spacing w:line="360" w:lineRule="auto"/>
        <w:ind w:firstLine="0"/>
        <w:rPr>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（3）信用评价结果 （如有时，见下表）</w:t>
      </w:r>
    </w:p>
    <w:p>
      <w:pPr>
        <w:pStyle w:val="15"/>
        <w:tabs>
          <w:tab w:val="left" w:pos="1000"/>
        </w:tabs>
        <w:spacing w:line="360" w:lineRule="auto"/>
        <w:ind w:firstLine="0"/>
        <w:jc w:val="center"/>
        <w:rPr>
          <w:rFonts w:hint="eastAsia" w:ascii="黑体" w:hAnsi="黑体" w:eastAsia="黑体"/>
          <w:color w:val="000000" w:themeColor="text1"/>
          <w:sz w:val="28"/>
          <w:szCs w:val="28"/>
          <w:highlight w:val="none"/>
          <w14:textFill>
            <w14:solidFill>
              <w14:schemeClr w14:val="tx1"/>
            </w14:solidFill>
          </w14:textFill>
        </w:rPr>
      </w:pPr>
    </w:p>
    <w:p>
      <w:pPr>
        <w:pStyle w:val="15"/>
        <w:tabs>
          <w:tab w:val="left" w:pos="1000"/>
        </w:tabs>
        <w:spacing w:line="360" w:lineRule="auto"/>
        <w:ind w:firstLine="0"/>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信用评价结果表</w:t>
      </w:r>
      <w:r>
        <w:rPr>
          <w:rStyle w:val="49"/>
          <w:rFonts w:ascii="黑体" w:hAnsi="黑体" w:eastAsia="黑体"/>
          <w:color w:val="000000" w:themeColor="text1"/>
          <w:sz w:val="28"/>
          <w:szCs w:val="28"/>
          <w:highlight w:val="none"/>
          <w14:textFill>
            <w14:solidFill>
              <w14:schemeClr w14:val="tx1"/>
            </w14:solidFill>
          </w14:textFill>
        </w:rPr>
        <w:footnoteReference w:id="57"/>
      </w:r>
    </w:p>
    <w:tbl>
      <w:tblPr>
        <w:tblStyle w:val="42"/>
        <w:tblW w:w="85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信用评价部门</w:t>
            </w:r>
          </w:p>
        </w:tc>
        <w:tc>
          <w:tcPr>
            <w:tcW w:w="2835"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信用评价时间</w:t>
            </w:r>
          </w:p>
        </w:tc>
        <w:tc>
          <w:tcPr>
            <w:tcW w:w="1939"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信用得分/等级</w:t>
            </w:r>
          </w:p>
        </w:tc>
        <w:tc>
          <w:tcPr>
            <w:tcW w:w="1797"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排名（如有时）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2835"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939"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797"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2835"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939"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797"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2835"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939"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c>
          <w:tcPr>
            <w:tcW w:w="1797" w:type="dxa"/>
            <w:vAlign w:val="center"/>
          </w:tcPr>
          <w:p>
            <w:pPr>
              <w:spacing w:line="360" w:lineRule="auto"/>
              <w:jc w:val="center"/>
              <w:rPr>
                <w:rFonts w:ascii="宋体" w:hAnsi="宋体"/>
                <w:b/>
                <w:color w:val="000000" w:themeColor="text1"/>
                <w:sz w:val="21"/>
                <w:szCs w:val="21"/>
                <w:highlight w:val="none"/>
                <w14:textFill>
                  <w14:solidFill>
                    <w14:schemeClr w14:val="tx1"/>
                  </w14:solidFill>
                </w14:textFill>
              </w:rPr>
            </w:pPr>
          </w:p>
        </w:tc>
      </w:tr>
    </w:tbl>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附表2 法定代表人资格证明书和勘察项目负责人身份证明</w:t>
      </w: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2-1.法定代表人资格证明书</w:t>
      </w:r>
      <w:r>
        <w:rPr>
          <w:rFonts w:hint="eastAsia" w:ascii="宋体" w:hAnsi="宋体"/>
          <w:color w:val="000000" w:themeColor="text1"/>
          <w:szCs w:val="21"/>
          <w:highlight w:val="none"/>
          <w14:textFill>
            <w14:solidFill>
              <w14:schemeClr w14:val="tx1"/>
            </w14:solidFill>
          </w14:textFill>
        </w:rPr>
        <w:t>（格式）</w:t>
      </w: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pPr>
        <w:spacing w:after="100" w:afterAutospacing="1"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法定代表人</w:t>
      </w:r>
      <w:r>
        <w:rPr>
          <w:rFonts w:hint="eastAsia" w:ascii="黑体" w:hAnsi="黑体" w:eastAsia="黑体" w:cs="宋体"/>
          <w:color w:val="000000" w:themeColor="text1"/>
          <w:sz w:val="32"/>
          <w:szCs w:val="32"/>
          <w:highlight w:val="none"/>
          <w14:textFill>
            <w14:solidFill>
              <w14:schemeClr w14:val="tx1"/>
            </w14:solidFill>
          </w14:textFill>
        </w:rPr>
        <w:t>资</w:t>
      </w:r>
      <w:r>
        <w:rPr>
          <w:rFonts w:hint="eastAsia" w:ascii="黑体" w:hAnsi="黑体" w:eastAsia="黑体"/>
          <w:color w:val="000000" w:themeColor="text1"/>
          <w:sz w:val="32"/>
          <w:szCs w:val="32"/>
          <w:highlight w:val="none"/>
          <w14:textFill>
            <w14:solidFill>
              <w14:schemeClr w14:val="tx1"/>
            </w14:solidFill>
          </w14:textFill>
        </w:rPr>
        <w:t>格</w:t>
      </w:r>
      <w:r>
        <w:rPr>
          <w:rFonts w:hint="eastAsia" w:ascii="黑体" w:hAnsi="黑体" w:eastAsia="黑体" w:cs="宋体"/>
          <w:color w:val="000000" w:themeColor="text1"/>
          <w:sz w:val="32"/>
          <w:szCs w:val="32"/>
          <w:highlight w:val="none"/>
          <w14:textFill>
            <w14:solidFill>
              <w14:schemeClr w14:val="tx1"/>
            </w14:solidFill>
          </w14:textFill>
        </w:rPr>
        <w:t>证</w:t>
      </w:r>
      <w:r>
        <w:rPr>
          <w:rFonts w:hint="eastAsia" w:ascii="黑体" w:hAnsi="黑体" w:eastAsia="黑体"/>
          <w:color w:val="000000" w:themeColor="text1"/>
          <w:sz w:val="32"/>
          <w:szCs w:val="32"/>
          <w:highlight w:val="none"/>
          <w14:textFill>
            <w14:solidFill>
              <w14:schemeClr w14:val="tx1"/>
            </w14:solidFill>
          </w14:textFill>
        </w:rPr>
        <w:t>明书</w:t>
      </w:r>
      <w:r>
        <w:rPr>
          <w:rStyle w:val="49"/>
          <w:rFonts w:ascii="黑体" w:hAnsi="黑体" w:eastAsia="黑体"/>
          <w:color w:val="000000" w:themeColor="text1"/>
          <w:sz w:val="32"/>
          <w:szCs w:val="32"/>
          <w:highlight w:val="none"/>
          <w14:textFill>
            <w14:solidFill>
              <w14:schemeClr w14:val="tx1"/>
            </w14:solidFill>
          </w14:textFill>
        </w:rPr>
        <w:footnoteReference w:id="58"/>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位名称：</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身份证号码：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性</w:t>
      </w:r>
      <w:r>
        <w:rPr>
          <w:rFonts w:hint="eastAsia" w:ascii="宋体" w:hAnsi="宋体" w:cs="宋体"/>
          <w:color w:val="000000" w:themeColor="text1"/>
          <w:sz w:val="21"/>
          <w:szCs w:val="21"/>
          <w:highlight w:val="none"/>
          <w14:textFill>
            <w14:solidFill>
              <w14:schemeClr w14:val="tx1"/>
            </w14:solidFill>
          </w14:textFill>
        </w:rPr>
        <w:t>别</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年</w:t>
      </w:r>
      <w:r>
        <w:rPr>
          <w:rFonts w:hint="eastAsia" w:ascii="宋体" w:hAnsi="宋体" w:cs="宋体"/>
          <w:color w:val="000000" w:themeColor="text1"/>
          <w:sz w:val="21"/>
          <w:szCs w:val="21"/>
          <w:highlight w:val="none"/>
          <w14:textFill>
            <w14:solidFill>
              <w14:schemeClr w14:val="tx1"/>
            </w14:solidFill>
          </w14:textFill>
        </w:rPr>
        <w:t>龄</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职务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（投标人名称）的法定代表人。</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明。</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附：法定代表人身份证扫描件</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3675" w:firstLineChars="17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w:t>
      </w:r>
      <w:r>
        <w:rPr>
          <w:rFonts w:hint="eastAsia" w:ascii="宋体" w:hAnsi="宋体"/>
          <w:color w:val="000000" w:themeColor="text1"/>
          <w:sz w:val="21"/>
          <w:szCs w:val="21"/>
          <w:highlight w:val="none"/>
          <w:lang w:val="en-US" w:eastAsia="zh-CN"/>
          <w14:textFill>
            <w14:solidFill>
              <w14:schemeClr w14:val="tx1"/>
            </w14:solidFill>
          </w14:textFill>
        </w:rPr>
        <w:t>公</w:t>
      </w:r>
      <w:r>
        <w:rPr>
          <w:rFonts w:hint="eastAsia" w:ascii="宋体" w:hAnsi="宋体"/>
          <w:color w:val="000000" w:themeColor="text1"/>
          <w:sz w:val="21"/>
          <w:szCs w:val="21"/>
          <w:highlight w:val="none"/>
          <w14:textFill>
            <w14:solidFill>
              <w14:schemeClr w14:val="tx1"/>
            </w14:solidFill>
          </w14:textFill>
        </w:rPr>
        <w:t xml:space="preserve">章） </w:t>
      </w:r>
    </w:p>
    <w:p>
      <w:pPr>
        <w:spacing w:line="360" w:lineRule="auto"/>
        <w:ind w:firstLine="3675" w:firstLineChars="17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spacing w:line="360" w:lineRule="auto"/>
        <w:rPr>
          <w:rFonts w:ascii="宋体" w:hAnsi="宋体"/>
          <w:color w:val="000000" w:themeColor="text1"/>
          <w:sz w:val="21"/>
          <w:szCs w:val="21"/>
          <w:highlight w:val="none"/>
          <w14:textFill>
            <w14:solidFill>
              <w14:schemeClr w14:val="tx1"/>
            </w14:solidFill>
          </w14:textFill>
        </w:rPr>
      </w:pP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p>
    <w:p>
      <w:pPr>
        <w:spacing w:after="100" w:afterAutospacing="1" w:line="360" w:lineRule="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2-2勘察项目负责人身份证明</w:t>
      </w:r>
      <w:r>
        <w:rPr>
          <w:rFonts w:hint="eastAsia" w:ascii="宋体" w:hAnsi="宋体"/>
          <w:color w:val="000000" w:themeColor="text1"/>
          <w:szCs w:val="21"/>
          <w:highlight w:val="none"/>
          <w14:textFill>
            <w14:solidFill>
              <w14:schemeClr w14:val="tx1"/>
            </w14:solidFill>
          </w14:textFill>
        </w:rPr>
        <w:t>（格式）</w:t>
      </w:r>
    </w:p>
    <w:p>
      <w:pPr>
        <w:tabs>
          <w:tab w:val="left" w:pos="0"/>
          <w:tab w:val="left" w:pos="567"/>
          <w:tab w:val="left" w:pos="993"/>
          <w:tab w:val="left" w:pos="1134"/>
        </w:tabs>
        <w:snapToGrid w:val="0"/>
        <w:spacing w:beforeLines="100" w:line="30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勘察项目负责人身份证明</w:t>
      </w:r>
      <w:r>
        <w:rPr>
          <w:rStyle w:val="49"/>
          <w:rFonts w:ascii="黑体" w:hAnsi="黑体" w:eastAsia="黑体"/>
          <w:color w:val="000000" w:themeColor="text1"/>
          <w:sz w:val="32"/>
          <w:szCs w:val="32"/>
          <w:highlight w:val="none"/>
          <w14:textFill>
            <w14:solidFill>
              <w14:schemeClr w14:val="tx1"/>
            </w14:solidFill>
          </w14:textFill>
        </w:rPr>
        <w:footnoteReference w:id="59"/>
      </w:r>
    </w:p>
    <w:p>
      <w:pPr>
        <w:pStyle w:val="15"/>
        <w:spacing w:line="540" w:lineRule="exact"/>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单位名称：</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（投标人名称）  </w:t>
      </w:r>
    </w:p>
    <w:p>
      <w:pPr>
        <w:pStyle w:val="15"/>
        <w:spacing w:line="540" w:lineRule="exact"/>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（投标人地址）</w:t>
      </w:r>
    </w:p>
    <w:p>
      <w:pPr>
        <w:pStyle w:val="15"/>
        <w:spacing w:line="540" w:lineRule="exact"/>
        <w:ind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姓名：</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身份证号码：</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性别：</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年龄：</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职务：</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注册土木工程师（岩土）注册编号</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系</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（投标人名称）的拟担任</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（招标项目名称）勘察项目负责人并由其签署本项目投标的勘察文件。</w:t>
      </w:r>
    </w:p>
    <w:p>
      <w:pPr>
        <w:pStyle w:val="15"/>
        <w:spacing w:line="540" w:lineRule="exact"/>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特此证明</w:t>
      </w:r>
    </w:p>
    <w:p>
      <w:pPr>
        <w:pStyle w:val="15"/>
        <w:spacing w:line="540" w:lineRule="exact"/>
        <w:ind w:firstLineChars="200"/>
        <w:rPr>
          <w:rFonts w:ascii="宋体" w:hAnsi="宋体" w:eastAsia="宋体"/>
          <w:color w:val="000000" w:themeColor="text1"/>
          <w:szCs w:val="21"/>
          <w:highlight w:val="none"/>
          <w14:textFill>
            <w14:solidFill>
              <w14:schemeClr w14:val="tx1"/>
            </w14:solidFill>
          </w14:textFill>
        </w:rPr>
      </w:pPr>
    </w:p>
    <w:p>
      <w:pPr>
        <w:pStyle w:val="15"/>
        <w:spacing w:line="540" w:lineRule="exact"/>
        <w:ind w:firstLine="315" w:firstLineChars="1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附：勘察项目负责人身份证扫描件</w:t>
      </w:r>
    </w:p>
    <w:p>
      <w:pPr>
        <w:pStyle w:val="15"/>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pPr>
        <w:pStyle w:val="15"/>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pPr>
        <w:pStyle w:val="15"/>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pPr>
        <w:pStyle w:val="15"/>
        <w:spacing w:line="540" w:lineRule="exact"/>
        <w:ind w:firstLine="315" w:firstLineChars="150"/>
        <w:rPr>
          <w:rFonts w:ascii="宋体" w:hAnsi="宋体" w:eastAsia="宋体"/>
          <w:color w:val="000000" w:themeColor="text1"/>
          <w:szCs w:val="21"/>
          <w:highlight w:val="none"/>
          <w14:textFill>
            <w14:solidFill>
              <w14:schemeClr w14:val="tx1"/>
            </w14:solidFill>
          </w14:textFill>
        </w:rPr>
      </w:pPr>
    </w:p>
    <w:p>
      <w:pPr>
        <w:spacing w:line="360" w:lineRule="auto"/>
        <w:ind w:left="3358" w:leftChars="1679" w:firstLine="735" w:firstLineChars="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p>
    <w:p>
      <w:pPr>
        <w:spacing w:line="360" w:lineRule="auto"/>
        <w:ind w:firstLine="4095" w:firstLineChars="1950"/>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spacing w:line="360" w:lineRule="auto"/>
        <w:rPr>
          <w:rFonts w:ascii="宋体" w:hAnsi="宋体"/>
          <w:b/>
          <w:color w:val="000000" w:themeColor="text1"/>
          <w:sz w:val="21"/>
          <w:szCs w:val="21"/>
          <w:highlight w:val="none"/>
          <w14:textFill>
            <w14:solidFill>
              <w14:schemeClr w14:val="tx1"/>
            </w14:solidFill>
          </w14:textFill>
        </w:rPr>
      </w:pPr>
    </w:p>
    <w:p>
      <w:pPr>
        <w:spacing w:line="360" w:lineRule="auto"/>
        <w:rPr>
          <w:rFonts w:ascii="宋体" w:hAnsi="宋体"/>
          <w:b/>
          <w:color w:val="000000" w:themeColor="text1"/>
          <w:sz w:val="2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9"/>
        <w:spacing w:line="300" w:lineRule="auto"/>
        <w:outlineLvl w:val="3"/>
        <w:rPr>
          <w:rFonts w:ascii="宋体"/>
          <w:color w:val="000000" w:themeColor="text1"/>
          <w:kern w:val="2"/>
          <w:sz w:val="21"/>
          <w:szCs w:val="21"/>
          <w:highlight w:val="none"/>
          <w14:textFill>
            <w14:solidFill>
              <w14:schemeClr w14:val="tx1"/>
            </w14:solidFill>
          </w14:textFill>
        </w:rPr>
      </w:pPr>
      <w:r>
        <w:rPr>
          <w:rFonts w:hint="eastAsia" w:ascii="宋体"/>
          <w:color w:val="000000" w:themeColor="text1"/>
          <w:kern w:val="2"/>
          <w:sz w:val="21"/>
          <w:szCs w:val="21"/>
          <w:highlight w:val="none"/>
          <w14:textFill>
            <w14:solidFill>
              <w14:schemeClr w14:val="tx1"/>
            </w14:solidFill>
          </w14:textFill>
        </w:rPr>
        <w:t>附表3：投标人诚信承诺函（格式）</w:t>
      </w:r>
    </w:p>
    <w:p>
      <w:pPr>
        <w:pStyle w:val="19"/>
        <w:spacing w:line="300" w:lineRule="auto"/>
        <w:jc w:val="center"/>
        <w:outlineLvl w:val="3"/>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s="宋体"/>
          <w:color w:val="000000" w:themeColor="text1"/>
          <w:sz w:val="32"/>
          <w:szCs w:val="32"/>
          <w:highlight w:val="none"/>
          <w14:textFill>
            <w14:solidFill>
              <w14:schemeClr w14:val="tx1"/>
            </w14:solidFill>
          </w14:textFill>
        </w:rPr>
        <w:t>投标人诚信承诺函</w:t>
      </w:r>
      <w:r>
        <w:rPr>
          <w:rStyle w:val="49"/>
          <w:rFonts w:ascii="黑体" w:hAnsi="黑体" w:eastAsia="黑体" w:cs="宋体"/>
          <w:color w:val="000000" w:themeColor="text1"/>
          <w:sz w:val="32"/>
          <w:szCs w:val="32"/>
          <w:highlight w:val="none"/>
          <w14:textFill>
            <w14:solidFill>
              <w14:schemeClr w14:val="tx1"/>
            </w14:solidFill>
          </w14:textFill>
        </w:rPr>
        <w:footnoteReference w:id="60"/>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（招标人名称）：</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我单位参与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（招标项目名称及标段）的投标。作为法定代表人，本人清楚知晓我单位在本项目投标活动的情况。本人已详细阅读承诺函的内容，并在此郑重承诺：</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一、我单位和我本人遵循公开、公平、公正、诚实守信的原则，依法依规参与本项目投标，没有串通投标、弄虚作假，没有借用资质给他人投标。</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二、经确认，我单位在本项目投标过程中：</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（一）从招标公告/投标邀请书列明的渠道获取招标文件，没有通过其他不正当渠道获取招标文件。</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（二）使用本单位自有办公设备编制、递交、解密投标文件。</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（三）没有向其他投标人提供本单位的投标文件信息，也没有获取他人的投标文件信息。</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（四）由本单位在岗人员办理投标保证金事宜。</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（五）授权委托的投标代理人为本单位</w:t>
      </w:r>
      <w:r>
        <w:rPr>
          <w:rFonts w:hint="eastAsia" w:ascii="宋体" w:hAnsi="宋体"/>
          <w:color w:val="000000" w:themeColor="text1"/>
          <w:sz w:val="21"/>
          <w:szCs w:val="21"/>
          <w:highlight w:val="none"/>
          <w14:textFill>
            <w14:solidFill>
              <w14:schemeClr w14:val="tx1"/>
            </w14:solidFill>
          </w14:textFill>
        </w:rPr>
        <w:t>正式在岗职工</w:t>
      </w:r>
      <w:r>
        <w:rPr>
          <w:rFonts w:hint="eastAsia" w:ascii="宋体" w:hAnsi="宋体"/>
          <w:color w:val="000000" w:themeColor="text1"/>
          <w:sz w:val="21"/>
          <w:szCs w:val="21"/>
          <w:highlight w:val="none"/>
          <w:shd w:val="clear" w:color="auto" w:fill="FFFFFF"/>
          <w14:textFill>
            <w14:solidFill>
              <w14:schemeClr w14:val="tx1"/>
            </w14:solidFill>
          </w14:textFill>
        </w:rPr>
        <w:t>。</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（六）递交的投标文件及其有关资料（包括第三方提供的资料）没有弄虚作假。</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（一）不同投标人的电子投标文件使用同一台计算机上传、解密（开标现场上传、解密除外）。</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（二）不同投标人的电子投标文件使用同一台计算机编制。</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（三）不同投标人的投标报价文件使用同一台计算机编制。</w:t>
      </w:r>
    </w:p>
    <w:p>
      <w:pPr>
        <w:spacing w:line="360" w:lineRule="auto"/>
        <w:ind w:firstLine="420" w:firstLineChars="200"/>
        <w:rPr>
          <w:rFonts w:ascii="宋体" w:hAnsi="宋体"/>
          <w:color w:val="000000" w:themeColor="text1"/>
          <w:sz w:val="21"/>
          <w:szCs w:val="21"/>
          <w:highlight w:val="none"/>
          <w:shd w:val="clear" w:color="auto" w:fill="FFFFFF"/>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（四）符合《中华人民共和国招标投标法》《中华人民共和国招标投标法实施条例》串通投标认定的其他行为。</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shd w:val="clear" w:color="auto" w:fill="FFFFFF"/>
          <w14:textFill>
            <w14:solidFill>
              <w14:schemeClr w14:val="tx1"/>
            </w14:solidFill>
          </w14:textFill>
        </w:rPr>
        <w:t>四、</w:t>
      </w:r>
      <w:r>
        <w:rPr>
          <w:rFonts w:hint="eastAsia" w:ascii="宋体" w:hAnsi="宋体"/>
          <w:color w:val="000000" w:themeColor="text1"/>
          <w:sz w:val="21"/>
          <w:szCs w:val="21"/>
          <w:highlight w:val="none"/>
          <w14:textFill>
            <w14:solidFill>
              <w14:schemeClr w14:val="tx1"/>
            </w14:solidFill>
          </w14:textFill>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五、我单位如在本项目招标投标活动评标工作中存在串通投标、弄虚作假以及出借他人资质的，本人自愿承担法律责任，接受相应刑事、纪律和行政处罚以及失信惩戒。</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六、本承诺函由我单位盖章及法定代表人亲自签字确认。</w:t>
      </w:r>
    </w:p>
    <w:p>
      <w:pPr>
        <w:spacing w:line="520" w:lineRule="exact"/>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2940" w:firstLineChars="1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（盖投标人单位实体公章）</w:t>
      </w:r>
      <w:r>
        <w:rPr>
          <w:rStyle w:val="49"/>
          <w:rFonts w:ascii="宋体" w:hAnsi="宋体"/>
          <w:color w:val="000000" w:themeColor="text1"/>
          <w:sz w:val="21"/>
          <w:szCs w:val="21"/>
          <w:highlight w:val="none"/>
          <w14:textFill>
            <w14:solidFill>
              <w14:schemeClr w14:val="tx1"/>
            </w14:solidFill>
          </w14:textFill>
        </w:rPr>
        <w:footnoteReference w:id="61"/>
      </w:r>
    </w:p>
    <w:p>
      <w:pPr>
        <w:spacing w:line="360" w:lineRule="auto"/>
        <w:ind w:firstLine="2940" w:firstLineChars="1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r>
        <w:rPr>
          <w:rStyle w:val="49"/>
          <w:rFonts w:ascii="宋体" w:hAnsi="宋体"/>
          <w:color w:val="000000" w:themeColor="text1"/>
          <w:sz w:val="21"/>
          <w:szCs w:val="21"/>
          <w:highlight w:val="none"/>
          <w14:textFill>
            <w14:solidFill>
              <w14:schemeClr w14:val="tx1"/>
            </w14:solidFill>
          </w14:textFill>
        </w:rPr>
        <w:footnoteReference w:id="62"/>
      </w:r>
    </w:p>
    <w:p>
      <w:pPr>
        <w:pStyle w:val="15"/>
        <w:tabs>
          <w:tab w:val="left" w:pos="1000"/>
        </w:tabs>
        <w:spacing w:line="360" w:lineRule="auto"/>
        <w:ind w:firstLine="2940" w:firstLineChars="14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承诺时间：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br w:type="page"/>
      </w: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附表4：授权委托书（格式）</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授</w:t>
      </w:r>
      <w:r>
        <w:rPr>
          <w:rFonts w:hint="eastAsia" w:ascii="黑体" w:hAnsi="黑体" w:eastAsia="黑体" w:cs="宋体"/>
          <w:color w:val="000000" w:themeColor="text1"/>
          <w:sz w:val="32"/>
          <w:szCs w:val="32"/>
          <w:highlight w:val="none"/>
          <w14:textFill>
            <w14:solidFill>
              <w14:schemeClr w14:val="tx1"/>
            </w14:solidFill>
          </w14:textFill>
        </w:rPr>
        <w:t>权</w:t>
      </w:r>
      <w:r>
        <w:rPr>
          <w:rFonts w:hint="eastAsia" w:ascii="黑体" w:hAnsi="黑体" w:eastAsia="黑体"/>
          <w:color w:val="000000" w:themeColor="text1"/>
          <w:sz w:val="32"/>
          <w:szCs w:val="32"/>
          <w:highlight w:val="none"/>
          <w14:textFill>
            <w14:solidFill>
              <w14:schemeClr w14:val="tx1"/>
            </w14:solidFill>
          </w14:textFill>
        </w:rPr>
        <w:t>委托</w:t>
      </w:r>
      <w:r>
        <w:rPr>
          <w:rFonts w:hint="eastAsia" w:ascii="黑体" w:hAnsi="黑体" w:eastAsia="黑体" w:cs="宋体"/>
          <w:color w:val="000000" w:themeColor="text1"/>
          <w:sz w:val="32"/>
          <w:szCs w:val="32"/>
          <w:highlight w:val="none"/>
          <w14:textFill>
            <w14:solidFill>
              <w14:schemeClr w14:val="tx1"/>
            </w14:solidFill>
          </w14:textFill>
        </w:rPr>
        <w:t>书</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w:t>
      </w:r>
      <w:r>
        <w:rPr>
          <w:rFonts w:hint="eastAsia" w:ascii="宋体" w:hAnsi="宋体" w:cs="宋体"/>
          <w:color w:val="000000" w:themeColor="text1"/>
          <w:sz w:val="21"/>
          <w:szCs w:val="21"/>
          <w:highlight w:val="none"/>
          <w14:textFill>
            <w14:solidFill>
              <w14:schemeClr w14:val="tx1"/>
            </w14:solidFill>
          </w14:textFill>
        </w:rPr>
        <w:t>权书</w:t>
      </w:r>
      <w:r>
        <w:rPr>
          <w:rFonts w:hint="eastAsia" w:ascii="宋体" w:hAnsi="宋体"/>
          <w:color w:val="000000" w:themeColor="text1"/>
          <w:sz w:val="21"/>
          <w:szCs w:val="21"/>
          <w:highlight w:val="none"/>
          <w14:textFill>
            <w14:solidFill>
              <w14:schemeClr w14:val="tx1"/>
            </w14:solidFill>
          </w14:textFill>
        </w:rPr>
        <w:t>宣告，在下面</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（法定代表人姓名）以法定代表人身份代表本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（授权委托人姓名），其身份证号码为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，作为</w:t>
      </w:r>
      <w:r>
        <w:rPr>
          <w:rFonts w:hint="eastAsia" w:ascii="宋体" w:hAnsi="宋体"/>
          <w:color w:val="000000" w:themeColor="text1"/>
          <w:sz w:val="21"/>
          <w:szCs w:val="21"/>
          <w:highlight w:val="none"/>
          <w14:textFill>
            <w14:solidFill>
              <w14:schemeClr w14:val="tx1"/>
            </w14:solidFill>
          </w14:textFill>
        </w:rPr>
        <w:t>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位的合法授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其在编号为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w:t>
      </w:r>
      <w:r>
        <w:rPr>
          <w:rFonts w:hint="eastAsia" w:ascii="宋体" w:hAnsi="宋体" w:cs="宋体"/>
          <w:color w:val="000000" w:themeColor="text1"/>
          <w:sz w:val="21"/>
          <w:szCs w:val="21"/>
          <w:highlight w:val="none"/>
          <w14:textFill>
            <w14:solidFill>
              <w14:schemeClr w14:val="tx1"/>
            </w14:solidFill>
          </w14:textFill>
        </w:rPr>
        <w:t>勘察</w:t>
      </w:r>
      <w:r>
        <w:rPr>
          <w:rFonts w:hint="eastAsia" w:ascii="宋体" w:hAnsi="宋体"/>
          <w:color w:val="000000" w:themeColor="text1"/>
          <w:sz w:val="21"/>
          <w:szCs w:val="21"/>
          <w:highlight w:val="none"/>
          <w14:textFill>
            <w14:solidFill>
              <w14:schemeClr w14:val="tx1"/>
            </w14:solidFill>
          </w14:textFill>
        </w:rPr>
        <w:t>招投标活</w:t>
      </w:r>
      <w:r>
        <w:rPr>
          <w:rFonts w:hint="eastAsia" w:ascii="宋体" w:hAnsi="宋体" w:cs="宋体"/>
          <w:color w:val="000000" w:themeColor="text1"/>
          <w:sz w:val="21"/>
          <w:szCs w:val="21"/>
          <w:highlight w:val="none"/>
          <w14:textFill>
            <w14:solidFill>
              <w14:schemeClr w14:val="tx1"/>
            </w14:solidFill>
          </w14:textFill>
        </w:rPr>
        <w:t>动</w:t>
      </w:r>
      <w:r>
        <w:rPr>
          <w:rFonts w:hint="eastAsia" w:ascii="宋体" w:hAnsi="宋体"/>
          <w:color w:val="000000" w:themeColor="text1"/>
          <w:sz w:val="21"/>
          <w:szCs w:val="21"/>
          <w:highlight w:val="none"/>
          <w14:textFill>
            <w14:solidFill>
              <w14:schemeClr w14:val="tx1"/>
            </w14:solidFill>
          </w14:textFill>
        </w:rPr>
        <w:t>中，以本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位的名</w:t>
      </w:r>
      <w:r>
        <w:rPr>
          <w:rFonts w:hint="eastAsia" w:ascii="宋体" w:hAnsi="宋体" w:cs="宋体"/>
          <w:color w:val="000000" w:themeColor="text1"/>
          <w:sz w:val="21"/>
          <w:szCs w:val="21"/>
          <w:highlight w:val="none"/>
          <w14:textFill>
            <w14:solidFill>
              <w14:schemeClr w14:val="tx1"/>
            </w14:solidFill>
          </w14:textFill>
        </w:rPr>
        <w:t>义</w:t>
      </w:r>
      <w:r>
        <w:rPr>
          <w:rFonts w:hint="eastAsia" w:ascii="宋体" w:hAnsi="宋体"/>
          <w:color w:val="000000" w:themeColor="text1"/>
          <w:sz w:val="21"/>
          <w:szCs w:val="21"/>
          <w:highlight w:val="none"/>
          <w14:textFill>
            <w14:solidFill>
              <w14:schemeClr w14:val="tx1"/>
            </w14:solidFill>
          </w14:textFill>
        </w:rPr>
        <w:t>，并代表本人与你</w:t>
      </w:r>
      <w:r>
        <w:rPr>
          <w:rFonts w:hint="eastAsia" w:ascii="宋体" w:hAnsi="宋体" w:cs="宋体"/>
          <w:color w:val="000000" w:themeColor="text1"/>
          <w:sz w:val="21"/>
          <w:szCs w:val="21"/>
          <w:highlight w:val="none"/>
          <w14:textFill>
            <w14:solidFill>
              <w14:schemeClr w14:val="tx1"/>
            </w14:solidFill>
          </w14:textFill>
        </w:rPr>
        <w:t>们进</w:t>
      </w:r>
      <w:r>
        <w:rPr>
          <w:rFonts w:hint="eastAsia" w:ascii="宋体" w:hAnsi="宋体"/>
          <w:color w:val="000000" w:themeColor="text1"/>
          <w:sz w:val="21"/>
          <w:szCs w:val="21"/>
          <w:highlight w:val="none"/>
          <w14:textFill>
            <w14:solidFill>
              <w14:schemeClr w14:val="tx1"/>
            </w14:solidFill>
          </w14:textFill>
        </w:rPr>
        <w:t>行磋商、</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署文件和</w:t>
      </w:r>
      <w:r>
        <w:rPr>
          <w:rFonts w:hint="eastAsia" w:ascii="宋体" w:hAnsi="宋体" w:cs="宋体"/>
          <w:color w:val="000000" w:themeColor="text1"/>
          <w:sz w:val="21"/>
          <w:szCs w:val="21"/>
          <w:highlight w:val="none"/>
          <w14:textFill>
            <w14:solidFill>
              <w14:schemeClr w14:val="tx1"/>
            </w14:solidFill>
          </w14:textFill>
        </w:rPr>
        <w:t>处</w:t>
      </w:r>
      <w:r>
        <w:rPr>
          <w:rFonts w:hint="eastAsia" w:ascii="宋体" w:hAnsi="宋体"/>
          <w:color w:val="000000" w:themeColor="text1"/>
          <w:sz w:val="21"/>
          <w:szCs w:val="21"/>
          <w:highlight w:val="none"/>
          <w14:textFill>
            <w14:solidFill>
              <w14:schemeClr w14:val="tx1"/>
            </w14:solidFill>
          </w14:textFill>
        </w:rPr>
        <w:t>理一切与此事有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的事</w:t>
      </w:r>
      <w:r>
        <w:rPr>
          <w:rFonts w:hint="eastAsia" w:ascii="宋体" w:hAnsi="宋体" w:cs="宋体"/>
          <w:color w:val="000000" w:themeColor="text1"/>
          <w:sz w:val="21"/>
          <w:szCs w:val="21"/>
          <w:highlight w:val="none"/>
          <w14:textFill>
            <w14:solidFill>
              <w14:schemeClr w14:val="tx1"/>
            </w14:solidFill>
          </w14:textFill>
        </w:rPr>
        <w:t>务</w:t>
      </w: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代表的一切行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均代表本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位，与本人的行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具有同等法律效力。本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位将承担授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的全部法律</w:t>
      </w:r>
      <w:r>
        <w:rPr>
          <w:rFonts w:hint="eastAsia" w:ascii="宋体" w:hAnsi="宋体" w:cs="宋体"/>
          <w:color w:val="000000" w:themeColor="text1"/>
          <w:sz w:val="21"/>
          <w:szCs w:val="21"/>
          <w:highlight w:val="none"/>
          <w14:textFill>
            <w14:solidFill>
              <w14:schemeClr w14:val="tx1"/>
            </w14:solidFill>
          </w14:textFill>
        </w:rPr>
        <w:t>责</w:t>
      </w:r>
      <w:r>
        <w:rPr>
          <w:rFonts w:hint="eastAsia" w:ascii="宋体" w:hAnsi="宋体"/>
          <w:color w:val="000000" w:themeColor="text1"/>
          <w:sz w:val="21"/>
          <w:szCs w:val="21"/>
          <w:highlight w:val="none"/>
          <w14:textFill>
            <w14:solidFill>
              <w14:schemeClr w14:val="tx1"/>
            </w14:solidFill>
          </w14:textFill>
        </w:rPr>
        <w:t>任和后果。</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本授权委托书期限自</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日起至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日止。</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代表无</w:t>
      </w:r>
      <w:r>
        <w:rPr>
          <w:rFonts w:hint="eastAsia" w:ascii="宋体" w:hAnsi="宋体" w:cs="宋体"/>
          <w:color w:val="000000" w:themeColor="text1"/>
          <w:sz w:val="21"/>
          <w:szCs w:val="21"/>
          <w:highlight w:val="none"/>
          <w14:textFill>
            <w14:solidFill>
              <w14:schemeClr w14:val="tx1"/>
            </w14:solidFill>
          </w14:textFill>
        </w:rPr>
        <w:t>权转让</w:t>
      </w:r>
      <w:r>
        <w:rPr>
          <w:rFonts w:hint="eastAsia" w:ascii="宋体" w:hAnsi="宋体"/>
          <w:color w:val="000000" w:themeColor="text1"/>
          <w:sz w:val="21"/>
          <w:szCs w:val="21"/>
          <w:highlight w:val="none"/>
          <w14:textFill>
            <w14:solidFill>
              <w14:schemeClr w14:val="tx1"/>
            </w14:solidFill>
          </w14:textFill>
        </w:rPr>
        <w:t>委托</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，特此委托。</w:t>
      </w:r>
    </w:p>
    <w:p>
      <w:pPr>
        <w:pStyle w:val="15"/>
        <w:spacing w:line="360" w:lineRule="auto"/>
        <w:ind w:firstLine="315" w:firstLineChars="150"/>
        <w:rPr>
          <w:rFonts w:hint="eastAsia" w:ascii="宋体" w:hAnsi="宋体" w:eastAsia="宋体"/>
          <w:color w:val="000000" w:themeColor="text1"/>
          <w:szCs w:val="21"/>
          <w:highlight w:val="none"/>
          <w14:textFill>
            <w14:solidFill>
              <w14:schemeClr w14:val="tx1"/>
            </w14:solidFill>
          </w14:textFill>
        </w:rPr>
      </w:pPr>
    </w:p>
    <w:p>
      <w:pPr>
        <w:pStyle w:val="15"/>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附：1.</w:t>
      </w:r>
      <w:r>
        <w:rPr>
          <w:rFonts w:hint="eastAsia" w:ascii="宋体" w:hAnsi="宋体"/>
          <w:color w:val="000000" w:themeColor="text1"/>
          <w:szCs w:val="21"/>
          <w:highlight w:val="none"/>
          <w14:textFill>
            <w14:solidFill>
              <w14:schemeClr w14:val="tx1"/>
            </w14:solidFill>
          </w14:textFill>
        </w:rPr>
        <w:t>授权委托人身份证扫描件</w:t>
      </w:r>
    </w:p>
    <w:p>
      <w:pPr>
        <w:pStyle w:val="15"/>
        <w:spacing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2.授权委托人系投标人本单位正式在岗职工</w:t>
      </w:r>
      <w:r>
        <w:rPr>
          <w:rStyle w:val="49"/>
          <w:rFonts w:ascii="宋体" w:hAnsi="宋体"/>
          <w:color w:val="000000" w:themeColor="text1"/>
          <w:szCs w:val="21"/>
          <w:highlight w:val="none"/>
          <w14:textFill>
            <w14:solidFill>
              <w14:schemeClr w14:val="tx1"/>
            </w14:solidFill>
          </w14:textFill>
        </w:rPr>
        <w:footnoteReference w:id="63"/>
      </w:r>
      <w:r>
        <w:rPr>
          <w:rFonts w:hint="eastAsia" w:ascii="宋体" w:hAnsi="宋体" w:eastAsia="宋体"/>
          <w:color w:val="000000" w:themeColor="text1"/>
          <w:szCs w:val="21"/>
          <w:highlight w:val="none"/>
          <w14:textFill>
            <w14:solidFill>
              <w14:schemeClr w14:val="tx1"/>
            </w14:solidFill>
          </w14:textFill>
        </w:rPr>
        <w:t>（以住房城乡建设行政主管部门核发的有效执业资格证书证明或社保管理部门出具的社保缴费证明所署单位为准）的证明材料扫描件。</w:t>
      </w:r>
    </w:p>
    <w:p>
      <w:pPr>
        <w:spacing w:line="360" w:lineRule="auto"/>
        <w:rPr>
          <w:rFonts w:ascii="宋体" w:hAnsi="宋体"/>
          <w:color w:val="000000" w:themeColor="text1"/>
          <w:sz w:val="21"/>
          <w:szCs w:val="21"/>
          <w:highlight w:val="none"/>
          <w14:textFill>
            <w14:solidFill>
              <w14:schemeClr w14:val="tx1"/>
            </w14:solidFill>
          </w14:textFill>
        </w:rPr>
      </w:pPr>
    </w:p>
    <w:p>
      <w:pPr>
        <w:spacing w:line="360" w:lineRule="auto"/>
        <w:rPr>
          <w:rFonts w:ascii="宋体" w:hAnsi="宋体"/>
          <w:color w:val="000000" w:themeColor="text1"/>
          <w:sz w:val="21"/>
          <w:szCs w:val="21"/>
          <w:highlight w:val="none"/>
          <w14:textFill>
            <w14:solidFill>
              <w14:schemeClr w14:val="tx1"/>
            </w14:solidFill>
          </w14:textFill>
        </w:rPr>
      </w:pPr>
    </w:p>
    <w:p>
      <w:pPr>
        <w:spacing w:line="360" w:lineRule="auto"/>
        <w:rPr>
          <w:rFonts w:ascii="宋体" w:hAnsi="宋体"/>
          <w:color w:val="000000" w:themeColor="text1"/>
          <w:sz w:val="21"/>
          <w:szCs w:val="21"/>
          <w:highlight w:val="none"/>
          <w14:textFill>
            <w14:solidFill>
              <w14:schemeClr w14:val="tx1"/>
            </w14:solidFill>
          </w14:textFill>
        </w:rPr>
      </w:pPr>
    </w:p>
    <w:p>
      <w:pPr>
        <w:spacing w:line="360" w:lineRule="auto"/>
        <w:ind w:firstLine="3685" w:firstLineChars="1755"/>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r>
        <w:rPr>
          <w:rStyle w:val="49"/>
          <w:rFonts w:ascii="宋体" w:hAnsi="宋体"/>
          <w:color w:val="000000" w:themeColor="text1"/>
          <w:sz w:val="21"/>
          <w:szCs w:val="21"/>
          <w:highlight w:val="none"/>
          <w14:textFill>
            <w14:solidFill>
              <w14:schemeClr w14:val="tx1"/>
            </w14:solidFill>
          </w14:textFill>
        </w:rPr>
        <w:footnoteReference w:id="64"/>
      </w:r>
    </w:p>
    <w:p>
      <w:pPr>
        <w:spacing w:line="360" w:lineRule="auto"/>
        <w:ind w:firstLine="3685" w:firstLineChars="1755"/>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r>
        <w:rPr>
          <w:rStyle w:val="49"/>
          <w:rFonts w:ascii="宋体" w:hAnsi="宋体"/>
          <w:color w:val="000000" w:themeColor="text1"/>
          <w:sz w:val="21"/>
          <w:szCs w:val="21"/>
          <w:highlight w:val="none"/>
          <w14:textFill>
            <w14:solidFill>
              <w14:schemeClr w14:val="tx1"/>
            </w14:solidFill>
          </w14:textFill>
        </w:rPr>
        <w:footnoteReference w:id="65"/>
      </w:r>
    </w:p>
    <w:p>
      <w:pPr>
        <w:spacing w:line="360" w:lineRule="auto"/>
        <w:ind w:firstLine="3685" w:firstLineChars="1755"/>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委托人：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r>
        <w:rPr>
          <w:rStyle w:val="49"/>
          <w:rFonts w:ascii="宋体" w:hAnsi="宋体"/>
          <w:color w:val="000000" w:themeColor="text1"/>
          <w:sz w:val="21"/>
          <w:szCs w:val="21"/>
          <w:highlight w:val="none"/>
          <w14:textFill>
            <w14:solidFill>
              <w14:schemeClr w14:val="tx1"/>
            </w14:solidFill>
          </w14:textFill>
        </w:rPr>
        <w:footnoteReference w:id="66"/>
      </w:r>
    </w:p>
    <w:p>
      <w:pPr>
        <w:spacing w:line="360" w:lineRule="auto"/>
        <w:ind w:firstLine="3685" w:firstLineChars="1755"/>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日期：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spacing w:line="360" w:lineRule="auto"/>
        <w:rPr>
          <w:rFonts w:ascii="宋体" w:hAnsi="宋体"/>
          <w:color w:val="000000" w:themeColor="text1"/>
          <w:sz w:val="2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附表5：拟担任本项目勘察人员汇总表（格式）</w:t>
      </w:r>
    </w:p>
    <w:p>
      <w:pPr>
        <w:tabs>
          <w:tab w:val="left" w:pos="0"/>
          <w:tab w:val="left" w:pos="567"/>
          <w:tab w:val="left" w:pos="993"/>
          <w:tab w:val="left" w:pos="1134"/>
        </w:tabs>
        <w:snapToGrid w:val="0"/>
        <w:spacing w:beforeLines="50" w:line="300" w:lineRule="auto"/>
        <w:jc w:val="center"/>
        <w:rPr>
          <w:rFonts w:ascii="黑体" w:hAnsi="黑体" w:eastAsia="黑体"/>
          <w:color w:val="000000" w:themeColor="text1"/>
          <w:kern w:val="2"/>
          <w:sz w:val="32"/>
          <w:szCs w:val="32"/>
          <w:highlight w:val="none"/>
          <w14:textFill>
            <w14:solidFill>
              <w14:schemeClr w14:val="tx1"/>
            </w14:solidFill>
          </w14:textFill>
        </w:rPr>
      </w:pPr>
      <w:r>
        <w:rPr>
          <w:rFonts w:hint="eastAsia" w:ascii="黑体" w:hAnsi="黑体" w:eastAsia="黑体"/>
          <w:color w:val="000000" w:themeColor="text1"/>
          <w:kern w:val="2"/>
          <w:sz w:val="32"/>
          <w:szCs w:val="32"/>
          <w:highlight w:val="none"/>
          <w14:textFill>
            <w14:solidFill>
              <w14:schemeClr w14:val="tx1"/>
            </w14:solidFill>
          </w14:textFill>
        </w:rPr>
        <w:t>拟担任本项目勘察人员汇总表</w:t>
      </w:r>
      <w:r>
        <w:rPr>
          <w:rStyle w:val="49"/>
          <w:rFonts w:ascii="黑体" w:hAnsi="黑体" w:eastAsia="黑体"/>
          <w:color w:val="000000" w:themeColor="text1"/>
          <w:kern w:val="2"/>
          <w:sz w:val="32"/>
          <w:szCs w:val="32"/>
          <w:highlight w:val="none"/>
          <w14:textFill>
            <w14:solidFill>
              <w14:schemeClr w14:val="tx1"/>
            </w14:solidFill>
          </w14:textFill>
        </w:rPr>
        <w:footnoteReference w:id="67"/>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335"/>
        <w:gridCol w:w="851"/>
        <w:gridCol w:w="992"/>
        <w:gridCol w:w="722"/>
        <w:gridCol w:w="1830"/>
        <w:gridCol w:w="113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835" w:type="dxa"/>
            <w:gridSpan w:val="2"/>
            <w:tcBorders>
              <w:top w:val="single" w:color="auto" w:sz="8" w:space="0"/>
              <w:lef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岗位名称</w:t>
            </w:r>
          </w:p>
        </w:tc>
        <w:tc>
          <w:tcPr>
            <w:tcW w:w="851" w:type="dxa"/>
            <w:tcBorders>
              <w:top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姓名</w:t>
            </w:r>
          </w:p>
        </w:tc>
        <w:tc>
          <w:tcPr>
            <w:tcW w:w="992" w:type="dxa"/>
            <w:tcBorders>
              <w:top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执业资格/职称</w:t>
            </w:r>
          </w:p>
        </w:tc>
        <w:tc>
          <w:tcPr>
            <w:tcW w:w="722" w:type="dxa"/>
            <w:tcBorders>
              <w:top w:val="single" w:color="auto" w:sz="8" w:space="0"/>
              <w:right w:val="single" w:color="auto" w:sz="8" w:space="0"/>
            </w:tcBorders>
            <w:vAlign w:val="center"/>
          </w:tcPr>
          <w:p>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现任</w:t>
            </w:r>
          </w:p>
          <w:p>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职务</w:t>
            </w:r>
          </w:p>
        </w:tc>
        <w:tc>
          <w:tcPr>
            <w:tcW w:w="1830" w:type="dxa"/>
            <w:tcBorders>
              <w:top w:val="single" w:color="auto" w:sz="8" w:space="0"/>
              <w:right w:val="single" w:color="auto" w:sz="8" w:space="0"/>
            </w:tcBorders>
            <w:vAlign w:val="center"/>
          </w:tcPr>
          <w:p>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从事勘察年限、经验和在该项目中担任的职务</w:t>
            </w:r>
          </w:p>
        </w:tc>
        <w:tc>
          <w:tcPr>
            <w:tcW w:w="1134" w:type="dxa"/>
            <w:tcBorders>
              <w:top w:val="single" w:color="auto" w:sz="8" w:space="0"/>
              <w:right w:val="single" w:color="auto" w:sz="8" w:space="0"/>
            </w:tcBorders>
            <w:vAlign w:val="center"/>
          </w:tcPr>
          <w:p>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是否驻施工现场</w:t>
            </w:r>
          </w:p>
        </w:tc>
        <w:tc>
          <w:tcPr>
            <w:tcW w:w="996" w:type="dxa"/>
            <w:tcBorders>
              <w:top w:val="single" w:color="auto" w:sz="8" w:space="0"/>
              <w:right w:val="single" w:color="auto" w:sz="8" w:space="0"/>
            </w:tcBorders>
            <w:vAlign w:val="center"/>
          </w:tcPr>
          <w:p>
            <w:pPr>
              <w:spacing w:line="240" w:lineRule="auto"/>
              <w:jc w:val="center"/>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00" w:type="dxa"/>
            <w:vMerge w:val="restart"/>
            <w:tcBorders>
              <w:left w:val="single" w:color="auto" w:sz="8" w:space="0"/>
              <w:right w:val="single" w:color="auto" w:sz="4"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总部</w:t>
            </w:r>
          </w:p>
        </w:tc>
        <w:tc>
          <w:tcPr>
            <w:tcW w:w="2335" w:type="dxa"/>
            <w:tcBorders>
              <w:left w:val="single" w:color="auto" w:sz="4"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项目主管</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技术主管</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500" w:type="dxa"/>
            <w:vMerge w:val="restart"/>
            <w:tcBorders>
              <w:left w:val="single" w:color="auto" w:sz="8" w:space="0"/>
              <w:right w:val="single" w:color="auto" w:sz="4"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项目主要勘察人员</w:t>
            </w:r>
          </w:p>
        </w:tc>
        <w:tc>
          <w:tcPr>
            <w:tcW w:w="2335" w:type="dxa"/>
            <w:tcBorders>
              <w:left w:val="single" w:color="auto" w:sz="4" w:space="0"/>
            </w:tcBorders>
            <w:vAlign w:val="center"/>
          </w:tcPr>
          <w:p>
            <w:pPr>
              <w:pStyle w:val="15"/>
              <w:spacing w:line="24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勘察项目负责人〔注册土木工程师（岩土）〕（必须填写）</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勘察现场施工负责人（如有，必须填写）</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勘察现场测试负责人（如有，必须填写）</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勘察设计负责人（如有，必须填写）</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室内试验负责人（如有，必须填写）</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tcMar>
              <w:left w:w="28" w:type="dxa"/>
              <w:right w:w="28" w:type="dxa"/>
            </w:tcMar>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rPr>
                <w:rFonts w:ascii="宋体" w:hAnsi="宋体" w:eastAsia="宋体"/>
                <w:color w:val="000000" w:themeColor="text1"/>
                <w:szCs w:val="21"/>
                <w:highlight w:val="none"/>
                <w14:textFill>
                  <w14:solidFill>
                    <w14:schemeClr w14:val="tx1"/>
                  </w14:solidFill>
                </w14:textFill>
              </w:rPr>
            </w:pP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00" w:type="dxa"/>
            <w:vMerge w:val="continue"/>
            <w:tcBorders>
              <w:left w:val="single" w:color="auto" w:sz="8" w:space="0"/>
              <w:right w:val="single" w:color="auto" w:sz="4" w:space="0"/>
            </w:tcBorders>
            <w:vAlign w:val="center"/>
          </w:tcPr>
          <w:p>
            <w:pPr>
              <w:rPr>
                <w:rFonts w:ascii="宋体" w:hAnsi="宋体"/>
                <w:color w:val="000000" w:themeColor="text1"/>
                <w:sz w:val="21"/>
                <w:szCs w:val="21"/>
                <w:highlight w:val="none"/>
                <w14:textFill>
                  <w14:solidFill>
                    <w14:schemeClr w14:val="tx1"/>
                  </w14:solidFill>
                </w14:textFill>
              </w:rPr>
            </w:pPr>
          </w:p>
        </w:tc>
        <w:tc>
          <w:tcPr>
            <w:tcW w:w="2335" w:type="dxa"/>
            <w:tcBorders>
              <w:left w:val="single" w:color="auto" w:sz="4"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851"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722"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830"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1134" w:type="dxa"/>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c>
          <w:tcPr>
            <w:tcW w:w="996" w:type="dxa"/>
            <w:tcBorders>
              <w:right w:val="single" w:color="auto" w:sz="8" w:space="0"/>
            </w:tcBorders>
            <w:vAlign w:val="center"/>
          </w:tcPr>
          <w:p>
            <w:pPr>
              <w:pStyle w:val="15"/>
              <w:spacing w:line="440" w:lineRule="exact"/>
              <w:ind w:firstLine="0"/>
              <w:jc w:val="center"/>
              <w:rPr>
                <w:rFonts w:ascii="宋体" w:hAnsi="宋体" w:eastAsia="宋体"/>
                <w:color w:val="000000" w:themeColor="text1"/>
                <w:szCs w:val="21"/>
                <w:highlight w:val="none"/>
                <w14:textFill>
                  <w14:solidFill>
                    <w14:schemeClr w14:val="tx1"/>
                  </w14:solidFill>
                </w14:textFill>
              </w:rPr>
            </w:pPr>
          </w:p>
        </w:tc>
      </w:tr>
    </w:tbl>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附表6：拟担任主要勘察人员简历表和注册执业资格（职称）证书（格式）</w:t>
      </w:r>
    </w:p>
    <w:p>
      <w:pPr>
        <w:tabs>
          <w:tab w:val="left" w:pos="0"/>
          <w:tab w:val="left" w:pos="567"/>
          <w:tab w:val="left" w:pos="993"/>
          <w:tab w:val="left" w:pos="1134"/>
        </w:tabs>
        <w:snapToGrid w:val="0"/>
        <w:spacing w:beforeLines="50" w:line="300" w:lineRule="auto"/>
        <w:jc w:val="center"/>
        <w:rPr>
          <w:rFonts w:ascii="黑体" w:hAnsi="黑体" w:eastAsia="黑体"/>
          <w:color w:val="000000" w:themeColor="text1"/>
          <w:kern w:val="2"/>
          <w:sz w:val="32"/>
          <w:szCs w:val="32"/>
          <w:highlight w:val="none"/>
          <w14:textFill>
            <w14:solidFill>
              <w14:schemeClr w14:val="tx1"/>
            </w14:solidFill>
          </w14:textFill>
        </w:rPr>
      </w:pPr>
      <w:r>
        <w:rPr>
          <w:rFonts w:hint="eastAsia" w:ascii="黑体" w:hAnsi="黑体" w:eastAsia="黑体"/>
          <w:color w:val="000000" w:themeColor="text1"/>
          <w:kern w:val="2"/>
          <w:sz w:val="32"/>
          <w:szCs w:val="32"/>
          <w:highlight w:val="none"/>
          <w14:textFill>
            <w14:solidFill>
              <w14:schemeClr w14:val="tx1"/>
            </w14:solidFill>
          </w14:textFill>
        </w:rPr>
        <w:t>拟担任主要勘察人员简历表</w:t>
      </w:r>
      <w:r>
        <w:rPr>
          <w:rStyle w:val="49"/>
          <w:rFonts w:ascii="黑体" w:hAnsi="黑体" w:eastAsia="黑体"/>
          <w:color w:val="000000" w:themeColor="text1"/>
          <w:kern w:val="2"/>
          <w:sz w:val="32"/>
          <w:szCs w:val="32"/>
          <w:highlight w:val="none"/>
          <w14:textFill>
            <w14:solidFill>
              <w14:schemeClr w14:val="tx1"/>
            </w14:solidFill>
          </w14:textFill>
        </w:rPr>
        <w:footnoteReference w:id="68"/>
      </w:r>
    </w:p>
    <w:tbl>
      <w:tblPr>
        <w:tblStyle w:val="4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227"/>
        <w:gridCol w:w="515"/>
        <w:gridCol w:w="10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6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052"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性别</w:t>
            </w:r>
          </w:p>
        </w:tc>
        <w:tc>
          <w:tcPr>
            <w:tcW w:w="122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1559" w:type="dxa"/>
            <w:gridSpan w:val="2"/>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出生日期</w:t>
            </w:r>
          </w:p>
        </w:tc>
        <w:tc>
          <w:tcPr>
            <w:tcW w:w="2410"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毕业院校专业</w:t>
            </w:r>
          </w:p>
        </w:tc>
        <w:tc>
          <w:tcPr>
            <w:tcW w:w="3446" w:type="dxa"/>
            <w:gridSpan w:val="3"/>
            <w:vAlign w:val="center"/>
          </w:tcPr>
          <w:p>
            <w:pPr>
              <w:jc w:val="center"/>
              <w:rPr>
                <w:rFonts w:ascii="宋体" w:hAnsi="宋体"/>
                <w:color w:val="000000" w:themeColor="text1"/>
                <w:sz w:val="21"/>
                <w:szCs w:val="21"/>
                <w:highlight w:val="none"/>
                <w14:textFill>
                  <w14:solidFill>
                    <w14:schemeClr w14:val="tx1"/>
                  </w14:solidFill>
                </w14:textFill>
              </w:rPr>
            </w:pPr>
          </w:p>
        </w:tc>
        <w:tc>
          <w:tcPr>
            <w:tcW w:w="1559" w:type="dxa"/>
            <w:gridSpan w:val="2"/>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毕业时间</w:t>
            </w:r>
          </w:p>
        </w:tc>
        <w:tc>
          <w:tcPr>
            <w:tcW w:w="2410" w:type="dxa"/>
            <w:vAlign w:val="center"/>
          </w:tcPr>
          <w:p>
            <w:pPr>
              <w:ind w:firstLine="525" w:firstLineChars="2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从事本专业时间</w:t>
            </w:r>
          </w:p>
        </w:tc>
        <w:tc>
          <w:tcPr>
            <w:tcW w:w="2219"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c>
          <w:tcPr>
            <w:tcW w:w="2786" w:type="dxa"/>
            <w:gridSpan w:val="3"/>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为投标人服务时间</w:t>
            </w:r>
          </w:p>
        </w:tc>
        <w:tc>
          <w:tcPr>
            <w:tcW w:w="2410"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执业注册（若要求）</w:t>
            </w:r>
          </w:p>
        </w:tc>
        <w:tc>
          <w:tcPr>
            <w:tcW w:w="2219"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c>
          <w:tcPr>
            <w:tcW w:w="2786" w:type="dxa"/>
            <w:gridSpan w:val="3"/>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2410" w:type="dxa"/>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126" w:type="dxa"/>
            <w:gridSpan w:val="3"/>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在本项目拟任职务</w:t>
            </w:r>
          </w:p>
        </w:tc>
        <w:tc>
          <w:tcPr>
            <w:tcW w:w="5196"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22" w:type="dxa"/>
            <w:gridSpan w:val="7"/>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时间</w:t>
            </w: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参加过的工程勘察项目名称及规模</w:t>
            </w: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000000" w:themeColor="text1"/>
                <w:sz w:val="21"/>
                <w:szCs w:val="21"/>
                <w:highlight w:val="none"/>
                <w14:textFill>
                  <w14:solidFill>
                    <w14:schemeClr w14:val="tx1"/>
                  </w14:solidFill>
                </w14:textFill>
              </w:rPr>
            </w:pPr>
          </w:p>
        </w:tc>
        <w:tc>
          <w:tcPr>
            <w:tcW w:w="3961" w:type="dxa"/>
            <w:gridSpan w:val="4"/>
            <w:vAlign w:val="center"/>
          </w:tcPr>
          <w:p>
            <w:pPr>
              <w:jc w:val="center"/>
              <w:rPr>
                <w:rFonts w:ascii="宋体" w:hAnsi="宋体"/>
                <w:color w:val="000000" w:themeColor="text1"/>
                <w:sz w:val="21"/>
                <w:szCs w:val="21"/>
                <w:highlight w:val="none"/>
                <w14:textFill>
                  <w14:solidFill>
                    <w14:schemeClr w14:val="tx1"/>
                  </w14:solidFill>
                </w14:textFill>
              </w:rPr>
            </w:pPr>
          </w:p>
        </w:tc>
        <w:tc>
          <w:tcPr>
            <w:tcW w:w="3454" w:type="dxa"/>
            <w:gridSpan w:val="2"/>
            <w:vAlign w:val="center"/>
          </w:tcPr>
          <w:p>
            <w:pPr>
              <w:jc w:val="center"/>
              <w:rPr>
                <w:rFonts w:ascii="宋体" w:hAnsi="宋体"/>
                <w:color w:val="000000" w:themeColor="text1"/>
                <w:sz w:val="21"/>
                <w:szCs w:val="21"/>
                <w:highlight w:val="none"/>
                <w14:textFill>
                  <w14:solidFill>
                    <w14:schemeClr w14:val="tx1"/>
                  </w14:solidFill>
                </w14:textFill>
              </w:rPr>
            </w:pPr>
          </w:p>
        </w:tc>
      </w:tr>
    </w:tbl>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附表7：拟担任项目负责人承诺函、勘察项目负责人和其他主要勘察人员到位承诺书（格式）</w:t>
      </w:r>
    </w:p>
    <w:p>
      <w:pPr>
        <w:pStyle w:val="15"/>
        <w:tabs>
          <w:tab w:val="left" w:pos="1000"/>
        </w:tabs>
        <w:spacing w:beforeLines="100" w:after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拟担任项目负责人承诺函</w:t>
      </w:r>
      <w:r>
        <w:rPr>
          <w:rStyle w:val="49"/>
          <w:rFonts w:ascii="黑体" w:hAnsi="黑体" w:eastAsia="黑体"/>
          <w:color w:val="000000" w:themeColor="text1"/>
          <w:sz w:val="32"/>
          <w:szCs w:val="32"/>
          <w:highlight w:val="none"/>
          <w14:textFill>
            <w14:solidFill>
              <w14:schemeClr w14:val="tx1"/>
            </w14:solidFill>
          </w14:textFill>
        </w:rPr>
        <w:footnoteReference w:id="69"/>
      </w:r>
    </w:p>
    <w:p>
      <w:pPr>
        <w:adjustRightInd/>
        <w:spacing w:line="360"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（招标人名称）：</w:t>
      </w:r>
    </w:p>
    <w:p>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本人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（姓名）系</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（投标人名称）的在岗人员。本人已清楚知晓，本单位已确定本人作为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（招标项目名称及标段）的拟担任</w:t>
      </w:r>
      <w:r>
        <w:rPr>
          <w:rFonts w:hint="eastAsia" w:ascii="宋体" w:hAnsi="宋体"/>
          <w:color w:val="000000" w:themeColor="text1"/>
          <w:sz w:val="21"/>
          <w:szCs w:val="21"/>
          <w:highlight w:val="none"/>
          <w14:textFill>
            <w14:solidFill>
              <w14:schemeClr w14:val="tx1"/>
            </w14:solidFill>
          </w14:textFill>
        </w:rPr>
        <w:t>项目负责人</w:t>
      </w:r>
      <w:r>
        <w:rPr>
          <w:rFonts w:hint="eastAsia" w:ascii="宋体" w:hAnsi="宋体" w:cs="宋体"/>
          <w:color w:val="000000" w:themeColor="text1"/>
          <w:sz w:val="21"/>
          <w:szCs w:val="21"/>
          <w:highlight w:val="none"/>
          <w14:textFill>
            <w14:solidFill>
              <w14:schemeClr w14:val="tx1"/>
            </w14:solidFill>
          </w14:textFill>
        </w:rPr>
        <w:t>，参与本招标项目的投标。</w:t>
      </w:r>
    </w:p>
    <w:p>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本人承诺：</w:t>
      </w:r>
    </w:p>
    <w:p>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一、中标后履行项目负责人职责，按照合同约定实际到岗履职。</w:t>
      </w:r>
    </w:p>
    <w:p>
      <w:pPr>
        <w:adjustRightIn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二、本承诺函由我单位盖章及本人亲自签字确认。</w:t>
      </w:r>
    </w:p>
    <w:p>
      <w:pPr>
        <w:adjustRightInd/>
        <w:spacing w:line="360" w:lineRule="auto"/>
        <w:ind w:firstLine="645"/>
        <w:textAlignment w:val="auto"/>
        <w:rPr>
          <w:rFonts w:ascii="宋体" w:hAnsi="宋体" w:cs="宋体"/>
          <w:color w:val="000000" w:themeColor="text1"/>
          <w:sz w:val="21"/>
          <w:szCs w:val="21"/>
          <w:highlight w:val="none"/>
          <w14:textFill>
            <w14:solidFill>
              <w14:schemeClr w14:val="tx1"/>
            </w14:solidFill>
          </w14:textFill>
        </w:rPr>
      </w:pPr>
    </w:p>
    <w:p>
      <w:pPr>
        <w:adjustRightInd/>
        <w:spacing w:line="360" w:lineRule="auto"/>
        <w:ind w:firstLine="645"/>
        <w:textAlignment w:val="auto"/>
        <w:rPr>
          <w:rFonts w:ascii="宋体" w:hAnsi="宋体" w:cs="宋体"/>
          <w:color w:val="000000" w:themeColor="text1"/>
          <w:sz w:val="21"/>
          <w:szCs w:val="21"/>
          <w:highlight w:val="none"/>
          <w14:textFill>
            <w14:solidFill>
              <w14:schemeClr w14:val="tx1"/>
            </w14:solidFill>
          </w14:textFill>
        </w:rPr>
      </w:pPr>
    </w:p>
    <w:p>
      <w:pPr>
        <w:adjustRightInd/>
        <w:spacing w:line="360" w:lineRule="auto"/>
        <w:ind w:firstLine="3045" w:firstLineChars="145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盖投标人单位实体公章</w:t>
      </w:r>
      <w:r>
        <w:rPr>
          <w:rFonts w:hint="eastAsia" w:ascii="宋体" w:hAnsi="宋体" w:cs="宋体"/>
          <w:color w:val="000000" w:themeColor="text1"/>
          <w:sz w:val="21"/>
          <w:szCs w:val="21"/>
          <w:highlight w:val="none"/>
          <w14:textFill>
            <w14:solidFill>
              <w14:schemeClr w14:val="tx1"/>
            </w14:solidFill>
          </w14:textFill>
        </w:rPr>
        <w:t>）</w:t>
      </w:r>
      <w:r>
        <w:rPr>
          <w:rStyle w:val="49"/>
          <w:rFonts w:ascii="宋体" w:hAnsi="宋体" w:cs="宋体"/>
          <w:color w:val="000000" w:themeColor="text1"/>
          <w:sz w:val="21"/>
          <w:szCs w:val="21"/>
          <w:highlight w:val="none"/>
          <w14:textFill>
            <w14:solidFill>
              <w14:schemeClr w14:val="tx1"/>
            </w14:solidFill>
          </w14:textFill>
        </w:rPr>
        <w:footnoteReference w:id="70"/>
      </w:r>
    </w:p>
    <w:p>
      <w:pPr>
        <w:adjustRightInd/>
        <w:spacing w:line="360" w:lineRule="auto"/>
        <w:ind w:firstLine="3045" w:firstLineChars="145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拟担任项目负责人：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（签字）</w:t>
      </w:r>
      <w:r>
        <w:rPr>
          <w:rStyle w:val="49"/>
          <w:rFonts w:ascii="宋体" w:hAnsi="宋体" w:cs="宋体"/>
          <w:color w:val="000000" w:themeColor="text1"/>
          <w:sz w:val="21"/>
          <w:szCs w:val="21"/>
          <w:highlight w:val="none"/>
          <w14:textFill>
            <w14:solidFill>
              <w14:schemeClr w14:val="tx1"/>
            </w14:solidFill>
          </w14:textFill>
        </w:rPr>
        <w:footnoteReference w:id="71"/>
      </w:r>
    </w:p>
    <w:p>
      <w:pPr>
        <w:pStyle w:val="15"/>
        <w:tabs>
          <w:tab w:val="left" w:pos="1000"/>
        </w:tabs>
        <w:spacing w:line="360" w:lineRule="auto"/>
        <w:ind w:firstLine="0"/>
        <w:jc w:val="center"/>
        <w:rPr>
          <w:rFonts w:ascii="黑体" w:hAnsi="黑体" w:eastAsia="黑体"/>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承诺时间：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pStyle w:val="15"/>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pPr>
        <w:pStyle w:val="15"/>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pPr>
        <w:pStyle w:val="15"/>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pPr>
        <w:pStyle w:val="15"/>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pPr>
        <w:pStyle w:val="15"/>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pPr>
        <w:pStyle w:val="15"/>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p>
    <w:p>
      <w:pPr>
        <w:pStyle w:val="15"/>
        <w:tabs>
          <w:tab w:val="left" w:pos="1000"/>
        </w:tabs>
        <w:spacing w:beforeLines="100" w:line="360" w:lineRule="auto"/>
        <w:ind w:firstLine="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勘察项目负责人和其他主要勘察人员</w:t>
      </w:r>
    </w:p>
    <w:p>
      <w:pPr>
        <w:pStyle w:val="15"/>
        <w:tabs>
          <w:tab w:val="left" w:pos="1000"/>
        </w:tabs>
        <w:spacing w:line="360" w:lineRule="auto"/>
        <w:ind w:firstLine="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到位承诺书</w:t>
      </w: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（招标人名称）</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本承诺书声明：</w:t>
      </w:r>
      <w:r>
        <w:rPr>
          <w:rFonts w:hint="eastAsia" w:ascii="宋体"/>
          <w:color w:val="000000" w:themeColor="text1"/>
          <w:sz w:val="21"/>
          <w:szCs w:val="21"/>
          <w:highlight w:val="none"/>
          <w14:textFill>
            <w14:solidFill>
              <w14:schemeClr w14:val="tx1"/>
            </w14:solidFill>
          </w14:textFill>
        </w:rPr>
        <w:t>本人</w:t>
      </w:r>
      <w:r>
        <w:rPr>
          <w:rFonts w:hint="eastAsia" w:ascii="宋体"/>
          <w:color w:val="000000" w:themeColor="text1"/>
          <w:sz w:val="21"/>
          <w:szCs w:val="21"/>
          <w:highlight w:val="none"/>
          <w:u w:val="single"/>
          <w14:textFill>
            <w14:solidFill>
              <w14:schemeClr w14:val="tx1"/>
            </w14:solidFill>
          </w14:textFill>
        </w:rPr>
        <w:t xml:space="preserve">        </w:t>
      </w:r>
      <w:r>
        <w:rPr>
          <w:rFonts w:hint="eastAsia" w:ascii="宋体"/>
          <w:color w:val="000000" w:themeColor="text1"/>
          <w:sz w:val="21"/>
          <w:szCs w:val="21"/>
          <w:highlight w:val="none"/>
          <w14:textFill>
            <w14:solidFill>
              <w14:schemeClr w14:val="tx1"/>
            </w14:solidFill>
          </w14:textFill>
        </w:rPr>
        <w:t>（姓名）系</w:t>
      </w:r>
      <w:r>
        <w:rPr>
          <w:rFonts w:hint="eastAsia" w:ascii="宋体"/>
          <w:color w:val="000000" w:themeColor="text1"/>
          <w:sz w:val="21"/>
          <w:szCs w:val="21"/>
          <w:highlight w:val="none"/>
          <w:u w:val="single"/>
          <w14:textFill>
            <w14:solidFill>
              <w14:schemeClr w14:val="tx1"/>
            </w14:solidFill>
          </w14:textFill>
        </w:rPr>
        <w:t xml:space="preserve">              </w:t>
      </w:r>
      <w:r>
        <w:rPr>
          <w:rFonts w:hint="eastAsia" w:ascii="宋体"/>
          <w:color w:val="000000" w:themeColor="text1"/>
          <w:sz w:val="21"/>
          <w:szCs w:val="21"/>
          <w:highlight w:val="none"/>
          <w14:textFill>
            <w14:solidFill>
              <w14:schemeClr w14:val="tx1"/>
            </w14:solidFill>
          </w14:textFill>
        </w:rPr>
        <w:t>（投标人）的法定代表人，现承诺我单位拟担任的勘察项目负责人</w:t>
      </w:r>
      <w:r>
        <w:rPr>
          <w:rFonts w:hint="eastAsia" w:ascii="宋体"/>
          <w:color w:val="000000" w:themeColor="text1"/>
          <w:sz w:val="21"/>
          <w:szCs w:val="21"/>
          <w:highlight w:val="none"/>
          <w:u w:val="single"/>
          <w14:textFill>
            <w14:solidFill>
              <w14:schemeClr w14:val="tx1"/>
            </w14:solidFill>
          </w14:textFill>
        </w:rPr>
        <w:t xml:space="preserve">         </w:t>
      </w:r>
      <w:r>
        <w:rPr>
          <w:rFonts w:hint="eastAsia" w:ascii="宋体"/>
          <w:color w:val="000000" w:themeColor="text1"/>
          <w:sz w:val="21"/>
          <w:szCs w:val="21"/>
          <w:highlight w:val="none"/>
          <w14:textFill>
            <w14:solidFill>
              <w14:schemeClr w14:val="tx1"/>
            </w14:solidFill>
          </w14:textFill>
        </w:rPr>
        <w:t>〔姓名及其注册土木工程师（岩土）执业证书注册编号〕和其他主要勘察人员系本公司正式职工，保证在招标编号为</w:t>
      </w:r>
      <w:r>
        <w:rPr>
          <w:rFonts w:hint="eastAsia" w:ascii="宋体"/>
          <w:color w:val="000000" w:themeColor="text1"/>
          <w:sz w:val="21"/>
          <w:szCs w:val="21"/>
          <w:highlight w:val="none"/>
          <w:u w:val="single"/>
          <w14:textFill>
            <w14:solidFill>
              <w14:schemeClr w14:val="tx1"/>
            </w14:solidFill>
          </w14:textFill>
        </w:rPr>
        <w:t xml:space="preserve">         </w:t>
      </w:r>
      <w:r>
        <w:rPr>
          <w:rFonts w:hint="eastAsia" w:ascii="宋体"/>
          <w:color w:val="000000" w:themeColor="text1"/>
          <w:sz w:val="21"/>
          <w:szCs w:val="21"/>
          <w:highlight w:val="none"/>
          <w14:textFill>
            <w14:solidFill>
              <w14:schemeClr w14:val="tx1"/>
            </w14:solidFill>
          </w14:textFill>
        </w:rPr>
        <w:t>的</w:t>
      </w:r>
      <w:r>
        <w:rPr>
          <w:rFonts w:hint="eastAsia" w:ascii="宋体"/>
          <w:color w:val="000000" w:themeColor="text1"/>
          <w:sz w:val="21"/>
          <w:szCs w:val="21"/>
          <w:highlight w:val="none"/>
          <w:u w:val="single"/>
          <w14:textFill>
            <w14:solidFill>
              <w14:schemeClr w14:val="tx1"/>
            </w14:solidFill>
          </w14:textFill>
        </w:rPr>
        <w:t xml:space="preserve">  　　          </w:t>
      </w:r>
      <w:r>
        <w:rPr>
          <w:rFonts w:hint="eastAsia" w:ascii="宋体"/>
          <w:color w:val="000000" w:themeColor="text1"/>
          <w:sz w:val="21"/>
          <w:szCs w:val="21"/>
          <w:highlight w:val="none"/>
          <w14:textFill>
            <w14:solidFill>
              <w14:schemeClr w14:val="tx1"/>
            </w14:solidFill>
          </w14:textFill>
        </w:rPr>
        <w:t>（招标项目名称）的勘察期间按照招标文件和勘察合同的约定承担本项目的勘察工作。如有违约，我单位将接受招标人按照本招标文件和勘察合同约定的处罚，并承担全部责任</w:t>
      </w:r>
      <w:r>
        <w:rPr>
          <w:rFonts w:hint="eastAsia" w:ascii="宋体" w:hAnsi="宋体"/>
          <w:color w:val="000000" w:themeColor="text1"/>
          <w:sz w:val="21"/>
          <w:szCs w:val="21"/>
          <w:highlight w:val="none"/>
          <w14:textFill>
            <w14:solidFill>
              <w14:schemeClr w14:val="tx1"/>
            </w14:solidFill>
          </w14:textFill>
        </w:rPr>
        <w:t>。</w:t>
      </w:r>
    </w:p>
    <w:p>
      <w:pPr>
        <w:tabs>
          <w:tab w:val="center" w:pos="4507"/>
        </w:tabs>
        <w:spacing w:line="360" w:lineRule="auto"/>
        <w:ind w:firstLine="480"/>
        <w:rPr>
          <w:rFonts w:ascii="宋体" w:hAnsi="宋体"/>
          <w:color w:val="000000" w:themeColor="text1"/>
          <w:sz w:val="21"/>
          <w:szCs w:val="21"/>
          <w:highlight w:val="none"/>
          <w14:textFill>
            <w14:solidFill>
              <w14:schemeClr w14:val="tx1"/>
            </w14:solidFill>
          </w14:textFill>
        </w:rPr>
      </w:pPr>
    </w:p>
    <w:p>
      <w:pPr>
        <w:pStyle w:val="15"/>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                                投标人：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(盖投标人单位公章)</w:t>
      </w:r>
      <w:r>
        <w:rPr>
          <w:rStyle w:val="49"/>
          <w:rFonts w:ascii="宋体" w:hAnsi="宋体" w:eastAsia="宋体"/>
          <w:color w:val="000000" w:themeColor="text1"/>
          <w:szCs w:val="21"/>
          <w:highlight w:val="none"/>
          <w14:textFill>
            <w14:solidFill>
              <w14:schemeClr w14:val="tx1"/>
            </w14:solidFill>
          </w14:textFill>
        </w:rPr>
        <w:footnoteReference w:id="72"/>
      </w:r>
    </w:p>
    <w:p>
      <w:pPr>
        <w:pStyle w:val="15"/>
        <w:tabs>
          <w:tab w:val="left" w:pos="1000"/>
        </w:tabs>
        <w:spacing w:line="360" w:lineRule="auto"/>
        <w:ind w:firstLine="3307" w:firstLineChars="1575"/>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pPr>
        <w:pStyle w:val="15"/>
        <w:tabs>
          <w:tab w:val="left" w:pos="1000"/>
        </w:tabs>
        <w:spacing w:line="360" w:lineRule="auto"/>
        <w:ind w:firstLine="2467" w:firstLineChars="1175"/>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附表8：投标人和拟担任勘察项目负责人“类似项目勘察业绩”（如有时）（格式）</w:t>
      </w:r>
    </w:p>
    <w:p>
      <w:pPr>
        <w:tabs>
          <w:tab w:val="left" w:pos="0"/>
          <w:tab w:val="left" w:pos="567"/>
          <w:tab w:val="left" w:pos="993"/>
          <w:tab w:val="left" w:pos="1134"/>
        </w:tabs>
        <w:snapToGrid w:val="0"/>
        <w:spacing w:before="240" w:after="120" w:line="30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投标人和拟担任项目负责人的“类似项目勘察业绩”表</w:t>
      </w:r>
      <w:r>
        <w:rPr>
          <w:rStyle w:val="49"/>
          <w:rFonts w:ascii="黑体" w:hAnsi="黑体" w:eastAsia="黑体"/>
          <w:color w:val="000000" w:themeColor="text1"/>
          <w:sz w:val="32"/>
          <w:szCs w:val="32"/>
          <w:highlight w:val="none"/>
          <w14:textFill>
            <w14:solidFill>
              <w14:schemeClr w14:val="tx1"/>
            </w14:solidFill>
          </w14:textFill>
        </w:rPr>
        <w:footnoteReference w:id="73"/>
      </w:r>
    </w:p>
    <w:tbl>
      <w:tblPr>
        <w:tblStyle w:val="41"/>
        <w:tblW w:w="89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00"/>
        <w:gridCol w:w="1600"/>
        <w:gridCol w:w="1000"/>
        <w:gridCol w:w="1200"/>
        <w:gridCol w:w="110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exact"/>
        </w:trPr>
        <w:tc>
          <w:tcPr>
            <w:tcW w:w="1500" w:type="dxa"/>
            <w:tcBorders>
              <w:left w:val="single" w:color="auto" w:sz="8" w:space="0"/>
              <w:right w:val="single" w:color="auto" w:sz="4" w:space="0"/>
            </w:tcBorders>
            <w:vAlign w:val="center"/>
          </w:tcPr>
          <w:p>
            <w:pPr>
              <w:spacing w:line="240" w:lineRule="auto"/>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项目名称</w:t>
            </w:r>
          </w:p>
        </w:tc>
        <w:tc>
          <w:tcPr>
            <w:tcW w:w="1200" w:type="dxa"/>
            <w:tcBorders>
              <w:left w:val="single" w:color="auto" w:sz="4" w:space="0"/>
              <w:right w:val="single" w:color="auto" w:sz="4" w:space="0"/>
            </w:tcBorders>
            <w:vAlign w:val="center"/>
          </w:tcPr>
          <w:p>
            <w:pPr>
              <w:spacing w:line="240" w:lineRule="auto"/>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建设规模</w:t>
            </w:r>
          </w:p>
        </w:tc>
        <w:tc>
          <w:tcPr>
            <w:tcW w:w="1600" w:type="dxa"/>
            <w:tcBorders>
              <w:left w:val="single" w:color="auto" w:sz="4" w:space="0"/>
              <w:right w:val="single" w:color="auto" w:sz="4" w:space="0"/>
            </w:tcBorders>
            <w:vAlign w:val="center"/>
          </w:tcPr>
          <w:p>
            <w:pPr>
              <w:spacing w:line="240" w:lineRule="auto"/>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工程特征（反映勘察项目等级的工程性质、建筑物等级、岩土工程条件等）</w:t>
            </w:r>
          </w:p>
        </w:tc>
        <w:tc>
          <w:tcPr>
            <w:tcW w:w="1000" w:type="dxa"/>
            <w:tcBorders>
              <w:left w:val="single" w:color="auto" w:sz="4" w:space="0"/>
              <w:right w:val="single" w:color="auto" w:sz="4" w:space="0"/>
            </w:tcBorders>
            <w:vAlign w:val="center"/>
          </w:tcPr>
          <w:p>
            <w:pPr>
              <w:spacing w:line="240" w:lineRule="auto"/>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工程勘察项目等级</w:t>
            </w:r>
          </w:p>
        </w:tc>
        <w:tc>
          <w:tcPr>
            <w:tcW w:w="1200" w:type="dxa"/>
            <w:tcBorders>
              <w:left w:val="single" w:color="auto" w:sz="4" w:space="0"/>
              <w:right w:val="single" w:color="auto" w:sz="4" w:space="0"/>
            </w:tcBorders>
            <w:vAlign w:val="center"/>
          </w:tcPr>
          <w:p>
            <w:pPr>
              <w:spacing w:line="240" w:lineRule="auto"/>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项目</w:t>
            </w:r>
          </w:p>
          <w:p>
            <w:pPr>
              <w:spacing w:line="240" w:lineRule="auto"/>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负责人</w:t>
            </w:r>
          </w:p>
        </w:tc>
        <w:tc>
          <w:tcPr>
            <w:tcW w:w="1100" w:type="dxa"/>
            <w:tcBorders>
              <w:left w:val="single" w:color="auto" w:sz="4" w:space="0"/>
              <w:right w:val="single" w:color="auto" w:sz="4" w:space="0"/>
            </w:tcBorders>
            <w:vAlign w:val="center"/>
          </w:tcPr>
          <w:p>
            <w:pPr>
              <w:spacing w:line="240" w:lineRule="auto"/>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施工图审查通过日期</w:t>
            </w:r>
          </w:p>
        </w:tc>
        <w:tc>
          <w:tcPr>
            <w:tcW w:w="1304" w:type="dxa"/>
            <w:tcBorders>
              <w:left w:val="single" w:color="auto" w:sz="4" w:space="0"/>
              <w:right w:val="single" w:color="auto" w:sz="8" w:space="0"/>
            </w:tcBorders>
            <w:vAlign w:val="center"/>
          </w:tcPr>
          <w:p>
            <w:pPr>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建设单位/联系人、</w:t>
            </w:r>
          </w:p>
          <w:p>
            <w:pPr>
              <w:jc w:val="center"/>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trPr>
        <w:tc>
          <w:tcPr>
            <w:tcW w:w="1500" w:type="dxa"/>
            <w:tcBorders>
              <w:left w:val="single" w:color="auto" w:sz="8"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left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exact"/>
        </w:trPr>
        <w:tc>
          <w:tcPr>
            <w:tcW w:w="1500" w:type="dxa"/>
            <w:tcBorders>
              <w:left w:val="single" w:color="auto" w:sz="8"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left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left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themeColor="text1"/>
                <w:sz w:val="2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000000" w:themeColor="text1"/>
                <w:sz w:val="21"/>
                <w:szCs w:val="21"/>
                <w:highlight w:val="none"/>
                <w14:textFill>
                  <w14:solidFill>
                    <w14:schemeClr w14:val="tx1"/>
                  </w14:solidFill>
                </w14:textFill>
              </w:rPr>
            </w:pPr>
          </w:p>
        </w:tc>
      </w:tr>
    </w:tbl>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附表9：土工实验室</w:t>
      </w:r>
      <w:r>
        <w:rPr>
          <w:rStyle w:val="49"/>
          <w:rFonts w:ascii="宋体" w:hAnsi="宋体" w:eastAsia="宋体"/>
          <w:color w:val="000000" w:themeColor="text1"/>
          <w:szCs w:val="21"/>
          <w:highlight w:val="none"/>
          <w14:textFill>
            <w14:solidFill>
              <w14:schemeClr w14:val="tx1"/>
            </w14:solidFill>
          </w14:textFill>
        </w:rPr>
        <w:footnoteReference w:id="74"/>
      </w:r>
    </w:p>
    <w:p>
      <w:pPr>
        <w:pStyle w:val="15"/>
        <w:tabs>
          <w:tab w:val="left" w:pos="1000"/>
        </w:tabs>
        <w:spacing w:line="360" w:lineRule="auto"/>
        <w:ind w:firstLine="525" w:firstLineChars="250"/>
        <w:rPr>
          <w:rFonts w:ascii="宋体" w:hAnsi="宋体" w:eastAsia="宋体"/>
          <w:b/>
          <w:color w:val="000000" w:themeColor="text1"/>
          <w:szCs w:val="21"/>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参加投标的勘察单位，应在我省具有与招标项目相适应的土工试验室和技术人员，以保证勘察结果的真实、准确和可靠。</w:t>
      </w: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附表10：联合体协议书（如有时）（格式）</w:t>
      </w:r>
    </w:p>
    <w:p>
      <w:pPr>
        <w:spacing w:beforeLines="100" w:afterLines="50"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联合体协议书</w:t>
      </w:r>
    </w:p>
    <w:p>
      <w:pPr>
        <w:pStyle w:val="19"/>
        <w:tabs>
          <w:tab w:val="left" w:pos="2202"/>
          <w:tab w:val="left" w:pos="6000"/>
        </w:tabs>
        <w:spacing w:after="0" w:line="360" w:lineRule="auto"/>
        <w:ind w:firstLine="594" w:firstLineChars="283"/>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所有成员单位名称）自愿组成</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（联合体名称）联合体，共同参加</w:t>
      </w:r>
      <w:r>
        <w:rPr>
          <w:rFonts w:hint="eastAsia" w:ascii="宋体" w:hAnsi="宋体"/>
          <w:color w:val="000000" w:themeColor="text1"/>
          <w:sz w:val="21"/>
          <w:szCs w:val="21"/>
          <w:highlight w:val="none"/>
          <w14:textFill>
            <w14:solidFill>
              <w14:schemeClr w14:val="tx1"/>
            </w14:solidFill>
          </w14:textFill>
        </w:rPr>
        <w:t>编号</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（项目名称）</w:t>
      </w:r>
      <w:r>
        <w:rPr>
          <w:rFonts w:hint="eastAsia" w:ascii="宋体" w:hAnsi="宋体"/>
          <w:color w:val="000000" w:themeColor="text1"/>
          <w:sz w:val="21"/>
          <w:szCs w:val="21"/>
          <w:highlight w:val="none"/>
          <w14:textFill>
            <w14:solidFill>
              <w14:schemeClr w14:val="tx1"/>
            </w14:solidFill>
          </w14:textFill>
        </w:rPr>
        <w:t>勘察</w:t>
      </w:r>
      <w:r>
        <w:rPr>
          <w:rFonts w:ascii="宋体" w:hAnsi="宋体"/>
          <w:color w:val="000000" w:themeColor="text1"/>
          <w:sz w:val="21"/>
          <w:szCs w:val="21"/>
          <w:highlight w:val="none"/>
          <w14:textFill>
            <w14:solidFill>
              <w14:schemeClr w14:val="tx1"/>
            </w14:solidFill>
          </w14:textFill>
        </w:rPr>
        <w:t>招标项目投标。现就联合体投标事宜订立如下协议。</w:t>
      </w:r>
    </w:p>
    <w:p>
      <w:pPr>
        <w:pStyle w:val="19"/>
        <w:tabs>
          <w:tab w:val="left" w:pos="2673"/>
          <w:tab w:val="left" w:pos="5614"/>
        </w:tabs>
        <w:spacing w:after="0"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（某成员单位名称）为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（联合体名称）牵头人。</w:t>
      </w:r>
    </w:p>
    <w:p>
      <w:pPr>
        <w:pStyle w:val="19"/>
        <w:spacing w:after="0" w:line="360" w:lineRule="auto"/>
        <w:ind w:firstLine="41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2.联合体各成员授权牵头人代表联合体参加投标活动，签署文件，提交和接收相关的资料、 信息及指示，进行合同谈判活动，负责合同实施阶段的组织和协调工作，以及处理与本招标项目有关的一切事宜。</w:t>
      </w:r>
    </w:p>
    <w:p>
      <w:pPr>
        <w:pStyle w:val="19"/>
        <w:spacing w:after="0" w:line="360" w:lineRule="auto"/>
        <w:ind w:firstLine="41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3.联合体牵头人在本项目中签署的一切文件和处理的一切事宜，联合体各成员均予以承认。联合体各成员将严格按照招标文件、投标文件和合同的要求全面履行义务，并向招标人承担连带责任。</w:t>
      </w:r>
    </w:p>
    <w:p>
      <w:pPr>
        <w:pStyle w:val="19"/>
        <w:tabs>
          <w:tab w:val="left" w:pos="8741"/>
        </w:tabs>
        <w:spacing w:after="0" w:line="360" w:lineRule="auto"/>
        <w:ind w:firstLine="420" w:firstLineChars="200"/>
        <w:jc w:val="left"/>
        <w:rPr>
          <w:rFonts w:ascii="宋体" w:hAnsi="宋体"/>
          <w:color w:val="000000" w:themeColor="text1"/>
          <w:spacing w:val="-3"/>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ascii="宋体" w:hAnsi="宋体"/>
          <w:color w:val="000000" w:themeColor="text1"/>
          <w:spacing w:val="-3"/>
          <w:sz w:val="21"/>
          <w:szCs w:val="21"/>
          <w:highlight w:val="none"/>
          <w14:textFill>
            <w14:solidFill>
              <w14:schemeClr w14:val="tx1"/>
            </w14:solidFill>
          </w14:textFill>
        </w:rPr>
        <w:t>联合体各成员单位内部的职责分工如下</w:t>
      </w:r>
      <w:r>
        <w:rPr>
          <w:rStyle w:val="49"/>
          <w:rFonts w:ascii="宋体" w:hAnsi="宋体"/>
          <w:color w:val="000000" w:themeColor="text1"/>
          <w:spacing w:val="-3"/>
          <w:sz w:val="21"/>
          <w:szCs w:val="21"/>
          <w:highlight w:val="none"/>
          <w14:textFill>
            <w14:solidFill>
              <w14:schemeClr w14:val="tx1"/>
            </w14:solidFill>
          </w14:textFill>
        </w:rPr>
        <w:footnoteReference w:id="75"/>
      </w:r>
      <w:r>
        <w:rPr>
          <w:rFonts w:ascii="宋体" w:hAnsi="宋体"/>
          <w:color w:val="000000" w:themeColor="text1"/>
          <w:spacing w:val="-3"/>
          <w:sz w:val="21"/>
          <w:szCs w:val="21"/>
          <w:highlight w:val="none"/>
          <w14:textFill>
            <w14:solidFill>
              <w14:schemeClr w14:val="tx1"/>
            </w14:solidFill>
          </w14:textFill>
        </w:rPr>
        <w:t>：</w:t>
      </w:r>
      <w:r>
        <w:rPr>
          <w:rFonts w:ascii="宋体" w:hAnsi="宋体"/>
          <w:color w:val="000000" w:themeColor="text1"/>
          <w:spacing w:val="-3"/>
          <w:sz w:val="21"/>
          <w:szCs w:val="21"/>
          <w:highlight w:val="none"/>
          <w:u w:val="single"/>
          <w14:textFill>
            <w14:solidFill>
              <w14:schemeClr w14:val="tx1"/>
            </w14:solidFill>
          </w14:textFill>
        </w:rPr>
        <w:t xml:space="preserve"> </w:t>
      </w:r>
      <w:r>
        <w:rPr>
          <w:rFonts w:ascii="宋体" w:hAnsi="宋体"/>
          <w:color w:val="000000" w:themeColor="text1"/>
          <w:spacing w:val="-3"/>
          <w:sz w:val="21"/>
          <w:szCs w:val="21"/>
          <w:highlight w:val="none"/>
          <w:u w:val="single"/>
          <w14:textFill>
            <w14:solidFill>
              <w14:schemeClr w14:val="tx1"/>
            </w14:solidFill>
          </w14:textFill>
        </w:rPr>
        <w:tab/>
      </w:r>
    </w:p>
    <w:p>
      <w:pPr>
        <w:pStyle w:val="19"/>
        <w:tabs>
          <w:tab w:val="left" w:pos="8741"/>
        </w:tabs>
        <w:spacing w:after="0" w:line="360" w:lineRule="auto"/>
        <w:ind w:firstLine="408" w:firstLineChars="200"/>
        <w:jc w:val="left"/>
        <w:rPr>
          <w:rFonts w:ascii="宋体" w:hAnsi="宋体"/>
          <w:color w:val="000000" w:themeColor="text1"/>
          <w:spacing w:val="-3"/>
          <w:sz w:val="21"/>
          <w:szCs w:val="21"/>
          <w:highlight w:val="none"/>
          <w:u w:val="single"/>
          <w14:textFill>
            <w14:solidFill>
              <w14:schemeClr w14:val="tx1"/>
            </w14:solidFill>
          </w14:textFill>
        </w:rPr>
      </w:pPr>
      <w:r>
        <w:rPr>
          <w:rFonts w:hint="eastAsia" w:ascii="宋体" w:hAnsi="宋体"/>
          <w:color w:val="000000" w:themeColor="text1"/>
          <w:spacing w:val="-3"/>
          <w:sz w:val="21"/>
          <w:szCs w:val="21"/>
          <w:highlight w:val="none"/>
          <w:u w:val="single"/>
          <w14:textFill>
            <w14:solidFill>
              <w14:schemeClr w14:val="tx1"/>
            </w14:solidFill>
          </w14:textFill>
        </w:rPr>
        <w:t xml:space="preserve">                                                                                    </w:t>
      </w:r>
    </w:p>
    <w:p>
      <w:pPr>
        <w:pStyle w:val="19"/>
        <w:tabs>
          <w:tab w:val="left" w:pos="8741"/>
        </w:tabs>
        <w:spacing w:after="0" w:line="360" w:lineRule="auto"/>
        <w:ind w:firstLine="408"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pacing w:val="-3"/>
          <w:sz w:val="21"/>
          <w:szCs w:val="21"/>
          <w:highlight w:val="none"/>
          <w:u w:val="single"/>
          <w14:textFill>
            <w14:solidFill>
              <w14:schemeClr w14:val="tx1"/>
            </w14:solidFill>
          </w14:textFill>
        </w:rPr>
        <w:t xml:space="preserve">                                                                                    </w:t>
      </w:r>
    </w:p>
    <w:p>
      <w:pPr>
        <w:pStyle w:val="19"/>
        <w:spacing w:after="0" w:line="360" w:lineRule="auto"/>
        <w:ind w:firstLine="419"/>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5.本协议书自所有成员单位法定代表人</w:t>
      </w:r>
      <w:r>
        <w:rPr>
          <w:rFonts w:hint="eastAsia" w:ascii="宋体" w:hAnsi="宋体"/>
          <w:color w:val="000000" w:themeColor="text1"/>
          <w:sz w:val="21"/>
          <w:szCs w:val="21"/>
          <w:highlight w:val="none"/>
          <w14:textFill>
            <w14:solidFill>
              <w14:schemeClr w14:val="tx1"/>
            </w14:solidFill>
          </w14:textFill>
        </w:rPr>
        <w:t>盖章并加</w:t>
      </w:r>
      <w:r>
        <w:rPr>
          <w:rFonts w:ascii="宋体" w:hAnsi="宋体"/>
          <w:color w:val="000000" w:themeColor="text1"/>
          <w:sz w:val="21"/>
          <w:szCs w:val="21"/>
          <w:highlight w:val="none"/>
          <w14:textFill>
            <w14:solidFill>
              <w14:schemeClr w14:val="tx1"/>
            </w14:solidFill>
          </w14:textFill>
        </w:rPr>
        <w:t>盖单位</w:t>
      </w:r>
      <w:r>
        <w:rPr>
          <w:rFonts w:hint="eastAsia" w:ascii="宋体" w:hAnsi="宋体"/>
          <w:color w:val="000000" w:themeColor="text1"/>
          <w:sz w:val="21"/>
          <w:szCs w:val="21"/>
          <w:highlight w:val="none"/>
          <w14:textFill>
            <w14:solidFill>
              <w14:schemeClr w14:val="tx1"/>
            </w14:solidFill>
          </w14:textFill>
        </w:rPr>
        <w:t>公章</w:t>
      </w:r>
      <w:r>
        <w:rPr>
          <w:rFonts w:ascii="宋体" w:hAnsi="宋体"/>
          <w:color w:val="000000" w:themeColor="text1"/>
          <w:sz w:val="21"/>
          <w:szCs w:val="21"/>
          <w:highlight w:val="none"/>
          <w14:textFill>
            <w14:solidFill>
              <w14:schemeClr w14:val="tx1"/>
            </w14:solidFill>
          </w14:textFill>
        </w:rPr>
        <w:t>之日起生效，合同履行完毕后自动失效。</w:t>
      </w:r>
    </w:p>
    <w:p>
      <w:pPr>
        <w:pStyle w:val="19"/>
        <w:tabs>
          <w:tab w:val="left" w:pos="2464"/>
        </w:tabs>
        <w:spacing w:after="0"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6.本协议书一式</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14:textFill>
            <w14:solidFill>
              <w14:schemeClr w14:val="tx1"/>
            </w14:solidFill>
          </w14:textFill>
        </w:rPr>
        <w:t>份，联合体成员和招标人各执一份。</w:t>
      </w:r>
    </w:p>
    <w:p>
      <w:pPr>
        <w:pStyle w:val="19"/>
        <w:tabs>
          <w:tab w:val="left" w:pos="6930"/>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联合体牵头人名称：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盖投标人单位公章</w:t>
      </w:r>
      <w:r>
        <w:rPr>
          <w:rFonts w:ascii="宋体" w:hAnsi="宋体"/>
          <w:color w:val="000000" w:themeColor="text1"/>
          <w:sz w:val="21"/>
          <w:szCs w:val="21"/>
          <w:highlight w:val="none"/>
          <w14:textFill>
            <w14:solidFill>
              <w14:schemeClr w14:val="tx1"/>
            </w14:solidFill>
          </w14:textFill>
        </w:rPr>
        <w:t>）</w:t>
      </w:r>
    </w:p>
    <w:p>
      <w:pPr>
        <w:pStyle w:val="19"/>
        <w:tabs>
          <w:tab w:val="left" w:pos="7455"/>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签字或盖章</w:t>
      </w:r>
      <w:r>
        <w:rPr>
          <w:rFonts w:ascii="宋体" w:hAnsi="宋体"/>
          <w:color w:val="000000" w:themeColor="text1"/>
          <w:sz w:val="21"/>
          <w:szCs w:val="21"/>
          <w:highlight w:val="none"/>
          <w14:textFill>
            <w14:solidFill>
              <w14:schemeClr w14:val="tx1"/>
            </w14:solidFill>
          </w14:textFill>
        </w:rPr>
        <w:t>）</w:t>
      </w:r>
    </w:p>
    <w:p>
      <w:pPr>
        <w:pStyle w:val="19"/>
        <w:spacing w:after="0"/>
        <w:ind w:firstLine="1274" w:firstLineChars="607"/>
        <w:rPr>
          <w:rFonts w:ascii="宋体" w:hAnsi="宋体"/>
          <w:color w:val="000000" w:themeColor="text1"/>
          <w:sz w:val="21"/>
          <w:szCs w:val="21"/>
          <w:highlight w:val="none"/>
          <w14:textFill>
            <w14:solidFill>
              <w14:schemeClr w14:val="tx1"/>
            </w14:solidFill>
          </w14:textFill>
        </w:rPr>
      </w:pPr>
    </w:p>
    <w:p>
      <w:pPr>
        <w:pStyle w:val="19"/>
        <w:tabs>
          <w:tab w:val="left" w:pos="6930"/>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联合体成员名称：</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盖投标人单位公章</w:t>
      </w:r>
      <w:r>
        <w:rPr>
          <w:rFonts w:ascii="宋体" w:hAnsi="宋体"/>
          <w:color w:val="000000" w:themeColor="text1"/>
          <w:sz w:val="21"/>
          <w:szCs w:val="21"/>
          <w:highlight w:val="none"/>
          <w14:textFill>
            <w14:solidFill>
              <w14:schemeClr w14:val="tx1"/>
            </w14:solidFill>
          </w14:textFill>
        </w:rPr>
        <w:t>）</w:t>
      </w:r>
    </w:p>
    <w:p>
      <w:pPr>
        <w:pStyle w:val="19"/>
        <w:tabs>
          <w:tab w:val="left" w:pos="6401"/>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签字或盖章</w:t>
      </w:r>
      <w:r>
        <w:rPr>
          <w:rFonts w:ascii="宋体" w:hAnsi="宋体"/>
          <w:color w:val="000000" w:themeColor="text1"/>
          <w:sz w:val="21"/>
          <w:szCs w:val="21"/>
          <w:highlight w:val="none"/>
          <w14:textFill>
            <w14:solidFill>
              <w14:schemeClr w14:val="tx1"/>
            </w14:solidFill>
          </w14:textFill>
        </w:rPr>
        <w:t>）</w:t>
      </w:r>
    </w:p>
    <w:p>
      <w:pPr>
        <w:pStyle w:val="19"/>
        <w:spacing w:after="0"/>
        <w:ind w:firstLine="1274" w:firstLineChars="607"/>
        <w:rPr>
          <w:rFonts w:ascii="宋体" w:hAnsi="宋体"/>
          <w:color w:val="000000" w:themeColor="text1"/>
          <w:sz w:val="21"/>
          <w:szCs w:val="21"/>
          <w:highlight w:val="none"/>
          <w14:textFill>
            <w14:solidFill>
              <w14:schemeClr w14:val="tx1"/>
            </w14:solidFill>
          </w14:textFill>
        </w:rPr>
      </w:pPr>
    </w:p>
    <w:p>
      <w:pPr>
        <w:pStyle w:val="19"/>
        <w:tabs>
          <w:tab w:val="left" w:pos="6930"/>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联合体成员名称：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盖投标人单位公章</w:t>
      </w:r>
      <w:r>
        <w:rPr>
          <w:rFonts w:ascii="宋体" w:hAnsi="宋体"/>
          <w:color w:val="000000" w:themeColor="text1"/>
          <w:sz w:val="21"/>
          <w:szCs w:val="21"/>
          <w:highlight w:val="none"/>
          <w14:textFill>
            <w14:solidFill>
              <w14:schemeClr w14:val="tx1"/>
            </w14:solidFill>
          </w14:textFill>
        </w:rPr>
        <w:t>）</w:t>
      </w:r>
    </w:p>
    <w:p>
      <w:pPr>
        <w:pStyle w:val="19"/>
        <w:tabs>
          <w:tab w:val="left" w:pos="6401"/>
        </w:tabs>
        <w:spacing w:after="0"/>
        <w:ind w:firstLine="1274" w:firstLineChars="607"/>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签字或盖章</w:t>
      </w:r>
      <w:r>
        <w:rPr>
          <w:rFonts w:ascii="宋体" w:hAnsi="宋体"/>
          <w:color w:val="000000" w:themeColor="text1"/>
          <w:sz w:val="21"/>
          <w:szCs w:val="21"/>
          <w:highlight w:val="none"/>
          <w14:textFill>
            <w14:solidFill>
              <w14:schemeClr w14:val="tx1"/>
            </w14:solidFill>
          </w14:textFill>
        </w:rPr>
        <w:t>）</w:t>
      </w:r>
    </w:p>
    <w:p>
      <w:pPr>
        <w:pStyle w:val="19"/>
        <w:spacing w:after="0"/>
        <w:rPr>
          <w:rFonts w:ascii="宋体" w:hAnsi="宋体"/>
          <w:color w:val="000000" w:themeColor="text1"/>
          <w:sz w:val="21"/>
          <w:szCs w:val="21"/>
          <w:highlight w:val="none"/>
          <w14:textFill>
            <w14:solidFill>
              <w14:schemeClr w14:val="tx1"/>
            </w14:solidFill>
          </w14:textFill>
        </w:rPr>
      </w:pPr>
    </w:p>
    <w:p>
      <w:pPr>
        <w:pStyle w:val="19"/>
        <w:spacing w:after="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p>
    <w:p>
      <w:pPr>
        <w:spacing w:line="480" w:lineRule="auto"/>
        <w:ind w:firstLine="6090" w:firstLineChars="2900"/>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pacing w:val="-3"/>
          <w:sz w:val="21"/>
          <w:szCs w:val="21"/>
          <w:highlight w:val="none"/>
          <w14:textFill>
            <w14:solidFill>
              <w14:schemeClr w14:val="tx1"/>
            </w14:solidFill>
          </w14:textFill>
        </w:rPr>
        <w:t>月</w:t>
      </w:r>
      <w:r>
        <w:rPr>
          <w:rFonts w:ascii="宋体" w:hAnsi="宋体"/>
          <w:color w:val="000000" w:themeColor="text1"/>
          <w:spacing w:val="-3"/>
          <w:sz w:val="21"/>
          <w:szCs w:val="21"/>
          <w:highlight w:val="none"/>
          <w:u w:val="single"/>
          <w14:textFill>
            <w14:solidFill>
              <w14:schemeClr w14:val="tx1"/>
            </w14:solidFill>
          </w14:textFill>
        </w:rPr>
        <w:t xml:space="preserve"> </w:t>
      </w:r>
      <w:r>
        <w:rPr>
          <w:rFonts w:hint="eastAsia" w:ascii="宋体" w:hAnsi="宋体"/>
          <w:color w:val="000000" w:themeColor="text1"/>
          <w:spacing w:val="-3"/>
          <w:sz w:val="21"/>
          <w:szCs w:val="21"/>
          <w:highlight w:val="none"/>
          <w:u w:val="single"/>
          <w14:textFill>
            <w14:solidFill>
              <w14:schemeClr w14:val="tx1"/>
            </w14:solidFill>
          </w14:textFill>
        </w:rPr>
        <w:t xml:space="preserve">  </w:t>
      </w:r>
      <w:r>
        <w:rPr>
          <w:rFonts w:ascii="宋体" w:hAnsi="宋体"/>
          <w:color w:val="000000" w:themeColor="text1"/>
          <w:spacing w:val="-3"/>
          <w:sz w:val="21"/>
          <w:szCs w:val="21"/>
          <w:highlight w:val="none"/>
          <w:u w:val="single"/>
          <w14:textFill>
            <w14:solidFill>
              <w14:schemeClr w14:val="tx1"/>
            </w14:solidFill>
          </w14:textFill>
        </w:rPr>
        <w:tab/>
      </w:r>
      <w:r>
        <w:rPr>
          <w:rFonts w:ascii="宋体" w:hAnsi="宋体"/>
          <w:color w:val="000000" w:themeColor="text1"/>
          <w:sz w:val="21"/>
          <w:szCs w:val="21"/>
          <w:highlight w:val="none"/>
          <w14:textFill>
            <w14:solidFill>
              <w14:schemeClr w14:val="tx1"/>
            </w14:solidFill>
          </w14:textFill>
        </w:rPr>
        <w:t>日</w:t>
      </w: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附表11：其他需要提交的资料</w:t>
      </w:r>
    </w:p>
    <w:p>
      <w:pPr>
        <w:spacing w:beforeLines="100" w:afterLines="50" w:line="360" w:lineRule="auto"/>
        <w:jc w:val="center"/>
        <w:rPr>
          <w:rFonts w:hint="eastAsia" w:ascii="宋体" w:hAnsi="宋体" w:eastAsia="宋体" w:cs="宋体"/>
          <w:color w:val="000000" w:themeColor="text1"/>
          <w:kern w:val="1"/>
          <w:szCs w:val="21"/>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其他需要提交的资料</w:t>
      </w:r>
      <w:r>
        <w:rPr>
          <w:rStyle w:val="49"/>
          <w:rFonts w:hint="eastAsia" w:ascii="黑体" w:hAnsi="黑体" w:eastAsia="黑体"/>
          <w:color w:val="000000" w:themeColor="text1"/>
          <w:sz w:val="32"/>
          <w:szCs w:val="32"/>
          <w:highlight w:val="none"/>
          <w:lang w:val="en-US" w:eastAsia="zh-CN"/>
          <w14:textFill>
            <w14:solidFill>
              <w14:schemeClr w14:val="tx1"/>
            </w14:solidFill>
          </w14:textFill>
        </w:rPr>
        <w:footnoteReference w:id="76"/>
      </w:r>
    </w:p>
    <w:p>
      <w:pPr>
        <w:pStyle w:val="15"/>
        <w:keepNext w:val="0"/>
        <w:keepLines w:val="0"/>
        <w:pageBreakBefore w:val="0"/>
        <w:widowControl w:val="0"/>
        <w:numPr>
          <w:ilvl w:val="0"/>
          <w:numId w:val="0"/>
        </w:numPr>
        <w:tabs>
          <w:tab w:val="left" w:pos="113"/>
          <w:tab w:val="left" w:pos="1000"/>
        </w:tabs>
        <w:kinsoku/>
        <w:wordWrap/>
        <w:overflowPunct/>
        <w:topLinePunct w:val="0"/>
        <w:autoSpaceDE/>
        <w:autoSpaceDN/>
        <w:bidi w:val="0"/>
        <w:adjustRightInd w:val="0"/>
        <w:snapToGrid/>
        <w:spacing w:line="360" w:lineRule="auto"/>
        <w:ind w:left="0" w:leftChars="0" w:firstLine="399" w:firstLineChars="190"/>
        <w:textAlignment w:val="baseline"/>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被最高人民法院在“信用中国”网站或各级信用信息共享平台中列入失信被执行人名单</w:t>
      </w:r>
      <w:r>
        <w:rPr>
          <w:rFonts w:hint="eastAsia" w:ascii="宋体" w:hAnsi="宋体" w:eastAsia="宋体" w:cs="宋体"/>
          <w:color w:val="000000" w:themeColor="text1"/>
          <w:kern w:val="1"/>
          <w:szCs w:val="21"/>
          <w:highlight w:val="none"/>
          <w:lang w:val="en-US" w:eastAsia="zh-CN"/>
          <w14:textFill>
            <w14:solidFill>
              <w14:schemeClr w14:val="tx1"/>
            </w14:solidFill>
          </w14:textFill>
        </w:rPr>
        <w:t>且属于</w:t>
      </w:r>
      <w:r>
        <w:rPr>
          <w:rFonts w:hint="eastAsia" w:ascii="宋体" w:hAnsi="宋体" w:eastAsia="宋体" w:cs="宋体"/>
          <w:bCs/>
          <w:iCs/>
          <w:strike w:val="0"/>
          <w:color w:val="000000" w:themeColor="text1"/>
          <w:szCs w:val="21"/>
          <w:highlight w:val="none"/>
          <w:lang w:val="en-US" w:eastAsia="zh-CN"/>
          <w14:textFill>
            <w14:solidFill>
              <w14:schemeClr w14:val="tx1"/>
            </w14:solidFill>
          </w14:textFill>
        </w:rPr>
        <w:t>人民法院裁定批准重整计划、认可和解协议情形的，投标人应提供相关</w:t>
      </w:r>
      <w:r>
        <w:rPr>
          <w:rFonts w:hint="eastAsia" w:ascii="宋体" w:hAnsi="宋体" w:eastAsia="宋体" w:cs="宋体"/>
          <w:color w:val="000000" w:themeColor="text1"/>
          <w:kern w:val="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pStyle w:val="15"/>
        <w:keepNext w:val="0"/>
        <w:keepLines w:val="0"/>
        <w:pageBreakBefore w:val="0"/>
        <w:widowControl w:val="0"/>
        <w:numPr>
          <w:ilvl w:val="0"/>
          <w:numId w:val="0"/>
        </w:numPr>
        <w:tabs>
          <w:tab w:val="left" w:pos="113"/>
          <w:tab w:val="left" w:pos="1000"/>
        </w:tabs>
        <w:kinsoku/>
        <w:wordWrap/>
        <w:overflowPunct/>
        <w:topLinePunct w:val="0"/>
        <w:autoSpaceDE/>
        <w:autoSpaceDN/>
        <w:bidi w:val="0"/>
        <w:adjustRightInd w:val="0"/>
        <w:snapToGrid/>
        <w:spacing w:line="360" w:lineRule="auto"/>
        <w:ind w:left="0" w:leftChars="0" w:firstLine="399" w:firstLineChars="190"/>
        <w:textAlignment w:val="baseline"/>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2.其他</w:t>
      </w:r>
    </w:p>
    <w:p>
      <w:pPr>
        <w:pStyle w:val="15"/>
        <w:tabs>
          <w:tab w:val="left" w:pos="113"/>
          <w:tab w:val="left" w:pos="1000"/>
        </w:tabs>
        <w:spacing w:line="360" w:lineRule="auto"/>
        <w:ind w:firstLine="48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
          <w:szCs w:val="21"/>
          <w:highlight w:val="none"/>
          <w:lang w:val="en-US" w:eastAsia="zh-CN"/>
          <w14:textFill>
            <w14:solidFill>
              <w14:schemeClr w14:val="tx1"/>
            </w14:solidFill>
          </w14:textFill>
        </w:rPr>
        <w:t>……</w:t>
      </w:r>
    </w:p>
    <w:p>
      <w:pPr>
        <w:spacing w:after="100" w:afterAutospacing="1" w:line="360" w:lineRule="auto"/>
        <w:rPr>
          <w:rFonts w:ascii="宋体" w:hAnsi="宋体"/>
          <w:color w:val="000000" w:themeColor="text1"/>
          <w:szCs w:val="21"/>
          <w:highlight w:val="none"/>
          <w14:textFill>
            <w14:solidFill>
              <w14:schemeClr w14:val="tx1"/>
            </w14:solidFill>
          </w14:textFill>
        </w:rPr>
      </w:pPr>
      <w:bookmarkStart w:id="3409" w:name="_Toc516753563"/>
      <w:bookmarkStart w:id="3410" w:name="_Toc300038999"/>
      <w:bookmarkStart w:id="3411" w:name="_Toc6084"/>
      <w:bookmarkStart w:id="3412" w:name="_Toc7568"/>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spacing w:after="100" w:afterAutospacing="1" w:line="360" w:lineRule="auto"/>
        <w:rPr>
          <w:rFonts w:ascii="宋体" w:hAnsi="宋体"/>
          <w:color w:val="000000" w:themeColor="text1"/>
          <w:szCs w:val="21"/>
          <w:highlight w:val="none"/>
          <w14:textFill>
            <w14:solidFill>
              <w14:schemeClr w14:val="tx1"/>
            </w14:solidFill>
          </w14:textFill>
        </w:rPr>
      </w:pPr>
    </w:p>
    <w:p>
      <w:pPr>
        <w:pStyle w:val="5"/>
        <w:spacing w:before="0" w:after="0" w:line="360" w:lineRule="auto"/>
        <w:rPr>
          <w:rFonts w:ascii="宋体" w:hAnsi="宋体" w:eastAsia="宋体"/>
          <w:color w:val="000000" w:themeColor="text1"/>
          <w:sz w:val="44"/>
          <w:szCs w:val="44"/>
          <w:highlight w:val="none"/>
          <w14:textFill>
            <w14:solidFill>
              <w14:schemeClr w14:val="tx1"/>
            </w14:solidFill>
          </w14:textFill>
        </w:rPr>
      </w:pPr>
    </w:p>
    <w:p>
      <w:pPr>
        <w:pStyle w:val="6"/>
        <w:spacing w:before="3000" w:after="0"/>
        <w:jc w:val="center"/>
        <w:rPr>
          <w:rFonts w:ascii="黑体" w:hAnsi="黑体" w:eastAsia="黑体"/>
          <w:b w:val="0"/>
          <w:color w:val="000000" w:themeColor="text1"/>
          <w:highlight w:val="none"/>
          <w14:textFill>
            <w14:solidFill>
              <w14:schemeClr w14:val="tx1"/>
            </w14:solidFill>
          </w14:textFill>
        </w:rPr>
      </w:pPr>
      <w:bookmarkStart w:id="3413" w:name="_Toc12121"/>
      <w:bookmarkStart w:id="3414" w:name="_Toc10936"/>
      <w:bookmarkStart w:id="3415" w:name="_Toc6368"/>
      <w:bookmarkStart w:id="3416" w:name="_Toc2901"/>
      <w:bookmarkStart w:id="3417" w:name="_Toc106719501"/>
      <w:bookmarkStart w:id="3418" w:name="_Toc52137919"/>
      <w:bookmarkStart w:id="3419" w:name="_Toc6723"/>
      <w:bookmarkStart w:id="3420" w:name="_Toc11320"/>
      <w:bookmarkStart w:id="3421" w:name="_Toc16376"/>
      <w:bookmarkStart w:id="3422" w:name="_Toc11313"/>
      <w:bookmarkStart w:id="3423" w:name="_Toc17853"/>
      <w:bookmarkStart w:id="3424" w:name="_Toc20831"/>
      <w:bookmarkStart w:id="3425" w:name="_Toc19400"/>
      <w:bookmarkStart w:id="3426" w:name="_Toc8984"/>
      <w:r>
        <w:rPr>
          <w:rFonts w:hint="eastAsia" w:ascii="黑体" w:hAnsi="黑体" w:eastAsia="黑体"/>
          <w:b w:val="0"/>
          <w:color w:val="000000" w:themeColor="text1"/>
          <w:highlight w:val="none"/>
          <w14:textFill>
            <w14:solidFill>
              <w14:schemeClr w14:val="tx1"/>
            </w14:solidFill>
          </w14:textFill>
        </w:rPr>
        <w:t>二、商务文件</w:t>
      </w:r>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3"/>
        <w:tabs>
          <w:tab w:val="left" w:pos="285"/>
          <w:tab w:val="center" w:pos="4320"/>
        </w:tabs>
        <w:spacing w:line="264"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（用于商务文件封面）</w:t>
      </w:r>
    </w:p>
    <w:p>
      <w:pPr>
        <w:pStyle w:val="23"/>
        <w:spacing w:line="264" w:lineRule="auto"/>
        <w:jc w:val="center"/>
        <w:rPr>
          <w:rFonts w:hAnsi="宋体"/>
          <w:color w:val="000000" w:themeColor="text1"/>
          <w:sz w:val="36"/>
          <w:highlight w:val="none"/>
          <w14:textFill>
            <w14:solidFill>
              <w14:schemeClr w14:val="tx1"/>
            </w14:solidFill>
          </w14:textFill>
        </w:rPr>
      </w:pPr>
    </w:p>
    <w:p>
      <w:pPr>
        <w:pStyle w:val="23"/>
        <w:spacing w:line="264" w:lineRule="auto"/>
        <w:ind w:firstLine="1760" w:firstLineChars="550"/>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项目名称：</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pStyle w:val="23"/>
        <w:spacing w:beforeLines="100" w:afterLines="100" w:line="264" w:lineRule="auto"/>
        <w:ind w:firstLine="1840" w:firstLineChars="575"/>
        <w:rPr>
          <w:rFonts w:ascii="黑体" w:hAnsi="黑体" w:eastAsia="黑体"/>
          <w:color w:val="000000" w:themeColor="text1"/>
          <w:sz w:val="36"/>
          <w:highlight w:val="none"/>
          <w14:textFill>
            <w14:solidFill>
              <w14:schemeClr w14:val="tx1"/>
            </w14:solidFill>
          </w14:textFill>
        </w:rPr>
      </w:pPr>
      <w:r>
        <w:rPr>
          <w:rFonts w:hint="eastAsia" w:ascii="黑体" w:hAnsi="黑体" w:eastAsia="黑体"/>
          <w:color w:val="000000" w:themeColor="text1"/>
          <w:sz w:val="32"/>
          <w:highlight w:val="none"/>
          <w14:textFill>
            <w14:solidFill>
              <w14:schemeClr w14:val="tx1"/>
            </w14:solidFill>
          </w14:textFill>
        </w:rPr>
        <w:t>招标</w:t>
      </w:r>
      <w:r>
        <w:rPr>
          <w:rFonts w:hint="eastAsia" w:ascii="黑体" w:hAnsi="黑体" w:eastAsia="黑体"/>
          <w:color w:val="000000" w:themeColor="text1"/>
          <w:sz w:val="32"/>
          <w:highlight w:val="none"/>
          <w:lang w:val="en-US" w:eastAsia="zh-CN"/>
          <w14:textFill>
            <w14:solidFill>
              <w14:schemeClr w14:val="tx1"/>
            </w14:solidFill>
          </w14:textFill>
        </w:rPr>
        <w:t>项目</w:t>
      </w:r>
      <w:r>
        <w:rPr>
          <w:rFonts w:hint="eastAsia" w:ascii="黑体" w:hAnsi="黑体" w:eastAsia="黑体"/>
          <w:color w:val="000000" w:themeColor="text1"/>
          <w:sz w:val="32"/>
          <w:highlight w:val="none"/>
          <w14:textFill>
            <w14:solidFill>
              <w14:schemeClr w14:val="tx1"/>
            </w14:solidFill>
          </w14:textFill>
        </w:rPr>
        <w:t>编号：</w:t>
      </w:r>
      <w:r>
        <w:rPr>
          <w:rFonts w:hint="eastAsia" w:ascii="黑体" w:hAnsi="黑体" w:eastAsia="黑体"/>
          <w:color w:val="000000" w:themeColor="text1"/>
          <w:sz w:val="32"/>
          <w:highlight w:val="none"/>
          <w:u w:val="single"/>
          <w14:textFill>
            <w14:solidFill>
              <w14:schemeClr w14:val="tx1"/>
            </w14:solidFill>
          </w14:textFill>
        </w:rPr>
        <w:t xml:space="preserve">                   </w:t>
      </w:r>
      <w:r>
        <w:rPr>
          <w:rFonts w:ascii="黑体" w:hAnsi="黑体" w:eastAsia="黑体"/>
          <w:color w:val="000000" w:themeColor="text1"/>
          <w:sz w:val="32"/>
          <w:highlight w:val="none"/>
          <w14:textFill>
            <w14:solidFill>
              <w14:schemeClr w14:val="tx1"/>
            </w14:solidFill>
          </w14:textFill>
        </w:rPr>
        <w:t xml:space="preserve"> </w:t>
      </w:r>
      <w:r>
        <w:rPr>
          <w:rFonts w:ascii="黑体" w:hAnsi="黑体" w:eastAsia="黑体"/>
          <w:color w:val="000000" w:themeColor="text1"/>
          <w:sz w:val="32"/>
          <w:highlight w:val="none"/>
          <w14:textFill>
            <w14:solidFill>
              <w14:schemeClr w14:val="tx1"/>
            </w14:solidFill>
          </w14:textFill>
        </w:rPr>
        <w:br w:type="textWrapping"/>
      </w:r>
    </w:p>
    <w:p>
      <w:pPr>
        <w:pStyle w:val="23"/>
        <w:spacing w:line="264" w:lineRule="auto"/>
        <w:jc w:val="center"/>
        <w:rPr>
          <w:rFonts w:ascii="黑体" w:hAnsi="黑体" w:eastAsia="黑体"/>
          <w:b/>
          <w:color w:val="000000" w:themeColor="text1"/>
          <w:sz w:val="84"/>
          <w:highlight w:val="none"/>
          <w14:textFill>
            <w14:solidFill>
              <w14:schemeClr w14:val="tx1"/>
            </w14:solidFill>
          </w14:textFill>
        </w:rPr>
      </w:pPr>
    </w:p>
    <w:p>
      <w:pPr>
        <w:pStyle w:val="23"/>
        <w:spacing w:line="264" w:lineRule="auto"/>
        <w:jc w:val="center"/>
        <w:rPr>
          <w:rFonts w:ascii="黑体" w:hAnsi="黑体" w:eastAsia="黑体"/>
          <w:color w:val="000000" w:themeColor="text1"/>
          <w:sz w:val="28"/>
          <w:highlight w:val="none"/>
          <w14:textFill>
            <w14:solidFill>
              <w14:schemeClr w14:val="tx1"/>
            </w14:solidFill>
          </w14:textFill>
        </w:rPr>
      </w:pPr>
      <w:r>
        <w:rPr>
          <w:rFonts w:hint="eastAsia" w:ascii="黑体" w:hAnsi="黑体" w:eastAsia="黑体"/>
          <w:b/>
          <w:color w:val="000000" w:themeColor="text1"/>
          <w:sz w:val="84"/>
          <w:highlight w:val="none"/>
          <w14:textFill>
            <w14:solidFill>
              <w14:schemeClr w14:val="tx1"/>
            </w14:solidFill>
          </w14:textFill>
        </w:rPr>
        <w:t>投 标 文 件</w:t>
      </w:r>
    </w:p>
    <w:p>
      <w:pPr>
        <w:pStyle w:val="23"/>
        <w:spacing w:line="264" w:lineRule="auto"/>
        <w:jc w:val="center"/>
        <w:rPr>
          <w:rFonts w:ascii="黑体" w:hAnsi="黑体" w:eastAsia="黑体"/>
          <w:color w:val="000000" w:themeColor="text1"/>
          <w:sz w:val="72"/>
          <w:highlight w:val="none"/>
          <w14:textFill>
            <w14:solidFill>
              <w14:schemeClr w14:val="tx1"/>
            </w14:solidFill>
          </w14:textFill>
        </w:rPr>
      </w:pPr>
    </w:p>
    <w:p>
      <w:pPr>
        <w:pStyle w:val="23"/>
        <w:spacing w:line="264" w:lineRule="auto"/>
        <w:jc w:val="center"/>
        <w:rPr>
          <w:rFonts w:ascii="黑体" w:hAnsi="黑体" w:eastAsia="黑体"/>
          <w:color w:val="000000" w:themeColor="text1"/>
          <w:sz w:val="52"/>
          <w:szCs w:val="52"/>
          <w:highlight w:val="none"/>
          <w14:textFill>
            <w14:solidFill>
              <w14:schemeClr w14:val="tx1"/>
            </w14:solidFill>
          </w14:textFill>
        </w:rPr>
      </w:pPr>
    </w:p>
    <w:p>
      <w:pPr>
        <w:pStyle w:val="23"/>
        <w:spacing w:line="264" w:lineRule="auto"/>
        <w:jc w:val="center"/>
        <w:rPr>
          <w:rFonts w:ascii="黑体" w:hAnsi="黑体" w:eastAsia="黑体"/>
          <w:color w:val="000000" w:themeColor="text1"/>
          <w:sz w:val="72"/>
          <w:highlight w:val="none"/>
          <w14:textFill>
            <w14:solidFill>
              <w14:schemeClr w14:val="tx1"/>
            </w14:solidFill>
          </w14:textFill>
        </w:rPr>
      </w:pPr>
    </w:p>
    <w:p>
      <w:pPr>
        <w:pStyle w:val="23"/>
        <w:spacing w:line="264" w:lineRule="auto"/>
        <w:jc w:val="center"/>
        <w:rPr>
          <w:rFonts w:ascii="黑体" w:hAnsi="黑体" w:eastAsia="黑体"/>
          <w:color w:val="000000" w:themeColor="text1"/>
          <w:sz w:val="72"/>
          <w:highlight w:val="none"/>
          <w14:textFill>
            <w14:solidFill>
              <w14:schemeClr w14:val="tx1"/>
            </w14:solidFill>
          </w14:textFill>
        </w:rPr>
      </w:pPr>
    </w:p>
    <w:p>
      <w:pPr>
        <w:pStyle w:val="23"/>
        <w:spacing w:line="360" w:lineRule="auto"/>
        <w:ind w:firstLine="565" w:firstLineChars="202"/>
        <w:jc w:val="left"/>
        <w:rPr>
          <w:rFonts w:ascii="黑体" w:hAnsi="黑体" w:eastAsia="黑体"/>
          <w:color w:val="000000" w:themeColor="text1"/>
          <w:sz w:val="28"/>
          <w:szCs w:val="28"/>
          <w:highlight w:val="none"/>
          <w:u w:val="singl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投标文件内容</w:t>
      </w:r>
      <w:r>
        <w:rPr>
          <w:rFonts w:hint="eastAsia" w:ascii="黑体" w:hAnsi="黑体" w:eastAsia="黑体"/>
          <w:color w:val="000000" w:themeColor="text1"/>
          <w:sz w:val="28"/>
          <w:szCs w:val="28"/>
          <w:highlight w:val="none"/>
          <w:u w:val="single"/>
          <w14:textFill>
            <w14:solidFill>
              <w14:schemeClr w14:val="tx1"/>
            </w14:solidFill>
          </w14:textFill>
        </w:rPr>
        <w:t xml:space="preserve">          商务文件             </w:t>
      </w:r>
    </w:p>
    <w:p>
      <w:pPr>
        <w:pStyle w:val="23"/>
        <w:spacing w:line="360" w:lineRule="auto"/>
        <w:ind w:firstLine="606" w:firstLineChars="202"/>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投标人</w:t>
      </w:r>
      <w:r>
        <w:rPr>
          <w:rFonts w:ascii="黑体" w:hAnsi="黑体" w:eastAsia="黑体"/>
          <w:color w:val="000000" w:themeColor="text1"/>
          <w:sz w:val="30"/>
          <w:highlight w:val="none"/>
          <w14:textFill>
            <w14:solidFill>
              <w14:schemeClr w14:val="tx1"/>
            </w14:solidFill>
          </w14:textFill>
        </w:rPr>
        <w:t>:</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（盖投标人单位公章）</w:t>
      </w:r>
      <w:r>
        <w:rPr>
          <w:rStyle w:val="49"/>
          <w:rFonts w:ascii="黑体" w:hAnsi="黑体" w:eastAsia="黑体"/>
          <w:color w:val="000000" w:themeColor="text1"/>
          <w:sz w:val="30"/>
          <w:highlight w:val="none"/>
          <w14:textFill>
            <w14:solidFill>
              <w14:schemeClr w14:val="tx1"/>
            </w14:solidFill>
          </w14:textFill>
        </w:rPr>
        <w:footnoteReference w:id="77"/>
      </w:r>
    </w:p>
    <w:p>
      <w:pPr>
        <w:pStyle w:val="23"/>
        <w:spacing w:line="360" w:lineRule="auto"/>
        <w:ind w:firstLine="606" w:firstLineChars="202"/>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法定代表人或委托代理人：</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（签字或盖章）</w:t>
      </w:r>
      <w:r>
        <w:rPr>
          <w:rStyle w:val="49"/>
          <w:rFonts w:ascii="黑体" w:hAnsi="黑体" w:eastAsia="黑体"/>
          <w:color w:val="000000" w:themeColor="text1"/>
          <w:sz w:val="30"/>
          <w:highlight w:val="none"/>
          <w14:textFill>
            <w14:solidFill>
              <w14:schemeClr w14:val="tx1"/>
            </w14:solidFill>
          </w14:textFill>
        </w:rPr>
        <w:footnoteReference w:id="78"/>
      </w:r>
    </w:p>
    <w:p>
      <w:pPr>
        <w:pStyle w:val="23"/>
        <w:spacing w:line="360" w:lineRule="auto"/>
        <w:ind w:firstLine="606" w:firstLineChars="202"/>
        <w:jc w:val="left"/>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日期：</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年</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月</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日</w:t>
      </w:r>
    </w:p>
    <w:p>
      <w:pPr>
        <w:pStyle w:val="23"/>
        <w:spacing w:beforeLines="100" w:afterLines="100" w:line="360" w:lineRule="auto"/>
        <w:ind w:left="629"/>
        <w:jc w:val="center"/>
        <w:rPr>
          <w:rFonts w:hAnsi="宋体"/>
          <w:b/>
          <w:color w:val="000000" w:themeColor="text1"/>
          <w:sz w:val="32"/>
          <w:szCs w:val="32"/>
          <w:highlight w:val="none"/>
          <w14:textFill>
            <w14:solidFill>
              <w14:schemeClr w14:val="tx1"/>
            </w14:solidFill>
          </w14:textFill>
        </w:rPr>
      </w:pPr>
    </w:p>
    <w:p>
      <w:pPr>
        <w:pStyle w:val="23"/>
        <w:spacing w:beforeLines="100" w:afterLines="100" w:line="360" w:lineRule="auto"/>
        <w:ind w:left="629"/>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目 录</w:t>
      </w: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（1）投标函；</w:t>
      </w: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（2）投标函附表；</w:t>
      </w: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（3）投标保证金；</w:t>
      </w: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（4）授权委托书（与资格审查文件一致的可以不再提交）；</w:t>
      </w: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（5）投标报价表；</w:t>
      </w: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（6）其他（根据招标文件的要求或投标人认为需要提供的资料）；</w:t>
      </w: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（7）定标要素情况表。</w:t>
      </w:r>
    </w:p>
    <w:p>
      <w:pPr>
        <w:pStyle w:val="23"/>
        <w:spacing w:line="360" w:lineRule="auto"/>
        <w:ind w:left="629"/>
        <w:jc w:val="left"/>
        <w:rPr>
          <w:rFonts w:hAnsi="宋体"/>
          <w:color w:val="000000" w:themeColor="text1"/>
          <w:sz w:val="28"/>
          <w:szCs w:val="28"/>
          <w:highlight w:val="none"/>
          <w14:textFill>
            <w14:solidFill>
              <w14:schemeClr w14:val="tx1"/>
            </w14:solidFill>
          </w14:textFill>
        </w:rPr>
      </w:pPr>
    </w:p>
    <w:p>
      <w:pPr>
        <w:spacing w:after="100" w:afterAutospacing="1"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序号和页码由投标人自行编列。</w:t>
      </w: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一、投标函</w:t>
      </w:r>
      <w:r>
        <w:rPr>
          <w:rFonts w:hint="eastAsia" w:ascii="宋体" w:hAnsi="宋体" w:eastAsia="宋体"/>
          <w:color w:val="000000" w:themeColor="text1"/>
          <w:szCs w:val="21"/>
          <w:highlight w:val="none"/>
          <w14:textFill>
            <w14:solidFill>
              <w14:schemeClr w14:val="tx1"/>
            </w14:solidFill>
          </w14:textFill>
        </w:rPr>
        <w:t>（格式）</w:t>
      </w:r>
      <w:r>
        <w:rPr>
          <w:rFonts w:hint="eastAsia" w:ascii="宋体" w:hAnsi="宋体" w:eastAsia="宋体"/>
          <w:snapToGrid w:val="0"/>
          <w:color w:val="000000" w:themeColor="text1"/>
          <w:szCs w:val="21"/>
          <w:highlight w:val="none"/>
          <w14:textFill>
            <w14:solidFill>
              <w14:schemeClr w14:val="tx1"/>
            </w14:solidFill>
          </w14:textFill>
        </w:rPr>
        <w:t xml:space="preserve"> </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投 </w:t>
      </w:r>
      <w:r>
        <w:rPr>
          <w:rFonts w:hint="eastAsia" w:ascii="黑体" w:hAnsi="黑体" w:eastAsia="黑体" w:cs="宋体"/>
          <w:color w:val="000000" w:themeColor="text1"/>
          <w:sz w:val="32"/>
          <w:szCs w:val="32"/>
          <w:highlight w:val="none"/>
          <w14:textFill>
            <w14:solidFill>
              <w14:schemeClr w14:val="tx1"/>
            </w14:solidFill>
          </w14:textFill>
        </w:rPr>
        <w:t xml:space="preserve">标 </w:t>
      </w:r>
      <w:r>
        <w:rPr>
          <w:rFonts w:hint="eastAsia" w:ascii="黑体" w:hAnsi="黑体" w:eastAsia="黑体"/>
          <w:color w:val="000000" w:themeColor="text1"/>
          <w:sz w:val="32"/>
          <w:szCs w:val="32"/>
          <w:highlight w:val="none"/>
          <w14:textFill>
            <w14:solidFill>
              <w14:schemeClr w14:val="tx1"/>
            </w14:solidFill>
          </w14:textFill>
        </w:rPr>
        <w:t>函</w:t>
      </w:r>
    </w:p>
    <w:p>
      <w:pPr>
        <w:spacing w:line="44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pPr>
        <w:spacing w:line="440" w:lineRule="exact"/>
        <w:ind w:firstLine="525" w:firstLineChars="2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根据</w:t>
      </w:r>
      <w:r>
        <w:rPr>
          <w:rFonts w:hint="eastAsia" w:ascii="宋体" w:hAnsi="宋体" w:cs="宋体"/>
          <w:color w:val="000000" w:themeColor="text1"/>
          <w:sz w:val="21"/>
          <w:szCs w:val="21"/>
          <w:highlight w:val="none"/>
          <w14:textFill>
            <w14:solidFill>
              <w14:schemeClr w14:val="tx1"/>
            </w14:solidFill>
          </w14:textFill>
        </w:rPr>
        <w:t>贵</w:t>
      </w:r>
      <w:r>
        <w:rPr>
          <w:rFonts w:hint="eastAsia" w:ascii="宋体" w:hAnsi="宋体"/>
          <w:color w:val="000000" w:themeColor="text1"/>
          <w:sz w:val="21"/>
          <w:szCs w:val="21"/>
          <w:highlight w:val="none"/>
          <w14:textFill>
            <w14:solidFill>
              <w14:schemeClr w14:val="tx1"/>
            </w14:solidFill>
          </w14:textFill>
        </w:rPr>
        <w:t>方编号</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目名称）勘察招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的招标文件，我方</w:t>
      </w:r>
      <w:r>
        <w:rPr>
          <w:rFonts w:hint="eastAsia" w:ascii="宋体" w:hAnsi="宋体" w:cs="宋体"/>
          <w:color w:val="000000" w:themeColor="text1"/>
          <w:sz w:val="21"/>
          <w:szCs w:val="21"/>
          <w:highlight w:val="none"/>
          <w14:textFill>
            <w14:solidFill>
              <w14:schemeClr w14:val="tx1"/>
            </w14:solidFill>
          </w14:textFill>
        </w:rPr>
        <w:t>针对该项目勘察的勘察费的投标报价为</w:t>
      </w:r>
      <w:r>
        <w:rPr>
          <w:rFonts w:hint="eastAsia" w:ascii="宋体" w:hAnsi="宋体"/>
          <w:color w:val="000000" w:themeColor="text1"/>
          <w:sz w:val="21"/>
          <w:szCs w:val="21"/>
          <w:highlight w:val="none"/>
          <w14:textFill>
            <w14:solidFill>
              <w14:schemeClr w14:val="tx1"/>
            </w14:solidFill>
          </w14:textFill>
        </w:rPr>
        <w:t>投标函附表上所列明的勘察费投标报价总额。并正式授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的下述</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字人代表本投标人提交招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文件要求的全套投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文件，包括：</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文件中要求的投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金</w:t>
      </w:r>
      <w:r>
        <w:rPr>
          <w:rFonts w:hint="eastAsia" w:ascii="宋体" w:hAnsi="宋体" w:cs="宋体"/>
          <w:color w:val="000000" w:themeColor="text1"/>
          <w:sz w:val="21"/>
          <w:szCs w:val="21"/>
          <w:highlight w:val="none"/>
          <w14:textFill>
            <w14:solidFill>
              <w14:schemeClr w14:val="tx1"/>
            </w14:solidFill>
          </w14:textFill>
        </w:rPr>
        <w:t>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（填入提交的投标保证金金额）</w:t>
      </w:r>
      <w:r>
        <w:rPr>
          <w:rFonts w:hint="eastAsia" w:ascii="宋体" w:hAnsi="宋体"/>
          <w:color w:val="000000" w:themeColor="text1"/>
          <w:sz w:val="21"/>
          <w:szCs w:val="21"/>
          <w:highlight w:val="none"/>
          <w14:textFill>
            <w14:solidFill>
              <w14:schemeClr w14:val="tx1"/>
            </w14:solidFill>
          </w14:textFill>
        </w:rPr>
        <w:t>元的投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保</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金；</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3、其他</w:t>
      </w:r>
      <w:r>
        <w:rPr>
          <w:rFonts w:hint="eastAsia" w:ascii="宋体" w:hAnsi="宋体" w:cs="宋体"/>
          <w:color w:val="000000" w:themeColor="text1"/>
          <w:sz w:val="21"/>
          <w:szCs w:val="21"/>
          <w:highlight w:val="none"/>
          <w14:textFill>
            <w14:solidFill>
              <w14:schemeClr w14:val="tx1"/>
            </w14:solidFill>
          </w14:textFill>
        </w:rPr>
        <w:t>资</w:t>
      </w:r>
      <w:r>
        <w:rPr>
          <w:rFonts w:hint="eastAsia" w:ascii="宋体" w:hAnsi="宋体"/>
          <w:color w:val="000000" w:themeColor="text1"/>
          <w:sz w:val="21"/>
          <w:szCs w:val="21"/>
          <w:highlight w:val="none"/>
          <w14:textFill>
            <w14:solidFill>
              <w14:schemeClr w14:val="tx1"/>
            </w14:solidFill>
          </w14:textFill>
        </w:rPr>
        <w:t>料。</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据此函，</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字人</w:t>
      </w:r>
      <w:r>
        <w:rPr>
          <w:rFonts w:hint="eastAsia" w:ascii="宋体" w:hAnsi="宋体" w:cs="宋体"/>
          <w:color w:val="000000" w:themeColor="text1"/>
          <w:sz w:val="21"/>
          <w:szCs w:val="21"/>
          <w:highlight w:val="none"/>
          <w14:textFill>
            <w14:solidFill>
              <w14:schemeClr w14:val="tx1"/>
            </w14:solidFill>
          </w14:textFill>
        </w:rPr>
        <w:t>兹</w:t>
      </w:r>
      <w:r>
        <w:rPr>
          <w:rFonts w:hint="eastAsia" w:ascii="宋体" w:hAnsi="宋体"/>
          <w:color w:val="000000" w:themeColor="text1"/>
          <w:sz w:val="21"/>
          <w:szCs w:val="21"/>
          <w:highlight w:val="none"/>
          <w14:textFill>
            <w14:solidFill>
              <w14:schemeClr w14:val="tx1"/>
            </w14:solidFill>
          </w14:textFill>
        </w:rPr>
        <w:t>宣布同意如下：</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我方已</w:t>
      </w:r>
      <w:r>
        <w:rPr>
          <w:rFonts w:hint="eastAsia" w:ascii="宋体" w:hAnsi="宋体" w:cs="宋体"/>
          <w:color w:val="000000" w:themeColor="text1"/>
          <w:sz w:val="21"/>
          <w:szCs w:val="21"/>
          <w:highlight w:val="none"/>
          <w14:textFill>
            <w14:solidFill>
              <w14:schemeClr w14:val="tx1"/>
            </w14:solidFill>
          </w14:textFill>
        </w:rPr>
        <w:t>详细审</w:t>
      </w:r>
      <w:r>
        <w:rPr>
          <w:rFonts w:hint="eastAsia" w:ascii="宋体" w:hAnsi="宋体"/>
          <w:color w:val="000000" w:themeColor="text1"/>
          <w:sz w:val="21"/>
          <w:szCs w:val="21"/>
          <w:highlight w:val="none"/>
          <w14:textFill>
            <w14:solidFill>
              <w14:schemeClr w14:val="tx1"/>
            </w14:solidFill>
          </w14:textFill>
        </w:rPr>
        <w:t>核并确</w:t>
      </w:r>
      <w:r>
        <w:rPr>
          <w:rFonts w:hint="eastAsia" w:ascii="宋体" w:hAnsi="宋体" w:cs="宋体"/>
          <w:color w:val="000000" w:themeColor="text1"/>
          <w:sz w:val="21"/>
          <w:szCs w:val="21"/>
          <w:highlight w:val="none"/>
          <w14:textFill>
            <w14:solidFill>
              <w14:schemeClr w14:val="tx1"/>
            </w14:solidFill>
          </w14:textFill>
        </w:rPr>
        <w:t>认</w:t>
      </w:r>
      <w:r>
        <w:rPr>
          <w:rFonts w:hint="eastAsia" w:ascii="宋体" w:hAnsi="宋体"/>
          <w:color w:val="000000" w:themeColor="text1"/>
          <w:sz w:val="21"/>
          <w:szCs w:val="21"/>
          <w:highlight w:val="none"/>
          <w14:textFill>
            <w14:solidFill>
              <w14:schemeClr w14:val="tx1"/>
            </w14:solidFill>
          </w14:textFill>
        </w:rPr>
        <w:t>全部招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文件，包括澄清、修改或补充招标文件（如有</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14:textFill>
            <w14:solidFill>
              <w14:schemeClr w14:val="tx1"/>
            </w14:solidFill>
          </w14:textFill>
        </w:rPr>
        <w:t>）及有关附件。</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一旦我方中</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，我方将按照投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文件中的承</w:t>
      </w:r>
      <w:r>
        <w:rPr>
          <w:rFonts w:hint="eastAsia" w:ascii="宋体" w:hAnsi="宋体" w:cs="宋体"/>
          <w:color w:val="000000" w:themeColor="text1"/>
          <w:sz w:val="21"/>
          <w:szCs w:val="21"/>
          <w:highlight w:val="none"/>
          <w14:textFill>
            <w14:solidFill>
              <w14:schemeClr w14:val="tx1"/>
            </w14:solidFill>
          </w14:textFill>
        </w:rPr>
        <w:t>诺组</w:t>
      </w:r>
      <w:r>
        <w:rPr>
          <w:rFonts w:hint="eastAsia" w:ascii="宋体" w:hAnsi="宋体"/>
          <w:color w:val="000000" w:themeColor="text1"/>
          <w:sz w:val="21"/>
          <w:szCs w:val="21"/>
          <w:highlight w:val="none"/>
          <w14:textFill>
            <w14:solidFill>
              <w14:schemeClr w14:val="tx1"/>
            </w14:solidFill>
          </w14:textFill>
        </w:rPr>
        <w:t>建</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w:t>
      </w:r>
      <w:r>
        <w:rPr>
          <w:rFonts w:hint="eastAsia" w:ascii="宋体" w:hAnsi="宋体" w:cs="宋体"/>
          <w:color w:val="000000" w:themeColor="text1"/>
          <w:sz w:val="21"/>
          <w:szCs w:val="21"/>
          <w:highlight w:val="none"/>
          <w14:textFill>
            <w14:solidFill>
              <w14:schemeClr w14:val="tx1"/>
            </w14:solidFill>
          </w14:textFill>
        </w:rPr>
        <w:t>勘察组</w:t>
      </w:r>
      <w:r>
        <w:rPr>
          <w:rFonts w:hint="eastAsia" w:ascii="宋体" w:hAnsi="宋体"/>
          <w:color w:val="000000" w:themeColor="text1"/>
          <w:sz w:val="21"/>
          <w:szCs w:val="21"/>
          <w:highlight w:val="none"/>
          <w14:textFill>
            <w14:solidFill>
              <w14:schemeClr w14:val="tx1"/>
            </w14:solidFill>
          </w14:textFill>
        </w:rPr>
        <w:t>，由投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文件所承</w:t>
      </w:r>
      <w:r>
        <w:rPr>
          <w:rFonts w:hint="eastAsia" w:ascii="宋体" w:hAnsi="宋体" w:cs="宋体"/>
          <w:color w:val="000000" w:themeColor="text1"/>
          <w:sz w:val="21"/>
          <w:szCs w:val="21"/>
          <w:highlight w:val="none"/>
          <w14:textFill>
            <w14:solidFill>
              <w14:schemeClr w14:val="tx1"/>
            </w14:solidFill>
          </w14:textFill>
        </w:rPr>
        <w:t>诺</w:t>
      </w:r>
      <w:r>
        <w:rPr>
          <w:rFonts w:hint="eastAsia" w:ascii="宋体" w:hAnsi="宋体"/>
          <w:color w:val="000000" w:themeColor="text1"/>
          <w:sz w:val="21"/>
          <w:szCs w:val="21"/>
          <w:highlight w:val="none"/>
          <w14:textFill>
            <w14:solidFill>
              <w14:schemeClr w14:val="tx1"/>
            </w14:solidFill>
          </w14:textFill>
        </w:rPr>
        <w:t>的勘察项目负责人和其他主要</w:t>
      </w:r>
      <w:r>
        <w:rPr>
          <w:rFonts w:hint="eastAsia" w:ascii="宋体" w:hAnsi="宋体" w:cs="宋体"/>
          <w:color w:val="000000" w:themeColor="text1"/>
          <w:sz w:val="21"/>
          <w:szCs w:val="21"/>
          <w:highlight w:val="none"/>
          <w14:textFill>
            <w14:solidFill>
              <w14:schemeClr w14:val="tx1"/>
            </w14:solidFill>
          </w14:textFill>
        </w:rPr>
        <w:t>勘察</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14:textFill>
            <w14:solidFill>
              <w14:schemeClr w14:val="tx1"/>
            </w14:solidFill>
          </w14:textFill>
        </w:rPr>
        <w:t>员</w:t>
      </w:r>
      <w:r>
        <w:rPr>
          <w:rFonts w:hint="eastAsia" w:ascii="宋体" w:hAnsi="宋体"/>
          <w:color w:val="000000" w:themeColor="text1"/>
          <w:sz w:val="21"/>
          <w:szCs w:val="21"/>
          <w:highlight w:val="none"/>
          <w14:textFill>
            <w14:solidFill>
              <w14:schemeClr w14:val="tx1"/>
            </w14:solidFill>
          </w14:textFill>
        </w:rPr>
        <w:t>完成本</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目的全部</w:t>
      </w:r>
      <w:r>
        <w:rPr>
          <w:rFonts w:hint="eastAsia" w:ascii="宋体" w:hAnsi="宋体" w:cs="宋体"/>
          <w:color w:val="000000" w:themeColor="text1"/>
          <w:sz w:val="21"/>
          <w:szCs w:val="21"/>
          <w:highlight w:val="none"/>
          <w14:textFill>
            <w14:solidFill>
              <w14:schemeClr w14:val="tx1"/>
            </w14:solidFill>
          </w14:textFill>
        </w:rPr>
        <w:t>勘察</w:t>
      </w:r>
      <w:r>
        <w:rPr>
          <w:rFonts w:hint="eastAsia" w:ascii="宋体" w:hAnsi="宋体"/>
          <w:color w:val="000000" w:themeColor="text1"/>
          <w:sz w:val="21"/>
          <w:szCs w:val="21"/>
          <w:highlight w:val="none"/>
          <w14:textFill>
            <w14:solidFill>
              <w14:schemeClr w14:val="tx1"/>
            </w14:solidFill>
          </w14:textFill>
        </w:rPr>
        <w:t>工作，保</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在未征得招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人同意的前提下不</w:t>
      </w:r>
      <w:r>
        <w:rPr>
          <w:rFonts w:hint="eastAsia" w:ascii="宋体" w:hAnsi="宋体" w:cs="宋体"/>
          <w:color w:val="000000" w:themeColor="text1"/>
          <w:sz w:val="21"/>
          <w:szCs w:val="21"/>
          <w:highlight w:val="none"/>
          <w14:textFill>
            <w14:solidFill>
              <w14:schemeClr w14:val="tx1"/>
            </w14:solidFill>
          </w14:textFill>
        </w:rPr>
        <w:t>变</w:t>
      </w:r>
      <w:r>
        <w:rPr>
          <w:rFonts w:hint="eastAsia" w:ascii="宋体" w:hAnsi="宋体"/>
          <w:color w:val="000000" w:themeColor="text1"/>
          <w:sz w:val="21"/>
          <w:szCs w:val="21"/>
          <w:highlight w:val="none"/>
          <w14:textFill>
            <w14:solidFill>
              <w14:schemeClr w14:val="tx1"/>
            </w14:solidFill>
          </w14:textFill>
        </w:rPr>
        <w:t>更主要</w:t>
      </w:r>
      <w:r>
        <w:rPr>
          <w:rFonts w:hint="eastAsia" w:ascii="宋体" w:hAnsi="宋体" w:cs="宋体"/>
          <w:color w:val="000000" w:themeColor="text1"/>
          <w:sz w:val="21"/>
          <w:szCs w:val="21"/>
          <w:highlight w:val="none"/>
          <w14:textFill>
            <w14:solidFill>
              <w14:schemeClr w14:val="tx1"/>
            </w14:solidFill>
          </w14:textFill>
        </w:rPr>
        <w:t>勘察</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14:textFill>
            <w14:solidFill>
              <w14:schemeClr w14:val="tx1"/>
            </w14:solidFill>
          </w14:textFill>
        </w:rPr>
        <w:t>员</w:t>
      </w:r>
      <w:r>
        <w:rPr>
          <w:rFonts w:hint="eastAsia" w:ascii="宋体" w:hAnsi="宋体"/>
          <w:color w:val="000000" w:themeColor="text1"/>
          <w:sz w:val="21"/>
          <w:szCs w:val="21"/>
          <w:highlight w:val="none"/>
          <w14:textFill>
            <w14:solidFill>
              <w14:schemeClr w14:val="tx1"/>
            </w14:solidFill>
          </w14:textFill>
        </w:rPr>
        <w:t>，保</w:t>
      </w:r>
      <w:r>
        <w:rPr>
          <w:rFonts w:hint="eastAsia" w:ascii="宋体" w:hAnsi="宋体" w:cs="宋体"/>
          <w:color w:val="000000" w:themeColor="text1"/>
          <w:sz w:val="21"/>
          <w:szCs w:val="21"/>
          <w:highlight w:val="none"/>
          <w14:textFill>
            <w14:solidFill>
              <w14:schemeClr w14:val="tx1"/>
            </w14:solidFill>
          </w14:textFill>
        </w:rPr>
        <w:t>证</w:t>
      </w:r>
      <w:r>
        <w:rPr>
          <w:rFonts w:hint="eastAsia" w:ascii="宋体" w:hAnsi="宋体"/>
          <w:color w:val="000000" w:themeColor="text1"/>
          <w:sz w:val="21"/>
          <w:szCs w:val="21"/>
          <w:highlight w:val="none"/>
          <w14:textFill>
            <w14:solidFill>
              <w14:schemeClr w14:val="tx1"/>
            </w14:solidFill>
          </w14:textFill>
        </w:rPr>
        <w:t>按投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函附表中承</w:t>
      </w:r>
      <w:r>
        <w:rPr>
          <w:rFonts w:hint="eastAsia" w:ascii="宋体" w:hAnsi="宋体" w:cs="宋体"/>
          <w:color w:val="000000" w:themeColor="text1"/>
          <w:sz w:val="21"/>
          <w:szCs w:val="21"/>
          <w:highlight w:val="none"/>
          <w14:textFill>
            <w14:solidFill>
              <w14:schemeClr w14:val="tx1"/>
            </w14:solidFill>
          </w14:textFill>
        </w:rPr>
        <w:t>诺</w:t>
      </w:r>
      <w:r>
        <w:rPr>
          <w:rFonts w:hint="eastAsia" w:ascii="宋体" w:hAnsi="宋体"/>
          <w:color w:val="000000" w:themeColor="text1"/>
          <w:sz w:val="21"/>
          <w:szCs w:val="21"/>
          <w:highlight w:val="none"/>
          <w14:textFill>
            <w14:solidFill>
              <w14:schemeClr w14:val="tx1"/>
            </w14:solidFill>
          </w14:textFill>
        </w:rPr>
        <w:t>的勘察服务期限完成</w:t>
      </w:r>
      <w:r>
        <w:rPr>
          <w:rFonts w:hint="eastAsia" w:ascii="宋体" w:hAnsi="宋体" w:cs="宋体"/>
          <w:color w:val="000000" w:themeColor="text1"/>
          <w:sz w:val="21"/>
          <w:szCs w:val="21"/>
          <w:highlight w:val="none"/>
          <w14:textFill>
            <w14:solidFill>
              <w14:schemeClr w14:val="tx1"/>
            </w14:solidFill>
          </w14:textFill>
        </w:rPr>
        <w:t>勘察</w:t>
      </w:r>
      <w:r>
        <w:rPr>
          <w:rFonts w:hint="eastAsia" w:ascii="宋体" w:hAnsi="宋体"/>
          <w:color w:val="000000" w:themeColor="text1"/>
          <w:sz w:val="21"/>
          <w:szCs w:val="21"/>
          <w:highlight w:val="none"/>
          <w14:textFill>
            <w14:solidFill>
              <w14:schemeClr w14:val="tx1"/>
            </w14:solidFill>
          </w14:textFill>
        </w:rPr>
        <w:t>并提供相应的勘察服务以及勘察的后续设计、施工服务。</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我方同意所提交的投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文件在招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文件的投标人须知前附表第19项</w:t>
      </w:r>
      <w:r>
        <w:rPr>
          <w:rFonts w:hint="eastAsia" w:ascii="宋体" w:hAnsi="宋体" w:cs="宋体"/>
          <w:color w:val="000000" w:themeColor="text1"/>
          <w:sz w:val="21"/>
          <w:szCs w:val="21"/>
          <w:highlight w:val="none"/>
          <w14:textFill>
            <w14:solidFill>
              <w14:schemeClr w14:val="tx1"/>
            </w14:solidFill>
          </w14:textFill>
        </w:rPr>
        <w:t>规</w:t>
      </w:r>
      <w:r>
        <w:rPr>
          <w:rFonts w:hint="eastAsia" w:ascii="宋体" w:hAnsi="宋体"/>
          <w:color w:val="000000" w:themeColor="text1"/>
          <w:sz w:val="21"/>
          <w:szCs w:val="21"/>
          <w:highlight w:val="none"/>
          <w14:textFill>
            <w14:solidFill>
              <w14:schemeClr w14:val="tx1"/>
            </w14:solidFill>
          </w14:textFill>
        </w:rPr>
        <w:t>定的投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有效期限内有效，在此期</w:t>
      </w:r>
      <w:r>
        <w:rPr>
          <w:rFonts w:hint="eastAsia" w:ascii="宋体" w:hAnsi="宋体" w:cs="宋体"/>
          <w:color w:val="000000" w:themeColor="text1"/>
          <w:sz w:val="21"/>
          <w:szCs w:val="21"/>
          <w:highlight w:val="none"/>
          <w14:textFill>
            <w14:solidFill>
              <w14:schemeClr w14:val="tx1"/>
            </w14:solidFill>
          </w14:textFill>
        </w:rPr>
        <w:t>间</w:t>
      </w:r>
      <w:r>
        <w:rPr>
          <w:rFonts w:hint="eastAsia" w:ascii="宋体" w:hAnsi="宋体"/>
          <w:color w:val="000000" w:themeColor="text1"/>
          <w:sz w:val="21"/>
          <w:szCs w:val="21"/>
          <w:highlight w:val="none"/>
          <w14:textFill>
            <w14:solidFill>
              <w14:schemeClr w14:val="tx1"/>
            </w14:solidFill>
          </w14:textFill>
        </w:rPr>
        <w:t>内如果中</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，我方将受此</w:t>
      </w:r>
      <w:r>
        <w:rPr>
          <w:rFonts w:hint="eastAsia" w:ascii="宋体" w:hAnsi="宋体" w:cs="宋体"/>
          <w:color w:val="000000" w:themeColor="text1"/>
          <w:sz w:val="21"/>
          <w:szCs w:val="21"/>
          <w:highlight w:val="none"/>
          <w14:textFill>
            <w14:solidFill>
              <w14:schemeClr w14:val="tx1"/>
            </w14:solidFill>
          </w14:textFill>
        </w:rPr>
        <w:t>约</w:t>
      </w:r>
      <w:r>
        <w:rPr>
          <w:rFonts w:hint="eastAsia" w:ascii="宋体" w:hAnsi="宋体"/>
          <w:color w:val="000000" w:themeColor="text1"/>
          <w:sz w:val="21"/>
          <w:szCs w:val="21"/>
          <w:highlight w:val="none"/>
          <w14:textFill>
            <w14:solidFill>
              <w14:schemeClr w14:val="tx1"/>
            </w14:solidFill>
          </w14:textFill>
        </w:rPr>
        <w:t>束。</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除非另外达成</w:t>
      </w:r>
      <w:r>
        <w:rPr>
          <w:rFonts w:hint="eastAsia" w:ascii="宋体" w:hAnsi="宋体" w:cs="宋体"/>
          <w:color w:val="000000" w:themeColor="text1"/>
          <w:sz w:val="21"/>
          <w:szCs w:val="21"/>
          <w:highlight w:val="none"/>
          <w14:textFill>
            <w14:solidFill>
              <w14:schemeClr w14:val="tx1"/>
            </w14:solidFill>
          </w14:textFill>
        </w:rPr>
        <w:t>协议</w:t>
      </w:r>
      <w:r>
        <w:rPr>
          <w:rFonts w:hint="eastAsia" w:ascii="宋体" w:hAnsi="宋体"/>
          <w:color w:val="000000" w:themeColor="text1"/>
          <w:sz w:val="21"/>
          <w:szCs w:val="21"/>
          <w:highlight w:val="none"/>
          <w14:textFill>
            <w14:solidFill>
              <w14:schemeClr w14:val="tx1"/>
            </w14:solidFill>
          </w14:textFill>
        </w:rPr>
        <w:t>并生效，</w:t>
      </w:r>
      <w:r>
        <w:rPr>
          <w:rFonts w:hint="eastAsia" w:ascii="宋体" w:hAnsi="宋体" w:cs="宋体"/>
          <w:color w:val="000000" w:themeColor="text1"/>
          <w:sz w:val="21"/>
          <w:szCs w:val="21"/>
          <w:highlight w:val="none"/>
          <w14:textFill>
            <w14:solidFill>
              <w14:schemeClr w14:val="tx1"/>
            </w14:solidFill>
          </w14:textFill>
        </w:rPr>
        <w:t>贵</w:t>
      </w:r>
      <w:r>
        <w:rPr>
          <w:rFonts w:hint="eastAsia" w:ascii="宋体" w:hAnsi="宋体"/>
          <w:color w:val="000000" w:themeColor="text1"/>
          <w:sz w:val="21"/>
          <w:szCs w:val="21"/>
          <w:highlight w:val="none"/>
          <w14:textFill>
            <w14:solidFill>
              <w14:schemeClr w14:val="tx1"/>
            </w14:solidFill>
          </w14:textFill>
        </w:rPr>
        <w:t>方的中</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通知</w:t>
      </w:r>
      <w:r>
        <w:rPr>
          <w:rFonts w:hint="eastAsia" w:ascii="宋体" w:hAnsi="宋体" w:cs="宋体"/>
          <w:color w:val="000000" w:themeColor="text1"/>
          <w:sz w:val="21"/>
          <w:szCs w:val="21"/>
          <w:highlight w:val="none"/>
          <w14:textFill>
            <w14:solidFill>
              <w14:schemeClr w14:val="tx1"/>
            </w14:solidFill>
          </w14:textFill>
        </w:rPr>
        <w:t>书</w:t>
      </w:r>
      <w:r>
        <w:rPr>
          <w:rFonts w:hint="eastAsia" w:ascii="宋体" w:hAnsi="宋体"/>
          <w:color w:val="000000" w:themeColor="text1"/>
          <w:sz w:val="21"/>
          <w:szCs w:val="21"/>
          <w:highlight w:val="none"/>
          <w14:textFill>
            <w14:solidFill>
              <w14:schemeClr w14:val="tx1"/>
            </w14:solidFill>
          </w14:textFill>
        </w:rPr>
        <w:t>和本投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文件将成</w:t>
      </w:r>
      <w:r>
        <w:rPr>
          <w:rFonts w:hint="eastAsia" w:ascii="宋体" w:hAnsi="宋体" w:cs="宋体"/>
          <w:color w:val="000000" w:themeColor="text1"/>
          <w:sz w:val="21"/>
          <w:szCs w:val="21"/>
          <w:highlight w:val="none"/>
          <w14:textFill>
            <w14:solidFill>
              <w14:schemeClr w14:val="tx1"/>
            </w14:solidFill>
          </w14:textFill>
        </w:rPr>
        <w:t>为约</w:t>
      </w:r>
      <w:r>
        <w:rPr>
          <w:rFonts w:hint="eastAsia" w:ascii="宋体" w:hAnsi="宋体"/>
          <w:color w:val="000000" w:themeColor="text1"/>
          <w:sz w:val="21"/>
          <w:szCs w:val="21"/>
          <w:highlight w:val="none"/>
          <w14:textFill>
            <w14:solidFill>
              <w14:schemeClr w14:val="tx1"/>
            </w14:solidFill>
          </w14:textFill>
        </w:rPr>
        <w:t>束双方的合同文件的</w:t>
      </w:r>
      <w:r>
        <w:rPr>
          <w:rFonts w:hint="eastAsia" w:ascii="宋体" w:hAnsi="宋体" w:cs="宋体"/>
          <w:color w:val="000000" w:themeColor="text1"/>
          <w:sz w:val="21"/>
          <w:szCs w:val="21"/>
          <w:highlight w:val="none"/>
          <w14:textFill>
            <w14:solidFill>
              <w14:schemeClr w14:val="tx1"/>
            </w14:solidFill>
          </w14:textFill>
        </w:rPr>
        <w:t>组</w:t>
      </w:r>
      <w:r>
        <w:rPr>
          <w:rFonts w:hint="eastAsia" w:ascii="宋体" w:hAnsi="宋体"/>
          <w:color w:val="000000" w:themeColor="text1"/>
          <w:sz w:val="21"/>
          <w:szCs w:val="21"/>
          <w:highlight w:val="none"/>
          <w14:textFill>
            <w14:solidFill>
              <w14:schemeClr w14:val="tx1"/>
            </w14:solidFill>
          </w14:textFill>
        </w:rPr>
        <w:t>成部分。</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5、其他</w:t>
      </w:r>
      <w:r>
        <w:rPr>
          <w:rFonts w:hint="eastAsia" w:ascii="宋体" w:hAnsi="宋体" w:cs="宋体"/>
          <w:color w:val="000000" w:themeColor="text1"/>
          <w:sz w:val="21"/>
          <w:szCs w:val="21"/>
          <w:highlight w:val="none"/>
          <w14:textFill>
            <w14:solidFill>
              <w14:schemeClr w14:val="tx1"/>
            </w14:solidFill>
          </w14:textFill>
        </w:rPr>
        <w:t>补</w:t>
      </w:r>
      <w:r>
        <w:rPr>
          <w:rFonts w:hint="eastAsia" w:ascii="宋体" w:hAnsi="宋体"/>
          <w:color w:val="000000" w:themeColor="text1"/>
          <w:sz w:val="21"/>
          <w:szCs w:val="21"/>
          <w:highlight w:val="none"/>
          <w14:textFill>
            <w14:solidFill>
              <w14:schemeClr w14:val="tx1"/>
            </w14:solidFill>
          </w14:textFill>
        </w:rPr>
        <w:t>充</w:t>
      </w:r>
      <w:r>
        <w:rPr>
          <w:rFonts w:hint="eastAsia" w:ascii="宋体" w:hAnsi="宋体" w:cs="宋体"/>
          <w:color w:val="000000" w:themeColor="text1"/>
          <w:sz w:val="21"/>
          <w:szCs w:val="21"/>
          <w:highlight w:val="none"/>
          <w14:textFill>
            <w14:solidFill>
              <w14:schemeClr w14:val="tx1"/>
            </w14:solidFill>
          </w14:textFill>
        </w:rPr>
        <w:t>说</w:t>
      </w:r>
      <w:r>
        <w:rPr>
          <w:rFonts w:hint="eastAsia" w:ascii="宋体" w:hAnsi="宋体"/>
          <w:color w:val="000000" w:themeColor="text1"/>
          <w:sz w:val="21"/>
          <w:szCs w:val="21"/>
          <w:highlight w:val="none"/>
          <w14:textFill>
            <w14:solidFill>
              <w14:schemeClr w14:val="tx1"/>
            </w14:solidFill>
          </w14:textFill>
        </w:rPr>
        <w:t>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（如有的话填入）</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与本投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的一切正式往来通</w:t>
      </w:r>
      <w:r>
        <w:rPr>
          <w:rFonts w:hint="eastAsia" w:ascii="宋体" w:hAnsi="宋体" w:cs="宋体"/>
          <w:color w:val="000000" w:themeColor="text1"/>
          <w:sz w:val="21"/>
          <w:szCs w:val="21"/>
          <w:highlight w:val="none"/>
          <w14:textFill>
            <w14:solidFill>
              <w14:schemeClr w14:val="tx1"/>
            </w14:solidFill>
          </w14:textFill>
        </w:rPr>
        <w:t>讯请</w:t>
      </w:r>
      <w:r>
        <w:rPr>
          <w:rFonts w:hint="eastAsia" w:ascii="宋体" w:hAnsi="宋体"/>
          <w:color w:val="000000" w:themeColor="text1"/>
          <w:sz w:val="21"/>
          <w:szCs w:val="21"/>
          <w:highlight w:val="none"/>
          <w14:textFill>
            <w14:solidFill>
              <w14:schemeClr w14:val="tx1"/>
            </w14:solidFill>
          </w14:textFill>
        </w:rPr>
        <w:t>寄：</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r>
        <w:rPr>
          <w:rStyle w:val="49"/>
          <w:rFonts w:ascii="宋体" w:hAnsi="宋体"/>
          <w:color w:val="000000" w:themeColor="text1"/>
          <w:sz w:val="21"/>
          <w:szCs w:val="21"/>
          <w:highlight w:val="none"/>
          <w14:textFill>
            <w14:solidFill>
              <w14:schemeClr w14:val="tx1"/>
            </w14:solidFill>
          </w14:textFill>
        </w:rPr>
        <w:footnoteReference w:id="79"/>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拟担任勘察项目负责人：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【盖实体国家注册土木工程师（岩土）执业章、签字】</w:t>
      </w:r>
    </w:p>
    <w:p>
      <w:pPr>
        <w:spacing w:line="440" w:lineRule="exact"/>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地址：</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邮编</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440" w:lineRule="exact"/>
        <w:ind w:firstLine="420" w:firstLineChars="200"/>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电话</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传</w:t>
      </w:r>
      <w:r>
        <w:rPr>
          <w:rFonts w:hint="eastAsia" w:ascii="宋体" w:hAnsi="宋体"/>
          <w:color w:val="000000" w:themeColor="text1"/>
          <w:sz w:val="21"/>
          <w:szCs w:val="21"/>
          <w:highlight w:val="none"/>
          <w14:textFill>
            <w14:solidFill>
              <w14:schemeClr w14:val="tx1"/>
            </w14:solidFill>
          </w14:textFill>
        </w:rPr>
        <w:t>真：</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44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二、投标函附表</w:t>
      </w:r>
      <w:r>
        <w:rPr>
          <w:rFonts w:hint="eastAsia" w:ascii="宋体" w:hAnsi="宋体" w:eastAsia="宋体"/>
          <w:color w:val="000000" w:themeColor="text1"/>
          <w:szCs w:val="21"/>
          <w:highlight w:val="none"/>
          <w14:textFill>
            <w14:solidFill>
              <w14:schemeClr w14:val="tx1"/>
            </w14:solidFill>
          </w14:textFill>
        </w:rPr>
        <w:t>（格式）</w:t>
      </w:r>
    </w:p>
    <w:p>
      <w:pPr>
        <w:spacing w:after="100" w:afterAutospacing="1"/>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w:t>
      </w:r>
      <w:r>
        <w:rPr>
          <w:rFonts w:hint="eastAsia" w:ascii="黑体" w:hAnsi="黑体" w:eastAsia="黑体" w:cs="宋体"/>
          <w:color w:val="000000" w:themeColor="text1"/>
          <w:sz w:val="32"/>
          <w:szCs w:val="32"/>
          <w:highlight w:val="none"/>
          <w14:textFill>
            <w14:solidFill>
              <w14:schemeClr w14:val="tx1"/>
            </w14:solidFill>
          </w14:textFill>
        </w:rPr>
        <w:t>标</w:t>
      </w:r>
      <w:r>
        <w:rPr>
          <w:rFonts w:hint="eastAsia" w:ascii="黑体" w:hAnsi="黑体" w:eastAsia="黑体"/>
          <w:color w:val="000000" w:themeColor="text1"/>
          <w:sz w:val="32"/>
          <w:szCs w:val="32"/>
          <w:highlight w:val="none"/>
          <w14:textFill>
            <w14:solidFill>
              <w14:schemeClr w14:val="tx1"/>
            </w14:solidFill>
          </w14:textFill>
        </w:rPr>
        <w:t>函附表</w:t>
      </w:r>
      <w:r>
        <w:rPr>
          <w:rStyle w:val="49"/>
          <w:rFonts w:ascii="黑体" w:hAnsi="黑体" w:eastAsia="黑体"/>
          <w:color w:val="000000" w:themeColor="text1"/>
          <w:sz w:val="32"/>
          <w:szCs w:val="32"/>
          <w:highlight w:val="none"/>
          <w14:textFill>
            <w14:solidFill>
              <w14:schemeClr w14:val="tx1"/>
            </w14:solidFill>
          </w14:textFill>
        </w:rPr>
        <w:footnoteReference w:id="80"/>
      </w:r>
    </w:p>
    <w:tbl>
      <w:tblPr>
        <w:tblStyle w:val="41"/>
        <w:tblW w:w="9214" w:type="dxa"/>
        <w:tblInd w:w="10" w:type="dxa"/>
        <w:tblLayout w:type="fixed"/>
        <w:tblCellMar>
          <w:top w:w="0" w:type="dxa"/>
          <w:left w:w="0" w:type="dxa"/>
          <w:bottom w:w="0" w:type="dxa"/>
          <w:right w:w="0" w:type="dxa"/>
        </w:tblCellMar>
      </w:tblPr>
      <w:tblGrid>
        <w:gridCol w:w="2268"/>
        <w:gridCol w:w="2552"/>
        <w:gridCol w:w="1843"/>
        <w:gridCol w:w="2551"/>
      </w:tblGrid>
      <w:tr>
        <w:tblPrEx>
          <w:tblLayout w:type="fixed"/>
          <w:tblCellMar>
            <w:top w:w="0" w:type="dxa"/>
            <w:left w:w="0" w:type="dxa"/>
            <w:bottom w:w="0" w:type="dxa"/>
            <w:right w:w="0" w:type="dxa"/>
          </w:tblCellMar>
        </w:tblPrEx>
        <w:trPr>
          <w:trHeight w:val="919"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w:t>
            </w:r>
          </w:p>
        </w:tc>
        <w:tc>
          <w:tcPr>
            <w:tcW w:w="25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标编</w:t>
            </w:r>
            <w:r>
              <w:rPr>
                <w:rFonts w:hint="eastAsia" w:ascii="宋体" w:hAnsi="宋体"/>
                <w:color w:val="000000" w:themeColor="text1"/>
                <w:sz w:val="21"/>
                <w:szCs w:val="21"/>
                <w:highlight w:val="none"/>
                <w14:textFill>
                  <w14:solidFill>
                    <w14:schemeClr w14:val="tx1"/>
                  </w14:solidFill>
                </w14:textFill>
              </w:rPr>
              <w:t>号</w:t>
            </w:r>
          </w:p>
        </w:tc>
        <w:tc>
          <w:tcPr>
            <w:tcW w:w="25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1126"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人名称</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1747"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勘察项目负责人</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ind w:firstLine="105" w:firstLineChars="5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r>
              <w:rPr>
                <w:rFonts w:hint="eastAsia" w:ascii="宋体" w:hAnsi="宋体"/>
                <w:color w:val="000000" w:themeColor="text1"/>
                <w:sz w:val="21"/>
                <w:szCs w:val="21"/>
                <w:highlight w:val="none"/>
                <w:u w:val="single"/>
                <w14:textFill>
                  <w14:solidFill>
                    <w14:schemeClr w14:val="tx1"/>
                  </w14:solidFill>
                </w14:textFill>
              </w:rPr>
              <w:t xml:space="preserve">          </w:t>
            </w:r>
          </w:p>
          <w:p>
            <w:pPr>
              <w:ind w:firstLine="105" w:firstLineChars="50"/>
              <w:rPr>
                <w:rFonts w:ascii="宋体" w:hAnsi="宋体"/>
                <w:color w:val="000000" w:themeColor="text1"/>
                <w:sz w:val="21"/>
                <w:szCs w:val="21"/>
                <w:highlight w:val="none"/>
                <w:u w:val="single"/>
                <w14:textFill>
                  <w14:solidFill>
                    <w14:schemeClr w14:val="tx1"/>
                  </w14:solidFill>
                </w14:textFill>
              </w:rPr>
            </w:pPr>
          </w:p>
          <w:p>
            <w:pPr>
              <w:ind w:firstLine="105" w:firstLineChars="50"/>
              <w:rPr>
                <w:rFonts w:ascii="宋体" w:hAnsi="宋体"/>
                <w:color w:val="000000" w:themeColor="text1"/>
                <w:sz w:val="21"/>
                <w:szCs w:val="21"/>
                <w:highlight w:val="none"/>
                <w:u w:val="singl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国家注册土木工程师（岩土）注册编号</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2433" w:hRule="atLeast"/>
        </w:trPr>
        <w:tc>
          <w:tcPr>
            <w:tcW w:w="2268" w:type="dxa"/>
            <w:tcBorders>
              <w:top w:val="single" w:color="auto" w:sz="8" w:space="0"/>
              <w:left w:val="single" w:color="auto" w:sz="8" w:space="0"/>
              <w:bottom w:val="nil"/>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投标人勘察费投标报价</w:t>
            </w:r>
          </w:p>
        </w:tc>
        <w:tc>
          <w:tcPr>
            <w:tcW w:w="6946" w:type="dxa"/>
            <w:gridSpan w:val="3"/>
            <w:tcBorders>
              <w:top w:val="single" w:color="auto" w:sz="8" w:space="0"/>
              <w:left w:val="single" w:color="auto" w:sz="8" w:space="0"/>
              <w:bottom w:val="nil"/>
              <w:right w:val="single" w:color="auto" w:sz="8" w:space="0"/>
            </w:tcBorders>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（大写）人民币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p>
          <w:p>
            <w:pPr>
              <w:rPr>
                <w:rFonts w:ascii="宋体" w:hAnsi="宋体"/>
                <w:color w:val="000000" w:themeColor="text1"/>
                <w:sz w:val="21"/>
                <w:szCs w:val="21"/>
                <w:highlight w:val="none"/>
                <w14:textFill>
                  <w14:solidFill>
                    <w14:schemeClr w14:val="tx1"/>
                  </w14:solidFill>
                </w14:textFill>
              </w:rPr>
            </w:pP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（小写）￥</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p>
        </w:tc>
      </w:tr>
      <w:tr>
        <w:tblPrEx>
          <w:tblLayout w:type="fixed"/>
          <w:tblCellMar>
            <w:top w:w="0" w:type="dxa"/>
            <w:left w:w="0" w:type="dxa"/>
            <w:bottom w:w="0" w:type="dxa"/>
            <w:right w:w="0" w:type="dxa"/>
          </w:tblCellMar>
        </w:tblPrEx>
        <w:trPr>
          <w:cantSplit/>
          <w:trHeight w:val="2247" w:hRule="atLeast"/>
        </w:trPr>
        <w:tc>
          <w:tcPr>
            <w:tcW w:w="2268" w:type="dxa"/>
            <w:tcBorders>
              <w:top w:val="single" w:color="auto" w:sz="8" w:space="0"/>
              <w:left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勘察服务期限</w:t>
            </w:r>
          </w:p>
        </w:tc>
        <w:tc>
          <w:tcPr>
            <w:tcW w:w="6946" w:type="dxa"/>
            <w:gridSpan w:val="3"/>
            <w:tcBorders>
              <w:top w:val="single" w:color="auto" w:sz="8" w:space="0"/>
              <w:left w:val="single" w:color="auto" w:sz="8" w:space="0"/>
              <w:right w:val="single" w:color="auto" w:sz="8" w:space="0"/>
            </w:tcBorders>
            <w:vAlign w:val="center"/>
          </w:tcPr>
          <w:p>
            <w:pPr>
              <w:rPr>
                <w:rFonts w:ascii="宋体" w:hAnsi="宋体"/>
                <w:color w:val="000000" w:themeColor="text1"/>
                <w:sz w:val="21"/>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1874" w:hRule="exact"/>
        </w:trPr>
        <w:tc>
          <w:tcPr>
            <w:tcW w:w="2268"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color w:val="000000" w:themeColor="text1"/>
                <w:sz w:val="21"/>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770"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p>
        </w:tc>
      </w:tr>
    </w:tbl>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三、投标保证金</w:t>
      </w:r>
      <w:r>
        <w:rPr>
          <w:rFonts w:hint="eastAsia" w:ascii="宋体" w:hAnsi="宋体" w:eastAsia="宋体"/>
          <w:color w:val="000000" w:themeColor="text1"/>
          <w:szCs w:val="21"/>
          <w:highlight w:val="none"/>
          <w14:textFill>
            <w14:solidFill>
              <w14:schemeClr w14:val="tx1"/>
            </w14:solidFill>
          </w14:textFill>
        </w:rPr>
        <w:t>（格式）</w:t>
      </w:r>
    </w:p>
    <w:p>
      <w:pPr>
        <w:tabs>
          <w:tab w:val="left" w:pos="840"/>
          <w:tab w:val="left" w:pos="1600"/>
        </w:tabs>
        <w:snapToGrid w:val="0"/>
        <w:spacing w:line="560" w:lineRule="exact"/>
        <w:ind w:left="18" w:leftChars="-165" w:hanging="348" w:hangingChars="109"/>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投标保证金</w:t>
      </w:r>
    </w:p>
    <w:p>
      <w:pPr>
        <w:tabs>
          <w:tab w:val="left" w:pos="840"/>
          <w:tab w:val="left" w:pos="1600"/>
        </w:tabs>
        <w:snapToGrid w:val="0"/>
        <w:spacing w:line="560" w:lineRule="exact"/>
        <w:ind w:left="-25" w:leftChars="-165" w:hanging="305" w:hangingChars="109"/>
        <w:jc w:val="center"/>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（一）投标人基本账户信息</w:t>
      </w:r>
    </w:p>
    <w:tbl>
      <w:tblPr>
        <w:tblStyle w:val="4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26" w:type="dxa"/>
            <w:vMerge w:val="restart"/>
            <w:vAlign w:val="center"/>
          </w:tcPr>
          <w:p>
            <w:pPr>
              <w:spacing w:line="24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基本账户</w:t>
            </w:r>
          </w:p>
          <w:p>
            <w:pPr>
              <w:spacing w:line="24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开户银行</w:t>
            </w:r>
          </w:p>
        </w:tc>
        <w:tc>
          <w:tcPr>
            <w:tcW w:w="7213" w:type="dxa"/>
            <w:gridSpan w:val="2"/>
            <w:vAlign w:val="center"/>
          </w:tcPr>
          <w:p>
            <w:pPr>
              <w:spacing w:line="240" w:lineRule="auto"/>
              <w:rPr>
                <w:rFonts w:ascii="宋体"/>
                <w:color w:val="000000" w:themeColor="text1"/>
                <w:sz w:val="24"/>
                <w:szCs w:val="24"/>
                <w:highlight w:val="none"/>
                <w14:textFill>
                  <w14:solidFill>
                    <w14:schemeClr w14:val="tx1"/>
                  </w14:solidFill>
                </w14:textFill>
              </w:rPr>
            </w:pPr>
          </w:p>
          <w:p>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名称：</w:t>
            </w:r>
          </w:p>
          <w:p>
            <w:pPr>
              <w:spacing w:line="240" w:lineRule="auto"/>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26" w:type="dxa"/>
            <w:vMerge w:val="continue"/>
            <w:vAlign w:val="center"/>
          </w:tcPr>
          <w:p>
            <w:pPr>
              <w:rPr>
                <w:color w:val="000000" w:themeColor="text1"/>
                <w:highlight w:val="none"/>
                <w14:textFill>
                  <w14:solidFill>
                    <w14:schemeClr w14:val="tx1"/>
                  </w14:solidFill>
                </w14:textFill>
              </w:rPr>
            </w:pPr>
          </w:p>
        </w:tc>
        <w:tc>
          <w:tcPr>
            <w:tcW w:w="7213" w:type="dxa"/>
            <w:gridSpan w:val="2"/>
            <w:vAlign w:val="center"/>
          </w:tcPr>
          <w:p>
            <w:pPr>
              <w:spacing w:line="240" w:lineRule="auto"/>
              <w:rPr>
                <w:rFonts w:ascii="宋体"/>
                <w:color w:val="000000" w:themeColor="text1"/>
                <w:sz w:val="24"/>
                <w:szCs w:val="24"/>
                <w:highlight w:val="none"/>
                <w14:textFill>
                  <w14:solidFill>
                    <w14:schemeClr w14:val="tx1"/>
                  </w14:solidFill>
                </w14:textFill>
              </w:rPr>
            </w:pPr>
          </w:p>
          <w:p>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地址：</w:t>
            </w:r>
          </w:p>
          <w:p>
            <w:pPr>
              <w:spacing w:line="240" w:lineRule="auto"/>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26" w:type="dxa"/>
            <w:vMerge w:val="continue"/>
            <w:vAlign w:val="center"/>
          </w:tcPr>
          <w:p>
            <w:pPr>
              <w:rPr>
                <w:color w:val="000000" w:themeColor="text1"/>
                <w:highlight w:val="none"/>
                <w14:textFill>
                  <w14:solidFill>
                    <w14:schemeClr w14:val="tx1"/>
                  </w14:solidFill>
                </w14:textFill>
              </w:rPr>
            </w:pPr>
          </w:p>
        </w:tc>
        <w:tc>
          <w:tcPr>
            <w:tcW w:w="3749" w:type="dxa"/>
            <w:vAlign w:val="center"/>
          </w:tcPr>
          <w:p>
            <w:pPr>
              <w:spacing w:line="240" w:lineRule="auto"/>
              <w:rPr>
                <w:rFonts w:ascii="宋体"/>
                <w:color w:val="000000" w:themeColor="text1"/>
                <w:sz w:val="24"/>
                <w:szCs w:val="24"/>
                <w:highlight w:val="none"/>
                <w14:textFill>
                  <w14:solidFill>
                    <w14:schemeClr w14:val="tx1"/>
                  </w14:solidFill>
                </w14:textFill>
              </w:rPr>
            </w:pPr>
          </w:p>
          <w:p>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电话：</w:t>
            </w:r>
          </w:p>
          <w:p>
            <w:pPr>
              <w:spacing w:line="240" w:lineRule="auto"/>
              <w:rPr>
                <w:rFonts w:ascii="宋体"/>
                <w:color w:val="000000" w:themeColor="text1"/>
                <w:sz w:val="24"/>
                <w:szCs w:val="24"/>
                <w:highlight w:val="none"/>
                <w14:textFill>
                  <w14:solidFill>
                    <w14:schemeClr w14:val="tx1"/>
                  </w14:solidFill>
                </w14:textFill>
              </w:rPr>
            </w:pPr>
          </w:p>
        </w:tc>
        <w:tc>
          <w:tcPr>
            <w:tcW w:w="3464" w:type="dxa"/>
            <w:vAlign w:val="center"/>
          </w:tcPr>
          <w:p>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26" w:type="dxa"/>
            <w:vMerge w:val="continue"/>
            <w:vAlign w:val="center"/>
          </w:tcPr>
          <w:p>
            <w:pPr>
              <w:rPr>
                <w:color w:val="000000" w:themeColor="text1"/>
                <w:highlight w:val="none"/>
                <w14:textFill>
                  <w14:solidFill>
                    <w14:schemeClr w14:val="tx1"/>
                  </w14:solidFill>
                </w14:textFill>
              </w:rPr>
            </w:pPr>
          </w:p>
        </w:tc>
        <w:tc>
          <w:tcPr>
            <w:tcW w:w="7213" w:type="dxa"/>
            <w:gridSpan w:val="2"/>
            <w:vAlign w:val="center"/>
          </w:tcPr>
          <w:p>
            <w:pPr>
              <w:spacing w:line="240" w:lineRule="auto"/>
              <w:rPr>
                <w:rFonts w:ascii="宋体"/>
                <w:color w:val="000000" w:themeColor="text1"/>
                <w:sz w:val="24"/>
                <w:szCs w:val="24"/>
                <w:highlight w:val="none"/>
                <w14:textFill>
                  <w14:solidFill>
                    <w14:schemeClr w14:val="tx1"/>
                  </w14:solidFill>
                </w14:textFill>
              </w:rPr>
            </w:pPr>
          </w:p>
          <w:p>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联系人及职务：</w:t>
            </w:r>
          </w:p>
          <w:p>
            <w:pPr>
              <w:spacing w:line="240" w:lineRule="auto"/>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26" w:type="dxa"/>
            <w:vMerge w:val="restart"/>
            <w:vAlign w:val="center"/>
          </w:tcPr>
          <w:p>
            <w:pPr>
              <w:spacing w:line="24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基本账户</w:t>
            </w:r>
          </w:p>
        </w:tc>
        <w:tc>
          <w:tcPr>
            <w:tcW w:w="7213" w:type="dxa"/>
            <w:gridSpan w:val="2"/>
            <w:vAlign w:val="center"/>
          </w:tcPr>
          <w:p>
            <w:pPr>
              <w:spacing w:line="240" w:lineRule="auto"/>
              <w:rPr>
                <w:rFonts w:ascii="宋体"/>
                <w:color w:val="000000" w:themeColor="text1"/>
                <w:sz w:val="24"/>
                <w:szCs w:val="24"/>
                <w:highlight w:val="none"/>
                <w14:textFill>
                  <w14:solidFill>
                    <w14:schemeClr w14:val="tx1"/>
                  </w14:solidFill>
                </w14:textFill>
              </w:rPr>
            </w:pPr>
          </w:p>
          <w:p>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开户名称：</w:t>
            </w:r>
          </w:p>
          <w:p>
            <w:pPr>
              <w:spacing w:line="240" w:lineRule="auto"/>
              <w:rPr>
                <w:rFonts w:asci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26" w:type="dxa"/>
            <w:vMerge w:val="continue"/>
            <w:vAlign w:val="center"/>
          </w:tcPr>
          <w:p>
            <w:pPr>
              <w:rPr>
                <w:color w:val="000000" w:themeColor="text1"/>
                <w:highlight w:val="none"/>
                <w14:textFill>
                  <w14:solidFill>
                    <w14:schemeClr w14:val="tx1"/>
                  </w14:solidFill>
                </w14:textFill>
              </w:rPr>
            </w:pPr>
          </w:p>
        </w:tc>
        <w:tc>
          <w:tcPr>
            <w:tcW w:w="7213" w:type="dxa"/>
            <w:gridSpan w:val="2"/>
            <w:vAlign w:val="center"/>
          </w:tcPr>
          <w:p>
            <w:pPr>
              <w:spacing w:line="240" w:lineRule="auto"/>
              <w:rPr>
                <w:rFonts w:ascii="宋体"/>
                <w:color w:val="000000" w:themeColor="text1"/>
                <w:sz w:val="24"/>
                <w:szCs w:val="24"/>
                <w:highlight w:val="none"/>
                <w14:textFill>
                  <w14:solidFill>
                    <w14:schemeClr w14:val="tx1"/>
                  </w14:solidFill>
                </w14:textFill>
              </w:rPr>
            </w:pPr>
          </w:p>
          <w:p>
            <w:pPr>
              <w:spacing w:line="24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账号：</w:t>
            </w:r>
          </w:p>
          <w:p>
            <w:pPr>
              <w:spacing w:line="240" w:lineRule="auto"/>
              <w:rPr>
                <w:rFonts w:ascii="宋体"/>
                <w:color w:val="000000" w:themeColor="text1"/>
                <w:sz w:val="24"/>
                <w:szCs w:val="24"/>
                <w:highlight w:val="none"/>
                <w14:textFill>
                  <w14:solidFill>
                    <w14:schemeClr w14:val="tx1"/>
                  </w14:solidFill>
                </w14:textFill>
              </w:rPr>
            </w:pPr>
          </w:p>
        </w:tc>
      </w:tr>
    </w:tbl>
    <w:p>
      <w:pPr>
        <w:spacing w:line="500" w:lineRule="exact"/>
        <w:ind w:firstLine="6090"/>
        <w:rPr>
          <w:rFonts w:ascii="宋体"/>
          <w:color w:val="000000" w:themeColor="text1"/>
          <w:sz w:val="24"/>
          <w:szCs w:val="24"/>
          <w:highlight w:val="none"/>
          <w14:textFill>
            <w14:solidFill>
              <w14:schemeClr w14:val="tx1"/>
            </w14:solidFill>
          </w14:textFill>
        </w:rPr>
      </w:pPr>
    </w:p>
    <w:p>
      <w:pPr>
        <w:tabs>
          <w:tab w:val="left" w:pos="840"/>
          <w:tab w:val="left" w:pos="1600"/>
        </w:tabs>
        <w:snapToGrid w:val="0"/>
        <w:spacing w:line="560" w:lineRule="exact"/>
        <w:ind w:left="-25" w:leftChars="-165" w:hanging="305" w:hangingChars="109"/>
        <w:jc w:val="center"/>
        <w:rPr>
          <w:rFonts w:ascii="宋体"/>
          <w:b/>
          <w:color w:val="000000" w:themeColor="text1"/>
          <w:sz w:val="28"/>
          <w:szCs w:val="28"/>
          <w:highlight w:val="none"/>
          <w14:textFill>
            <w14:solidFill>
              <w14:schemeClr w14:val="tx1"/>
            </w14:solidFill>
          </w14:textFill>
        </w:rPr>
      </w:pPr>
    </w:p>
    <w:p>
      <w:pPr>
        <w:widowControl/>
        <w:adjustRightInd/>
        <w:spacing w:line="240" w:lineRule="auto"/>
        <w:jc w:val="left"/>
        <w:textAlignment w:val="auto"/>
        <w:rPr>
          <w:rFonts w:ascii="宋体"/>
          <w:color w:val="000000" w:themeColor="text1"/>
          <w:sz w:val="28"/>
          <w:szCs w:val="28"/>
          <w:highlight w:val="none"/>
          <w14:textFill>
            <w14:solidFill>
              <w14:schemeClr w14:val="tx1"/>
            </w14:solidFill>
          </w14:textFill>
        </w:rPr>
      </w:pPr>
      <w:r>
        <w:rPr>
          <w:rFonts w:ascii="宋体"/>
          <w:color w:val="000000" w:themeColor="text1"/>
          <w:sz w:val="28"/>
          <w:szCs w:val="28"/>
          <w:highlight w:val="none"/>
          <w14:textFill>
            <w14:solidFill>
              <w14:schemeClr w14:val="tx1"/>
            </w14:solidFill>
          </w14:textFill>
        </w:rPr>
        <w:br w:type="page"/>
      </w:r>
    </w:p>
    <w:p>
      <w:pPr>
        <w:tabs>
          <w:tab w:val="left" w:pos="840"/>
          <w:tab w:val="left" w:pos="1600"/>
        </w:tabs>
        <w:snapToGrid w:val="0"/>
        <w:spacing w:line="560" w:lineRule="exact"/>
        <w:ind w:left="-25" w:leftChars="-165" w:hanging="305" w:hangingChars="109"/>
        <w:jc w:val="center"/>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（二）投标保证金有关单据</w:t>
      </w:r>
      <w:r>
        <w:rPr>
          <w:rStyle w:val="49"/>
          <w:rFonts w:ascii="宋体"/>
          <w:color w:val="000000" w:themeColor="text1"/>
          <w:sz w:val="28"/>
          <w:szCs w:val="28"/>
          <w:highlight w:val="none"/>
          <w14:textFill>
            <w14:solidFill>
              <w14:schemeClr w14:val="tx1"/>
            </w14:solidFill>
          </w14:textFill>
        </w:rPr>
        <w:footnoteReference w:id="81"/>
      </w:r>
    </w:p>
    <w:p>
      <w:pPr>
        <w:pStyle w:val="15"/>
        <w:spacing w:line="360" w:lineRule="auto"/>
        <w:ind w:firstLine="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                        </w:t>
      </w:r>
    </w:p>
    <w:p>
      <w:pPr>
        <w:spacing w:line="500" w:lineRule="exact"/>
        <w:ind w:firstLine="6090"/>
        <w:rPr>
          <w:rFonts w:ascii="宋体"/>
          <w:color w:val="000000" w:themeColor="text1"/>
          <w:sz w:val="24"/>
          <w:szCs w:val="24"/>
          <w:highlight w:val="none"/>
          <w14:textFill>
            <w14:solidFill>
              <w14:schemeClr w14:val="tx1"/>
            </w14:solidFill>
          </w14:textFill>
        </w:rPr>
      </w:pPr>
    </w:p>
    <w:p>
      <w:pPr>
        <w:spacing w:line="500" w:lineRule="exact"/>
        <w:ind w:firstLine="6090"/>
        <w:rPr>
          <w:rFonts w:ascii="宋体"/>
          <w:color w:val="000000" w:themeColor="text1"/>
          <w:sz w:val="24"/>
          <w:szCs w:val="24"/>
          <w:highlight w:val="none"/>
          <w14:textFill>
            <w14:solidFill>
              <w14:schemeClr w14:val="tx1"/>
            </w14:solidFill>
          </w14:textFill>
        </w:rPr>
      </w:pPr>
    </w:p>
    <w:p>
      <w:pPr>
        <w:spacing w:line="500" w:lineRule="exact"/>
        <w:ind w:firstLine="6090"/>
        <w:rPr>
          <w:rFonts w:ascii="宋体"/>
          <w:color w:val="000000" w:themeColor="text1"/>
          <w:sz w:val="24"/>
          <w:szCs w:val="24"/>
          <w:highlight w:val="none"/>
          <w14:textFill>
            <w14:solidFill>
              <w14:schemeClr w14:val="tx1"/>
            </w14:solidFill>
          </w14:textFill>
        </w:rPr>
      </w:pPr>
    </w:p>
    <w:p>
      <w:pPr>
        <w:spacing w:line="500" w:lineRule="exact"/>
        <w:ind w:firstLine="6090"/>
        <w:rPr>
          <w:rFonts w:ascii="宋体"/>
          <w:color w:val="000000" w:themeColor="text1"/>
          <w:sz w:val="24"/>
          <w:szCs w:val="24"/>
          <w:highlight w:val="none"/>
          <w14:textFill>
            <w14:solidFill>
              <w14:schemeClr w14:val="tx1"/>
            </w14:solidFill>
          </w14:textFill>
        </w:rPr>
      </w:pPr>
    </w:p>
    <w:p>
      <w:pPr>
        <w:widowControl/>
        <w:adjustRightInd/>
        <w:spacing w:line="240" w:lineRule="auto"/>
        <w:jc w:val="left"/>
        <w:textAlignment w:val="auto"/>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br w:type="page"/>
      </w:r>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投标保证金银行保函（格式）</w:t>
      </w:r>
    </w:p>
    <w:p>
      <w:pPr>
        <w:spacing w:beforeLines="100" w:afterLines="50" w:line="360" w:lineRule="auto"/>
        <w:jc w:val="center"/>
        <w:rPr>
          <w:rFonts w:ascii="黑体" w:hAnsi="黑体" w:eastAsia="黑体"/>
          <w:color w:val="000000" w:themeColor="text1"/>
          <w:sz w:val="28"/>
          <w:szCs w:val="28"/>
          <w:highlight w:val="none"/>
          <w14:textFill>
            <w14:solidFill>
              <w14:schemeClr w14:val="tx1"/>
            </w14:solidFill>
          </w14:textFill>
        </w:rPr>
      </w:pPr>
      <w:bookmarkStart w:id="3427" w:name="_Toc505505136"/>
      <w:r>
        <w:rPr>
          <w:rFonts w:hint="eastAsia" w:ascii="黑体" w:hAnsi="黑体" w:eastAsia="黑体"/>
          <w:color w:val="000000" w:themeColor="text1"/>
          <w:sz w:val="28"/>
          <w:szCs w:val="28"/>
          <w:highlight w:val="none"/>
          <w14:textFill>
            <w14:solidFill>
              <w14:schemeClr w14:val="tx1"/>
            </w14:solidFill>
          </w14:textFill>
        </w:rPr>
        <w:t>投标保证金银行保函</w:t>
      </w:r>
      <w:bookmarkEnd w:id="3427"/>
    </w:p>
    <w:p>
      <w:pPr>
        <w:spacing w:line="300" w:lineRule="auto"/>
        <w:ind w:firstLine="5145" w:firstLineChars="245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保函编号：</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（招标人名称）：</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鉴于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（投标人名称）（以下简称“投标人”）参加你方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（项目名称及标段）标段的勘察投标，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（银行名称）（以下简称“我方”）受该投标人委托，在此无条件地、不可撤销地保证：一旦收到你方提出的下述任何一种事实的书面通知，在7日内无条件地向你方支付总额不超过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（投标保函额度）的任何你方要求的金额：</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1、投标人在投标有效期内撤销或修改其投标文件的；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2、投标人中标后，非因不可抗力原因放弃中标、无正当理由不与招标人订立合同、在签订合同时向招标人提出附加条件、或者不按照招标文件要求提交履约担保金的；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3、投标人中标后，因违法行为导致中标被依法确认无效的；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4、投标文件存在投标人须知第4.1.3款规定的雷同情形之一的；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5、法律、法规规定的其他没收投标保证金情形。</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本保函项下所有权利和义务均受中华人民共和国法律管辖和制约。</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银行名称：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ind w:firstLine="2100" w:firstLineChars="10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    真：</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rPr>
          <w:rFonts w:ascii="宋体" w:hAnsi="宋体"/>
          <w:color w:val="000000" w:themeColor="text1"/>
          <w:sz w:val="21"/>
          <w:szCs w:val="21"/>
          <w:highlight w:val="none"/>
          <w14:textFill>
            <w14:solidFill>
              <w14:schemeClr w14:val="tx1"/>
            </w14:solidFill>
          </w14:textFill>
        </w:rPr>
      </w:pPr>
    </w:p>
    <w:p>
      <w:pPr>
        <w:spacing w:line="360" w:lineRule="auto"/>
        <w:ind w:firstLine="2730" w:firstLineChars="13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pStyle w:val="15"/>
        <w:tabs>
          <w:tab w:val="left" w:pos="510"/>
          <w:tab w:val="left" w:pos="1000"/>
        </w:tabs>
        <w:snapToGrid w:val="0"/>
        <w:spacing w:line="420" w:lineRule="atLeast"/>
        <w:ind w:firstLine="0"/>
        <w:jc w:val="left"/>
        <w:rPr>
          <w:rFonts w:ascii="宋体" w:hAnsi="宋体" w:eastAsia="宋体"/>
          <w:color w:val="000000" w:themeColor="text1"/>
          <w:szCs w:val="21"/>
          <w:highlight w:val="none"/>
          <w14:textFill>
            <w14:solidFill>
              <w14:schemeClr w14:val="tx1"/>
            </w14:solidFill>
          </w14:textFill>
        </w:rPr>
      </w:pPr>
      <w:bookmarkStart w:id="3428" w:name="_Toc505505138"/>
    </w:p>
    <w:p>
      <w:pPr>
        <w:pStyle w:val="15"/>
        <w:tabs>
          <w:tab w:val="left" w:pos="510"/>
          <w:tab w:val="left" w:pos="1000"/>
        </w:tabs>
        <w:snapToGrid w:val="0"/>
        <w:spacing w:line="420" w:lineRule="atLeast"/>
        <w:ind w:firstLine="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投标保证金担保保函（格式）</w:t>
      </w:r>
    </w:p>
    <w:p>
      <w:pPr>
        <w:pStyle w:val="3"/>
        <w:ind w:left="0" w:leftChars="0"/>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投标保证金担保保函</w:t>
      </w:r>
      <w:bookmarkEnd w:id="3428"/>
    </w:p>
    <w:p>
      <w:pPr>
        <w:spacing w:line="300" w:lineRule="auto"/>
        <w:ind w:firstLine="5040" w:firstLineChars="2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保函编号：</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（招标人名称）：</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鉴于</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（投标人名称）（以下简称“投标人”）参加你方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（项目名称及标段）标段的勘察投标，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（投标保函额度）的任何你方要求的金额：</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1、投标人在投标有效期内撤销或修改其投标文件的；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2、投标人中标后，非因不可抗力原因放弃中标、无正当理由不与招标人订立合同、在签订合同时向招标人提出附加条件、或者不按照招标文件要求提交履约担保金的；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3、投标人中标后，因违法行为导致中标被依法确认无效的；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4、投标文件存在投标人须知第4.1.3款规定的雷同情形之一的；</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5、法律、法规规定的其他没收投标保证金情形。</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本保函项下所有权利和义务均受中华人民共和国法律管辖和制约。</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u w:val="singl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u w:val="single"/>
          <w14:textFill>
            <w14:solidFill>
              <w14:schemeClr w14:val="tx1"/>
            </w14:solidFill>
          </w14:textFill>
        </w:rPr>
      </w:pP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担保人名称：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ind w:firstLine="2100" w:firstLineChars="10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    真：</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300" w:lineRule="auto"/>
        <w:ind w:firstLine="2100" w:firstLineChars="10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360" w:lineRule="auto"/>
        <w:ind w:firstLine="3255" w:firstLineChars="155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pStyle w:val="3"/>
        <w:ind w:left="0" w:leftChars="0"/>
        <w:rPr>
          <w:rFonts w:ascii="宋体" w:hAnsi="宋体"/>
          <w:color w:val="000000" w:themeColor="text1"/>
          <w:sz w:val="21"/>
          <w:szCs w:val="21"/>
          <w:highlight w:val="none"/>
          <w14:textFill>
            <w14:solidFill>
              <w14:schemeClr w14:val="tx1"/>
            </w14:solidFill>
          </w14:textFill>
        </w:rPr>
      </w:pPr>
      <w:bookmarkStart w:id="3429" w:name="_Toc505505140"/>
    </w:p>
    <w:bookmarkEnd w:id="3429"/>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r>
        <w:rPr>
          <w:rFonts w:ascii="宋体" w:hAnsi="宋体" w:cstheme="minorBidi"/>
          <w:snapToGrid w:val="0"/>
          <w:color w:val="000000" w:themeColor="text1"/>
          <w:kern w:val="2"/>
          <w:sz w:val="21"/>
          <w:szCs w:val="21"/>
          <w:highlight w:val="none"/>
          <w14:textFill>
            <w14:solidFill>
              <w14:schemeClr w14:val="tx1"/>
            </w14:solidFill>
          </w14:textFill>
        </w:rPr>
        <w:t>到账证明（格式）</w:t>
      </w:r>
    </w:p>
    <w:p>
      <w:pPr>
        <w:spacing w:line="360" w:lineRule="auto"/>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到账证明</w:t>
      </w:r>
    </w:p>
    <w:p>
      <w:pPr>
        <w:spacing w:line="360" w:lineRule="auto"/>
        <w:jc w:val="center"/>
        <w:rPr>
          <w:rFonts w:ascii="宋体" w:hAnsi="宋体"/>
          <w:color w:val="000000" w:themeColor="text1"/>
          <w:sz w:val="24"/>
          <w:szCs w:val="24"/>
          <w:highlight w:val="none"/>
          <w14:textFill>
            <w14:solidFill>
              <w14:schemeClr w14:val="tx1"/>
            </w14:solidFill>
          </w14:textFill>
        </w:rPr>
      </w:pPr>
    </w:p>
    <w:p>
      <w:pPr>
        <w:spacing w:line="360" w:lineRule="auto"/>
        <w:jc w:val="right"/>
        <w:rPr>
          <w:rFonts w:ascii="宋体" w:hAnsi="宋体"/>
          <w:b/>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编号：</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(保函开立人自行编号)</w:t>
      </w:r>
    </w:p>
    <w:p>
      <w:pPr>
        <w:spacing w:line="360" w:lineRule="auto"/>
        <w:jc w:val="center"/>
        <w:rPr>
          <w:rFonts w:ascii="宋体" w:hAnsi="宋体"/>
          <w:b/>
          <w:bCs/>
          <w:color w:val="000000" w:themeColor="text1"/>
          <w:sz w:val="21"/>
          <w:szCs w:val="21"/>
          <w:highlight w:val="none"/>
          <w14:textFill>
            <w14:solidFill>
              <w14:schemeClr w14:val="tx1"/>
            </w14:solidFill>
          </w14:textFill>
        </w:rPr>
      </w:pPr>
    </w:p>
    <w:p>
      <w:pPr>
        <w:widowControl/>
        <w:spacing w:line="60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招标人名称）</w:t>
      </w:r>
      <w:r>
        <w:rPr>
          <w:rFonts w:ascii="宋体" w:hAnsi="宋体"/>
          <w:color w:val="000000" w:themeColor="text1"/>
          <w:sz w:val="21"/>
          <w:szCs w:val="21"/>
          <w:highlight w:val="none"/>
          <w14:textFill>
            <w14:solidFill>
              <w14:schemeClr w14:val="tx1"/>
            </w14:solidFill>
          </w14:textFill>
        </w:rPr>
        <w:t xml:space="preserve">： </w:t>
      </w:r>
    </w:p>
    <w:p>
      <w:pPr>
        <w:widowControl/>
        <w:spacing w:line="6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就</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（投标人名称）申请开立招标项目编号为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（招标项目编号）的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（招标项目名称）的</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（保函金额）元投标保函，我方收款账号为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（保函开立人收款账号）的收款账户，已于</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日收到该投标人通过付款账号:</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（投标人付款账号）的付款账户支付的保函费用。</w:t>
      </w:r>
    </w:p>
    <w:p>
      <w:pPr>
        <w:widowControl/>
        <w:spacing w:line="6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特此证明。</w:t>
      </w:r>
    </w:p>
    <w:p>
      <w:pPr>
        <w:widowControl/>
        <w:spacing w:line="600" w:lineRule="exact"/>
        <w:ind w:firstLine="420" w:firstLineChars="200"/>
        <w:jc w:val="left"/>
        <w:rPr>
          <w:rFonts w:ascii="宋体" w:hAnsi="宋体"/>
          <w:color w:val="000000" w:themeColor="text1"/>
          <w:sz w:val="21"/>
          <w:szCs w:val="21"/>
          <w:highlight w:val="none"/>
          <w14:textFill>
            <w14:solidFill>
              <w14:schemeClr w14:val="tx1"/>
            </w14:solidFill>
          </w14:textFill>
        </w:rPr>
      </w:pPr>
    </w:p>
    <w:p>
      <w:pPr>
        <w:widowControl/>
        <w:spacing w:line="600" w:lineRule="exact"/>
        <w:ind w:firstLine="5250" w:firstLineChars="25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保函开立人：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（盖章）</w:t>
      </w:r>
    </w:p>
    <w:p>
      <w:pPr>
        <w:pStyle w:val="15"/>
        <w:tabs>
          <w:tab w:val="left" w:pos="1000"/>
        </w:tabs>
        <w:spacing w:line="360" w:lineRule="auto"/>
        <w:ind w:firstLine="5985" w:firstLineChars="2850"/>
        <w:rPr>
          <w:rFonts w:ascii="宋体" w:hAnsi="宋体" w:eastAsia="宋体"/>
          <w:snapToGrid w:val="0"/>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ascii="宋体" w:hAnsi="宋体" w:eastAsia="宋体"/>
          <w:color w:val="000000" w:themeColor="text1"/>
          <w:szCs w:val="21"/>
          <w:highlight w:val="none"/>
          <w14:textFill>
            <w14:solidFill>
              <w14:schemeClr w14:val="tx1"/>
            </w14:solidFill>
          </w14:textFill>
        </w:rPr>
        <w:t>日</w:t>
      </w: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r>
        <w:rPr>
          <w:rFonts w:hint="eastAsia" w:ascii="宋体" w:hAnsi="宋体" w:eastAsia="宋体"/>
          <w:snapToGrid w:val="0"/>
          <w:color w:val="000000" w:themeColor="text1"/>
          <w:szCs w:val="21"/>
          <w:highlight w:val="none"/>
          <w14:textFill>
            <w14:solidFill>
              <w14:schemeClr w14:val="tx1"/>
            </w14:solidFill>
          </w14:textFill>
        </w:rPr>
        <w:t>四、授权委托书格式</w:t>
      </w:r>
      <w:r>
        <w:rPr>
          <w:rFonts w:hint="eastAsia" w:ascii="宋体" w:hAnsi="宋体" w:eastAsia="宋体"/>
          <w:color w:val="000000" w:themeColor="text1"/>
          <w:szCs w:val="21"/>
          <w:highlight w:val="none"/>
          <w14:textFill>
            <w14:solidFill>
              <w14:schemeClr w14:val="tx1"/>
            </w14:solidFill>
          </w14:textFill>
        </w:rPr>
        <w:t>（格式）</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授</w:t>
      </w:r>
      <w:r>
        <w:rPr>
          <w:rFonts w:hint="eastAsia" w:ascii="黑体" w:hAnsi="黑体" w:eastAsia="黑体" w:cs="宋体"/>
          <w:color w:val="000000" w:themeColor="text1"/>
          <w:sz w:val="32"/>
          <w:szCs w:val="32"/>
          <w:highlight w:val="none"/>
          <w14:textFill>
            <w14:solidFill>
              <w14:schemeClr w14:val="tx1"/>
            </w14:solidFill>
          </w14:textFill>
        </w:rPr>
        <w:t>权</w:t>
      </w:r>
      <w:r>
        <w:rPr>
          <w:rFonts w:hint="eastAsia" w:ascii="黑体" w:hAnsi="黑体" w:eastAsia="黑体"/>
          <w:color w:val="000000" w:themeColor="text1"/>
          <w:sz w:val="32"/>
          <w:szCs w:val="32"/>
          <w:highlight w:val="none"/>
          <w14:textFill>
            <w14:solidFill>
              <w14:schemeClr w14:val="tx1"/>
            </w14:solidFill>
          </w14:textFill>
        </w:rPr>
        <w:t>委托</w:t>
      </w:r>
      <w:r>
        <w:rPr>
          <w:rFonts w:hint="eastAsia" w:ascii="黑体" w:hAnsi="黑体" w:eastAsia="黑体" w:cs="宋体"/>
          <w:color w:val="000000" w:themeColor="text1"/>
          <w:sz w:val="32"/>
          <w:szCs w:val="32"/>
          <w:highlight w:val="none"/>
          <w14:textFill>
            <w14:solidFill>
              <w14:schemeClr w14:val="tx1"/>
            </w14:solidFill>
          </w14:textFill>
        </w:rPr>
        <w:t>书</w:t>
      </w:r>
      <w:r>
        <w:rPr>
          <w:rStyle w:val="49"/>
          <w:rFonts w:ascii="黑体" w:hAnsi="黑体" w:eastAsia="黑体" w:cs="宋体"/>
          <w:color w:val="000000" w:themeColor="text1"/>
          <w:sz w:val="32"/>
          <w:szCs w:val="32"/>
          <w:highlight w:val="none"/>
          <w14:textFill>
            <w14:solidFill>
              <w14:schemeClr w14:val="tx1"/>
            </w14:solidFill>
          </w14:textFill>
        </w:rPr>
        <w:footnoteReference w:id="82"/>
      </w:r>
    </w:p>
    <w:p>
      <w:pPr>
        <w:spacing w:line="360" w:lineRule="auto"/>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w:t>
      </w:r>
      <w:r>
        <w:rPr>
          <w:rFonts w:hint="eastAsia" w:ascii="宋体" w:hAnsi="宋体" w:cs="宋体"/>
          <w:color w:val="000000" w:themeColor="text1"/>
          <w:sz w:val="21"/>
          <w:szCs w:val="21"/>
          <w:highlight w:val="none"/>
          <w14:textFill>
            <w14:solidFill>
              <w14:schemeClr w14:val="tx1"/>
            </w14:solidFill>
          </w14:textFill>
        </w:rPr>
        <w:t>权书</w:t>
      </w:r>
      <w:r>
        <w:rPr>
          <w:rFonts w:hint="eastAsia" w:ascii="宋体" w:hAnsi="宋体"/>
          <w:color w:val="000000" w:themeColor="text1"/>
          <w:sz w:val="21"/>
          <w:szCs w:val="21"/>
          <w:highlight w:val="none"/>
          <w14:textFill>
            <w14:solidFill>
              <w14:schemeClr w14:val="tx1"/>
            </w14:solidFill>
          </w14:textFill>
        </w:rPr>
        <w:t>宣告，在下面</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字的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（法定代表人姓名）以法定代表人身份代表本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（授权委托人姓名），其身份证号码为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，作为</w:t>
      </w:r>
      <w:r>
        <w:rPr>
          <w:rFonts w:hint="eastAsia" w:ascii="宋体" w:hAnsi="宋体"/>
          <w:color w:val="000000" w:themeColor="text1"/>
          <w:sz w:val="21"/>
          <w:szCs w:val="21"/>
          <w:highlight w:val="none"/>
          <w14:textFill>
            <w14:solidFill>
              <w14:schemeClr w14:val="tx1"/>
            </w14:solidFill>
          </w14:textFill>
        </w:rPr>
        <w:t>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位的合法授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其在编号为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编</w:t>
      </w:r>
      <w:r>
        <w:rPr>
          <w:rFonts w:hint="eastAsia" w:ascii="宋体" w:hAnsi="宋体"/>
          <w:color w:val="000000" w:themeColor="text1"/>
          <w:sz w:val="21"/>
          <w:szCs w:val="21"/>
          <w:highlight w:val="none"/>
          <w14:textFill>
            <w14:solidFill>
              <w14:schemeClr w14:val="tx1"/>
            </w14:solidFill>
          </w14:textFill>
        </w:rPr>
        <w:t>号）的</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目名称）</w:t>
      </w:r>
      <w:r>
        <w:rPr>
          <w:rFonts w:hint="eastAsia" w:ascii="宋体" w:hAnsi="宋体" w:cs="宋体"/>
          <w:color w:val="000000" w:themeColor="text1"/>
          <w:sz w:val="21"/>
          <w:szCs w:val="21"/>
          <w:highlight w:val="none"/>
          <w14:textFill>
            <w14:solidFill>
              <w14:schemeClr w14:val="tx1"/>
            </w14:solidFill>
          </w14:textFill>
        </w:rPr>
        <w:t>勘察</w:t>
      </w:r>
      <w:r>
        <w:rPr>
          <w:rFonts w:hint="eastAsia" w:ascii="宋体" w:hAnsi="宋体"/>
          <w:color w:val="000000" w:themeColor="text1"/>
          <w:sz w:val="21"/>
          <w:szCs w:val="21"/>
          <w:highlight w:val="none"/>
          <w14:textFill>
            <w14:solidFill>
              <w14:schemeClr w14:val="tx1"/>
            </w14:solidFill>
          </w14:textFill>
        </w:rPr>
        <w:t>招投标活</w:t>
      </w:r>
      <w:r>
        <w:rPr>
          <w:rFonts w:hint="eastAsia" w:ascii="宋体" w:hAnsi="宋体" w:cs="宋体"/>
          <w:color w:val="000000" w:themeColor="text1"/>
          <w:sz w:val="21"/>
          <w:szCs w:val="21"/>
          <w:highlight w:val="none"/>
          <w14:textFill>
            <w14:solidFill>
              <w14:schemeClr w14:val="tx1"/>
            </w14:solidFill>
          </w14:textFill>
        </w:rPr>
        <w:t>动</w:t>
      </w:r>
      <w:r>
        <w:rPr>
          <w:rFonts w:hint="eastAsia" w:ascii="宋体" w:hAnsi="宋体"/>
          <w:color w:val="000000" w:themeColor="text1"/>
          <w:sz w:val="21"/>
          <w:szCs w:val="21"/>
          <w:highlight w:val="none"/>
          <w14:textFill>
            <w14:solidFill>
              <w14:schemeClr w14:val="tx1"/>
            </w14:solidFill>
          </w14:textFill>
        </w:rPr>
        <w:t>中，以本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位的名</w:t>
      </w:r>
      <w:r>
        <w:rPr>
          <w:rFonts w:hint="eastAsia" w:ascii="宋体" w:hAnsi="宋体" w:cs="宋体"/>
          <w:color w:val="000000" w:themeColor="text1"/>
          <w:sz w:val="21"/>
          <w:szCs w:val="21"/>
          <w:highlight w:val="none"/>
          <w14:textFill>
            <w14:solidFill>
              <w14:schemeClr w14:val="tx1"/>
            </w14:solidFill>
          </w14:textFill>
        </w:rPr>
        <w:t>义</w:t>
      </w:r>
      <w:r>
        <w:rPr>
          <w:rFonts w:hint="eastAsia" w:ascii="宋体" w:hAnsi="宋体"/>
          <w:color w:val="000000" w:themeColor="text1"/>
          <w:sz w:val="21"/>
          <w:szCs w:val="21"/>
          <w:highlight w:val="none"/>
          <w14:textFill>
            <w14:solidFill>
              <w14:schemeClr w14:val="tx1"/>
            </w14:solidFill>
          </w14:textFill>
        </w:rPr>
        <w:t>，并代表本人与你</w:t>
      </w:r>
      <w:r>
        <w:rPr>
          <w:rFonts w:hint="eastAsia" w:ascii="宋体" w:hAnsi="宋体" w:cs="宋体"/>
          <w:color w:val="000000" w:themeColor="text1"/>
          <w:sz w:val="21"/>
          <w:szCs w:val="21"/>
          <w:highlight w:val="none"/>
          <w14:textFill>
            <w14:solidFill>
              <w14:schemeClr w14:val="tx1"/>
            </w14:solidFill>
          </w14:textFill>
        </w:rPr>
        <w:t>们进</w:t>
      </w:r>
      <w:r>
        <w:rPr>
          <w:rFonts w:hint="eastAsia" w:ascii="宋体" w:hAnsi="宋体"/>
          <w:color w:val="000000" w:themeColor="text1"/>
          <w:sz w:val="21"/>
          <w:szCs w:val="21"/>
          <w:highlight w:val="none"/>
          <w14:textFill>
            <w14:solidFill>
              <w14:schemeClr w14:val="tx1"/>
            </w14:solidFill>
          </w14:textFill>
        </w:rPr>
        <w:t>行磋商、</w:t>
      </w:r>
      <w:r>
        <w:rPr>
          <w:rFonts w:hint="eastAsia" w:ascii="宋体" w:hAnsi="宋体" w:cs="宋体"/>
          <w:color w:val="000000" w:themeColor="text1"/>
          <w:sz w:val="21"/>
          <w:szCs w:val="21"/>
          <w:highlight w:val="none"/>
          <w14:textFill>
            <w14:solidFill>
              <w14:schemeClr w14:val="tx1"/>
            </w14:solidFill>
          </w14:textFill>
        </w:rPr>
        <w:t>签</w:t>
      </w:r>
      <w:r>
        <w:rPr>
          <w:rFonts w:hint="eastAsia" w:ascii="宋体" w:hAnsi="宋体"/>
          <w:color w:val="000000" w:themeColor="text1"/>
          <w:sz w:val="21"/>
          <w:szCs w:val="21"/>
          <w:highlight w:val="none"/>
          <w14:textFill>
            <w14:solidFill>
              <w14:schemeClr w14:val="tx1"/>
            </w14:solidFill>
          </w14:textFill>
        </w:rPr>
        <w:t>署文件和</w:t>
      </w:r>
      <w:r>
        <w:rPr>
          <w:rFonts w:hint="eastAsia" w:ascii="宋体" w:hAnsi="宋体" w:cs="宋体"/>
          <w:color w:val="000000" w:themeColor="text1"/>
          <w:sz w:val="21"/>
          <w:szCs w:val="21"/>
          <w:highlight w:val="none"/>
          <w14:textFill>
            <w14:solidFill>
              <w14:schemeClr w14:val="tx1"/>
            </w14:solidFill>
          </w14:textFill>
        </w:rPr>
        <w:t>处</w:t>
      </w:r>
      <w:r>
        <w:rPr>
          <w:rFonts w:hint="eastAsia" w:ascii="宋体" w:hAnsi="宋体"/>
          <w:color w:val="000000" w:themeColor="text1"/>
          <w:sz w:val="21"/>
          <w:szCs w:val="21"/>
          <w:highlight w:val="none"/>
          <w14:textFill>
            <w14:solidFill>
              <w14:schemeClr w14:val="tx1"/>
            </w14:solidFill>
          </w14:textFill>
        </w:rPr>
        <w:t>理一切与此事有</w:t>
      </w:r>
      <w:r>
        <w:rPr>
          <w:rFonts w:hint="eastAsia" w:ascii="宋体" w:hAnsi="宋体" w:cs="宋体"/>
          <w:color w:val="000000" w:themeColor="text1"/>
          <w:sz w:val="21"/>
          <w:szCs w:val="21"/>
          <w:highlight w:val="none"/>
          <w14:textFill>
            <w14:solidFill>
              <w14:schemeClr w14:val="tx1"/>
            </w14:solidFill>
          </w14:textFill>
        </w:rPr>
        <w:t>关</w:t>
      </w:r>
      <w:r>
        <w:rPr>
          <w:rFonts w:hint="eastAsia" w:ascii="宋体" w:hAnsi="宋体"/>
          <w:color w:val="000000" w:themeColor="text1"/>
          <w:sz w:val="21"/>
          <w:szCs w:val="21"/>
          <w:highlight w:val="none"/>
          <w14:textFill>
            <w14:solidFill>
              <w14:schemeClr w14:val="tx1"/>
            </w14:solidFill>
          </w14:textFill>
        </w:rPr>
        <w:t>的事</w:t>
      </w:r>
      <w:r>
        <w:rPr>
          <w:rFonts w:hint="eastAsia" w:ascii="宋体" w:hAnsi="宋体" w:cs="宋体"/>
          <w:color w:val="000000" w:themeColor="text1"/>
          <w:sz w:val="21"/>
          <w:szCs w:val="21"/>
          <w:highlight w:val="none"/>
          <w14:textFill>
            <w14:solidFill>
              <w14:schemeClr w14:val="tx1"/>
            </w14:solidFill>
          </w14:textFill>
        </w:rPr>
        <w:t>务</w:t>
      </w: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代表的一切行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均代表本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位，与本人的行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具有同等法律效力。本</w:t>
      </w:r>
      <w:r>
        <w:rPr>
          <w:rFonts w:hint="eastAsia" w:ascii="宋体" w:hAnsi="宋体" w:cs="宋体"/>
          <w:color w:val="000000" w:themeColor="text1"/>
          <w:sz w:val="21"/>
          <w:szCs w:val="21"/>
          <w:highlight w:val="none"/>
          <w14:textFill>
            <w14:solidFill>
              <w14:schemeClr w14:val="tx1"/>
            </w14:solidFill>
          </w14:textFill>
        </w:rPr>
        <w:t>单</w:t>
      </w:r>
      <w:r>
        <w:rPr>
          <w:rFonts w:hint="eastAsia" w:ascii="宋体" w:hAnsi="宋体"/>
          <w:color w:val="000000" w:themeColor="text1"/>
          <w:sz w:val="21"/>
          <w:szCs w:val="21"/>
          <w:highlight w:val="none"/>
          <w14:textFill>
            <w14:solidFill>
              <w14:schemeClr w14:val="tx1"/>
            </w14:solidFill>
          </w14:textFill>
        </w:rPr>
        <w:t>位将承担授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代表行</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olor w:val="000000" w:themeColor="text1"/>
          <w:sz w:val="21"/>
          <w:szCs w:val="21"/>
          <w:highlight w:val="none"/>
          <w14:textFill>
            <w14:solidFill>
              <w14:schemeClr w14:val="tx1"/>
            </w14:solidFill>
          </w14:textFill>
        </w:rPr>
        <w:t>的全部法律</w:t>
      </w:r>
      <w:r>
        <w:rPr>
          <w:rFonts w:hint="eastAsia" w:ascii="宋体" w:hAnsi="宋体" w:cs="宋体"/>
          <w:color w:val="000000" w:themeColor="text1"/>
          <w:sz w:val="21"/>
          <w:szCs w:val="21"/>
          <w:highlight w:val="none"/>
          <w14:textFill>
            <w14:solidFill>
              <w14:schemeClr w14:val="tx1"/>
            </w14:solidFill>
          </w14:textFill>
        </w:rPr>
        <w:t>责</w:t>
      </w:r>
      <w:r>
        <w:rPr>
          <w:rFonts w:hint="eastAsia" w:ascii="宋体" w:hAnsi="宋体"/>
          <w:color w:val="000000" w:themeColor="text1"/>
          <w:sz w:val="21"/>
          <w:szCs w:val="21"/>
          <w:highlight w:val="none"/>
          <w14:textFill>
            <w14:solidFill>
              <w14:schemeClr w14:val="tx1"/>
            </w14:solidFill>
          </w14:textFill>
        </w:rPr>
        <w:t>任和后果。</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本授权委托书期限自</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日起至</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日止。</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代表无</w:t>
      </w:r>
      <w:r>
        <w:rPr>
          <w:rFonts w:hint="eastAsia" w:ascii="宋体" w:hAnsi="宋体" w:cs="宋体"/>
          <w:color w:val="000000" w:themeColor="text1"/>
          <w:sz w:val="21"/>
          <w:szCs w:val="21"/>
          <w:highlight w:val="none"/>
          <w14:textFill>
            <w14:solidFill>
              <w14:schemeClr w14:val="tx1"/>
            </w14:solidFill>
          </w14:textFill>
        </w:rPr>
        <w:t>权转让</w:t>
      </w:r>
      <w:r>
        <w:rPr>
          <w:rFonts w:hint="eastAsia" w:ascii="宋体" w:hAnsi="宋体"/>
          <w:color w:val="000000" w:themeColor="text1"/>
          <w:sz w:val="21"/>
          <w:szCs w:val="21"/>
          <w:highlight w:val="none"/>
          <w14:textFill>
            <w14:solidFill>
              <w14:schemeClr w14:val="tx1"/>
            </w14:solidFill>
          </w14:textFill>
        </w:rPr>
        <w:t>委托</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，特此委托。</w:t>
      </w: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附：1.授权委托人身份证扫描件</w:t>
      </w:r>
    </w:p>
    <w:p>
      <w:pPr>
        <w:spacing w:line="360" w:lineRule="auto"/>
        <w:ind w:firstLine="840" w:firstLineChars="4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2.授权委托人系投标人本单位正式在岗职工</w:t>
      </w:r>
      <w:r>
        <w:rPr>
          <w:rStyle w:val="49"/>
          <w:rFonts w:ascii="宋体" w:hAnsi="宋体"/>
          <w:color w:val="000000" w:themeColor="text1"/>
          <w:sz w:val="21"/>
          <w:szCs w:val="21"/>
          <w:highlight w:val="none"/>
          <w14:textFill>
            <w14:solidFill>
              <w14:schemeClr w14:val="tx1"/>
            </w14:solidFill>
          </w14:textFill>
        </w:rPr>
        <w:footnoteReference w:id="83"/>
      </w:r>
      <w:r>
        <w:rPr>
          <w:rFonts w:hint="eastAsia" w:ascii="宋体" w:hAnsi="宋体"/>
          <w:color w:val="000000" w:themeColor="text1"/>
          <w:sz w:val="21"/>
          <w:szCs w:val="21"/>
          <w:highlight w:val="none"/>
          <w14:textFill>
            <w14:solidFill>
              <w14:schemeClr w14:val="tx1"/>
            </w14:solidFill>
          </w14:textFill>
        </w:rPr>
        <w:t>（以住房城乡建设行政主管部门核发的有效执业资格证书证明或社保管理部门出具的社保缴费证明所署单位为准）的证明材料扫描件。</w:t>
      </w:r>
    </w:p>
    <w:p>
      <w:pPr>
        <w:spacing w:line="360" w:lineRule="auto"/>
        <w:ind w:firstLine="840" w:firstLineChars="400"/>
        <w:jc w:val="left"/>
        <w:rPr>
          <w:rFonts w:ascii="宋体" w:hAnsi="宋体"/>
          <w:color w:val="000000" w:themeColor="text1"/>
          <w:sz w:val="21"/>
          <w:szCs w:val="21"/>
          <w:highlight w:val="none"/>
          <w14:textFill>
            <w14:solidFill>
              <w14:schemeClr w14:val="tx1"/>
            </w14:solidFill>
          </w14:textFill>
        </w:rPr>
      </w:pPr>
    </w:p>
    <w:p>
      <w:pPr>
        <w:spacing w:line="360" w:lineRule="auto"/>
        <w:jc w:val="left"/>
        <w:rPr>
          <w:rFonts w:ascii="宋体" w:hAnsi="宋体"/>
          <w:color w:val="000000" w:themeColor="text1"/>
          <w:sz w:val="21"/>
          <w:szCs w:val="21"/>
          <w:highlight w:val="none"/>
          <w14:textFill>
            <w14:solidFill>
              <w14:schemeClr w14:val="tx1"/>
            </w14:solidFill>
          </w14:textFill>
        </w:rPr>
      </w:pPr>
    </w:p>
    <w:p>
      <w:pPr>
        <w:spacing w:line="360" w:lineRule="auto"/>
        <w:ind w:firstLine="3402" w:firstLineChars="162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（盖投标人单位公章）</w:t>
      </w:r>
    </w:p>
    <w:p>
      <w:pPr>
        <w:spacing w:line="360" w:lineRule="auto"/>
        <w:ind w:firstLine="3402" w:firstLineChars="162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p>
    <w:p>
      <w:pPr>
        <w:spacing w:line="360" w:lineRule="auto"/>
        <w:ind w:firstLine="3402" w:firstLineChars="162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授</w:t>
      </w:r>
      <w:r>
        <w:rPr>
          <w:rFonts w:hint="eastAsia" w:ascii="宋体" w:hAnsi="宋体" w:cs="宋体"/>
          <w:color w:val="000000" w:themeColor="text1"/>
          <w:sz w:val="21"/>
          <w:szCs w:val="21"/>
          <w:highlight w:val="none"/>
          <w14:textFill>
            <w14:solidFill>
              <w14:schemeClr w14:val="tx1"/>
            </w14:solidFill>
          </w14:textFill>
        </w:rPr>
        <w:t>权</w:t>
      </w:r>
      <w:r>
        <w:rPr>
          <w:rFonts w:hint="eastAsia" w:ascii="宋体" w:hAnsi="宋体"/>
          <w:color w:val="000000" w:themeColor="text1"/>
          <w:sz w:val="21"/>
          <w:szCs w:val="21"/>
          <w:highlight w:val="none"/>
          <w14:textFill>
            <w14:solidFill>
              <w14:schemeClr w14:val="tx1"/>
            </w14:solidFill>
          </w14:textFill>
        </w:rPr>
        <w:t>委托人：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（签字或盖章）</w:t>
      </w:r>
    </w:p>
    <w:p>
      <w:pPr>
        <w:spacing w:line="360" w:lineRule="auto"/>
        <w:ind w:firstLine="3402" w:firstLineChars="162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日期：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spacing w:line="360" w:lineRule="auto"/>
        <w:jc w:val="left"/>
        <w:rPr>
          <w:rFonts w:ascii="宋体" w:hAnsi="宋体"/>
          <w:color w:val="000000" w:themeColor="text1"/>
          <w:sz w:val="2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color w:val="000000" w:themeColor="text1"/>
          <w:szCs w:val="21"/>
          <w:highlight w:val="none"/>
          <w14:textFill>
            <w14:solidFill>
              <w14:schemeClr w14:val="tx1"/>
            </w14:solidFill>
          </w14:textFill>
        </w:rPr>
      </w:pPr>
    </w:p>
    <w:p>
      <w:pPr>
        <w:pStyle w:val="15"/>
        <w:tabs>
          <w:tab w:val="left" w:pos="1000"/>
        </w:tabs>
        <w:spacing w:line="360" w:lineRule="auto"/>
        <w:ind w:firstLine="0"/>
        <w:rPr>
          <w:rFonts w:ascii="宋体" w:hAnsi="宋体" w:eastAsia="宋体"/>
          <w:snapToGrid w:val="0"/>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五、投标报价表（格式）</w:t>
      </w:r>
    </w:p>
    <w:p>
      <w:pPr>
        <w:spacing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投标报价表</w:t>
      </w:r>
      <w:r>
        <w:rPr>
          <w:rStyle w:val="49"/>
          <w:rFonts w:ascii="黑体" w:hAnsi="黑体" w:eastAsia="黑体"/>
          <w:color w:val="000000" w:themeColor="text1"/>
          <w:sz w:val="32"/>
          <w:szCs w:val="32"/>
          <w:highlight w:val="none"/>
          <w14:textFill>
            <w14:solidFill>
              <w14:schemeClr w14:val="tx1"/>
            </w14:solidFill>
          </w14:textFill>
        </w:rPr>
        <w:footnoteReference w:id="84"/>
      </w:r>
    </w:p>
    <w:tbl>
      <w:tblPr>
        <w:tblStyle w:val="41"/>
        <w:tblW w:w="9356" w:type="dxa"/>
        <w:tblInd w:w="-132" w:type="dxa"/>
        <w:tblLayout w:type="fixed"/>
        <w:tblCellMar>
          <w:top w:w="0" w:type="dxa"/>
          <w:left w:w="0" w:type="dxa"/>
          <w:bottom w:w="0" w:type="dxa"/>
          <w:right w:w="0" w:type="dxa"/>
        </w:tblCellMar>
      </w:tblPr>
      <w:tblGrid>
        <w:gridCol w:w="1843"/>
        <w:gridCol w:w="2978"/>
        <w:gridCol w:w="2127"/>
        <w:gridCol w:w="2408"/>
      </w:tblGrid>
      <w:tr>
        <w:tblPrEx>
          <w:tblLayout w:type="fixed"/>
          <w:tblCellMar>
            <w:top w:w="0" w:type="dxa"/>
            <w:left w:w="0" w:type="dxa"/>
            <w:bottom w:w="0" w:type="dxa"/>
            <w:right w:w="0" w:type="dxa"/>
          </w:tblCellMar>
        </w:tblPrEx>
        <w:trPr>
          <w:cantSplit/>
          <w:trHeight w:val="911" w:hRule="exact"/>
        </w:trPr>
        <w:tc>
          <w:tcPr>
            <w:tcW w:w="1843"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项</w:t>
            </w:r>
            <w:r>
              <w:rPr>
                <w:rFonts w:hint="eastAsia" w:ascii="宋体"/>
                <w:color w:val="000000" w:themeColor="text1"/>
                <w:sz w:val="21"/>
                <w:szCs w:val="21"/>
                <w:highlight w:val="none"/>
                <w14:textFill>
                  <w14:solidFill>
                    <w14:schemeClr w14:val="tx1"/>
                  </w14:solidFill>
                </w14:textFill>
              </w:rPr>
              <w:t>目名称</w:t>
            </w:r>
          </w:p>
        </w:tc>
        <w:tc>
          <w:tcPr>
            <w:tcW w:w="2978"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1"/>
                <w:szCs w:val="21"/>
                <w:highlight w:val="none"/>
                <w:u w:val="single"/>
                <w14:textFill>
                  <w14:solidFill>
                    <w14:schemeClr w14:val="tx1"/>
                  </w14:solidFill>
                </w14:textFill>
              </w:rPr>
            </w:pPr>
          </w:p>
        </w:tc>
        <w:tc>
          <w:tcPr>
            <w:tcW w:w="2127" w:type="dxa"/>
            <w:tcBorders>
              <w:top w:val="single" w:color="auto" w:sz="8" w:space="0"/>
              <w:left w:val="single" w:color="auto" w:sz="4" w:space="0"/>
              <w:bottom w:val="single" w:color="auto" w:sz="8" w:space="0"/>
              <w:right w:val="single" w:color="auto" w:sz="4" w:space="0"/>
            </w:tcBorders>
            <w:vAlign w:val="center"/>
          </w:tcPr>
          <w:p>
            <w:pPr>
              <w:spacing w:line="360" w:lineRule="exact"/>
              <w:jc w:val="center"/>
              <w:rPr>
                <w:rFonts w:ascii="宋体" w:hAnsi="宋体"/>
                <w:color w:val="000000" w:themeColor="text1"/>
                <w:sz w:val="21"/>
                <w:szCs w:val="21"/>
                <w:highlight w:val="none"/>
                <w:u w:val="singl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招</w:t>
            </w:r>
            <w:r>
              <w:rPr>
                <w:rFonts w:hint="eastAsia" w:ascii="宋体" w:cs="宋体"/>
                <w:color w:val="000000" w:themeColor="text1"/>
                <w:sz w:val="21"/>
                <w:szCs w:val="21"/>
                <w:highlight w:val="none"/>
                <w14:textFill>
                  <w14:solidFill>
                    <w14:schemeClr w14:val="tx1"/>
                  </w14:solidFill>
                </w14:textFill>
              </w:rPr>
              <w:t>标编</w:t>
            </w:r>
            <w:r>
              <w:rPr>
                <w:rFonts w:hint="eastAsia" w:ascii="宋体"/>
                <w:color w:val="000000" w:themeColor="text1"/>
                <w:sz w:val="21"/>
                <w:szCs w:val="21"/>
                <w:highlight w:val="none"/>
                <w14:textFill>
                  <w14:solidFill>
                    <w14:schemeClr w14:val="tx1"/>
                  </w14:solidFill>
                </w14:textFill>
              </w:rPr>
              <w:t>号</w:t>
            </w:r>
          </w:p>
        </w:tc>
        <w:tc>
          <w:tcPr>
            <w:tcW w:w="2408" w:type="dxa"/>
            <w:tcBorders>
              <w:top w:val="single" w:color="auto" w:sz="8" w:space="0"/>
              <w:left w:val="single" w:color="auto" w:sz="4" w:space="0"/>
              <w:bottom w:val="single" w:color="auto" w:sz="8" w:space="0"/>
              <w:right w:val="single" w:color="auto" w:sz="8" w:space="0"/>
            </w:tcBorders>
            <w:vAlign w:val="center"/>
          </w:tcPr>
          <w:p>
            <w:pPr>
              <w:spacing w:line="360" w:lineRule="exact"/>
              <w:jc w:val="left"/>
              <w:rPr>
                <w:rFonts w:ascii="宋体" w:hAnsi="宋体"/>
                <w:color w:val="000000" w:themeColor="text1"/>
                <w:sz w:val="21"/>
                <w:szCs w:val="21"/>
                <w:highlight w:val="none"/>
                <w:u w:val="single"/>
                <w14:textFill>
                  <w14:solidFill>
                    <w14:schemeClr w14:val="tx1"/>
                  </w14:solidFill>
                </w14:textFill>
              </w:rPr>
            </w:pPr>
          </w:p>
        </w:tc>
      </w:tr>
      <w:tr>
        <w:tblPrEx>
          <w:tblLayout w:type="fixed"/>
          <w:tblCellMar>
            <w:top w:w="0" w:type="dxa"/>
            <w:left w:w="0" w:type="dxa"/>
            <w:bottom w:w="0" w:type="dxa"/>
            <w:right w:w="0" w:type="dxa"/>
          </w:tblCellMar>
        </w:tblPrEx>
        <w:trPr>
          <w:cantSplit/>
          <w:trHeight w:val="1379" w:hRule="atLeast"/>
        </w:trPr>
        <w:tc>
          <w:tcPr>
            <w:tcW w:w="1843" w:type="dxa"/>
            <w:tcBorders>
              <w:top w:val="single" w:color="auto" w:sz="4" w:space="0"/>
              <w:left w:val="single" w:color="auto" w:sz="8" w:space="0"/>
              <w:bottom w:val="nil"/>
              <w:right w:val="single" w:color="auto" w:sz="4" w:space="0"/>
            </w:tcBorders>
            <w:vAlign w:val="center"/>
          </w:tcPr>
          <w:p>
            <w:pPr>
              <w:jc w:val="left"/>
              <w:rPr>
                <w:rFonts w:ascii="宋体" w:hAnsi="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招标人公布的工程勘察收费基准价（元）</w:t>
            </w:r>
          </w:p>
        </w:tc>
        <w:tc>
          <w:tcPr>
            <w:tcW w:w="2978" w:type="dxa"/>
            <w:tcBorders>
              <w:top w:val="single" w:color="auto" w:sz="8" w:space="0"/>
              <w:left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2127" w:type="dxa"/>
            <w:tcBorders>
              <w:top w:val="single" w:color="auto" w:sz="8" w:space="0"/>
              <w:left w:val="single" w:color="auto" w:sz="4" w:space="0"/>
              <w:right w:val="single" w:color="auto" w:sz="4" w:space="0"/>
            </w:tcBorders>
            <w:vAlign w:val="center"/>
          </w:tcPr>
          <w:p>
            <w:pPr>
              <w:jc w:val="left"/>
              <w:rPr>
                <w:rFonts w:ascii="宋体" w:hAns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招标人公布的勘察费浮动幅度值（应标明上浮或下浮％）</w:t>
            </w:r>
          </w:p>
        </w:tc>
        <w:tc>
          <w:tcPr>
            <w:tcW w:w="2408" w:type="dxa"/>
            <w:tcBorders>
              <w:top w:val="single" w:color="auto" w:sz="8" w:space="0"/>
              <w:left w:val="single" w:color="auto" w:sz="4" w:space="0"/>
              <w:right w:val="single" w:color="auto" w:sz="8" w:space="0"/>
            </w:tcBorders>
            <w:vAlign w:val="center"/>
          </w:tcPr>
          <w:p>
            <w:pPr>
              <w:jc w:val="center"/>
              <w:rPr>
                <w:rFonts w:ascii="宋体" w:hAnsi="宋体"/>
                <w:color w:val="000000" w:themeColor="text1"/>
                <w:sz w:val="21"/>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cantSplit/>
          <w:trHeight w:val="1246" w:hRule="atLeast"/>
        </w:trPr>
        <w:tc>
          <w:tcPr>
            <w:tcW w:w="1843" w:type="dxa"/>
            <w:vMerge w:val="restart"/>
            <w:tcBorders>
              <w:top w:val="single" w:color="auto" w:sz="4" w:space="0"/>
              <w:left w:val="single" w:color="auto" w:sz="8"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招标人公布的</w:t>
            </w:r>
            <w:r>
              <w:rPr>
                <w:rFonts w:hint="eastAsia" w:ascii="宋体" w:hAnsi="宋体"/>
                <w:color w:val="000000" w:themeColor="text1"/>
                <w:sz w:val="21"/>
                <w:szCs w:val="21"/>
                <w:highlight w:val="none"/>
                <w14:textFill>
                  <w14:solidFill>
                    <w14:schemeClr w14:val="tx1"/>
                  </w14:solidFill>
                </w14:textFill>
              </w:rPr>
              <w:t>工程勘察最高投标报价限价金额</w:t>
            </w:r>
          </w:p>
        </w:tc>
        <w:tc>
          <w:tcPr>
            <w:tcW w:w="7513" w:type="dxa"/>
            <w:gridSpan w:val="3"/>
            <w:tcBorders>
              <w:top w:val="single" w:color="auto" w:sz="8" w:space="0"/>
              <w:left w:val="single" w:color="auto" w:sz="4" w:space="0"/>
              <w:bottom w:val="single" w:color="auto" w:sz="4" w:space="0"/>
              <w:right w:val="single" w:color="auto" w:sz="8" w:space="0"/>
            </w:tcBorders>
            <w:vAlign w:val="center"/>
          </w:tcPr>
          <w:p>
            <w:pPr>
              <w:ind w:right="69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（大写）：                          （元人民</w:t>
            </w:r>
            <w:r>
              <w:rPr>
                <w:rFonts w:hint="eastAsia" w:ascii="宋体" w:cs="宋体"/>
                <w:color w:val="000000" w:themeColor="text1"/>
                <w:sz w:val="21"/>
                <w:szCs w:val="21"/>
                <w:highlight w:val="none"/>
                <w14:textFill>
                  <w14:solidFill>
                    <w14:schemeClr w14:val="tx1"/>
                  </w14:solidFill>
                </w14:textFill>
              </w:rPr>
              <w:t>币</w:t>
            </w:r>
            <w:r>
              <w:rPr>
                <w:rFonts w:hint="eastAsia" w:ascii="宋体"/>
                <w:color w:val="000000" w:themeColor="text1"/>
                <w:sz w:val="21"/>
                <w:szCs w:val="21"/>
                <w:highlight w:val="none"/>
                <w14:textFill>
                  <w14:solidFill>
                    <w14:schemeClr w14:val="tx1"/>
                  </w14:solidFill>
                </w14:textFill>
              </w:rPr>
              <w:t>）</w:t>
            </w:r>
          </w:p>
        </w:tc>
      </w:tr>
      <w:tr>
        <w:tblPrEx>
          <w:tblLayout w:type="fixed"/>
          <w:tblCellMar>
            <w:top w:w="0" w:type="dxa"/>
            <w:left w:w="0" w:type="dxa"/>
            <w:bottom w:w="0" w:type="dxa"/>
            <w:right w:w="0" w:type="dxa"/>
          </w:tblCellMar>
        </w:tblPrEx>
        <w:trPr>
          <w:cantSplit/>
          <w:trHeight w:val="1182" w:hRule="atLeast"/>
        </w:trPr>
        <w:tc>
          <w:tcPr>
            <w:tcW w:w="1843" w:type="dxa"/>
            <w:vMerge w:val="continue"/>
            <w:tcBorders>
              <w:left w:val="single" w:color="auto" w:sz="8" w:space="0"/>
              <w:bottom w:val="single" w:color="auto" w:sz="4" w:space="0"/>
              <w:right w:val="single" w:color="auto" w:sz="4" w:space="0"/>
            </w:tcBorders>
            <w:vAlign w:val="center"/>
          </w:tcPr>
          <w:p>
            <w:pPr>
              <w:jc w:val="center"/>
              <w:rPr>
                <w:rFonts w:ascii="宋体" w:cs="宋体"/>
                <w:color w:val="000000" w:themeColor="text1"/>
                <w:sz w:val="21"/>
                <w:szCs w:val="21"/>
                <w:highlight w:val="none"/>
                <w14:textFill>
                  <w14:solidFill>
                    <w14:schemeClr w14:val="tx1"/>
                  </w14:solidFill>
                </w14:textFill>
              </w:rPr>
            </w:pPr>
          </w:p>
        </w:tc>
        <w:tc>
          <w:tcPr>
            <w:tcW w:w="7513" w:type="dxa"/>
            <w:gridSpan w:val="3"/>
            <w:tcBorders>
              <w:top w:val="single" w:color="auto" w:sz="4" w:space="0"/>
              <w:left w:val="single" w:color="auto" w:sz="4" w:space="0"/>
              <w:bottom w:val="single" w:color="auto" w:sz="4" w:space="0"/>
              <w:right w:val="single" w:color="auto" w:sz="8" w:space="0"/>
            </w:tcBorders>
            <w:vAlign w:val="center"/>
          </w:tcPr>
          <w:p>
            <w:pPr>
              <w:ind w:right="69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（小写）：</w:t>
            </w:r>
          </w:p>
        </w:tc>
      </w:tr>
      <w:tr>
        <w:tblPrEx>
          <w:tblLayout w:type="fixed"/>
          <w:tblCellMar>
            <w:top w:w="0" w:type="dxa"/>
            <w:left w:w="0" w:type="dxa"/>
            <w:bottom w:w="0" w:type="dxa"/>
            <w:right w:w="0" w:type="dxa"/>
          </w:tblCellMar>
        </w:tblPrEx>
        <w:trPr>
          <w:cantSplit/>
          <w:trHeight w:val="2069" w:hRule="atLeast"/>
        </w:trPr>
        <w:tc>
          <w:tcPr>
            <w:tcW w:w="1843" w:type="dxa"/>
            <w:vMerge w:val="restart"/>
            <w:tcBorders>
              <w:top w:val="single" w:color="auto" w:sz="4" w:space="0"/>
              <w:left w:val="single" w:color="auto" w:sz="8"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投标人勘察费投标报价</w:t>
            </w:r>
          </w:p>
        </w:tc>
        <w:tc>
          <w:tcPr>
            <w:tcW w:w="7513" w:type="dxa"/>
            <w:gridSpan w:val="3"/>
            <w:tcBorders>
              <w:top w:val="single" w:color="auto" w:sz="4" w:space="0"/>
              <w:left w:val="single" w:color="auto" w:sz="4" w:space="0"/>
              <w:bottom w:val="single" w:color="auto" w:sz="4" w:space="0"/>
              <w:right w:val="single" w:color="auto" w:sz="8" w:space="0"/>
            </w:tcBorders>
            <w:vAlign w:val="center"/>
          </w:tcPr>
          <w:p>
            <w:pPr>
              <w:ind w:right="69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（大写）：                          （元人民</w:t>
            </w:r>
            <w:r>
              <w:rPr>
                <w:rFonts w:hint="eastAsia" w:ascii="宋体" w:cs="宋体"/>
                <w:color w:val="000000" w:themeColor="text1"/>
                <w:sz w:val="21"/>
                <w:szCs w:val="21"/>
                <w:highlight w:val="none"/>
                <w14:textFill>
                  <w14:solidFill>
                    <w14:schemeClr w14:val="tx1"/>
                  </w14:solidFill>
                </w14:textFill>
              </w:rPr>
              <w:t>币</w:t>
            </w:r>
            <w:r>
              <w:rPr>
                <w:rFonts w:hint="eastAsia" w:ascii="宋体"/>
                <w:color w:val="000000" w:themeColor="text1"/>
                <w:sz w:val="21"/>
                <w:szCs w:val="21"/>
                <w:highlight w:val="none"/>
                <w14:textFill>
                  <w14:solidFill>
                    <w14:schemeClr w14:val="tx1"/>
                  </w14:solidFill>
                </w14:textFill>
              </w:rPr>
              <w:t>）</w:t>
            </w:r>
          </w:p>
        </w:tc>
      </w:tr>
      <w:tr>
        <w:tblPrEx>
          <w:tblLayout w:type="fixed"/>
          <w:tblCellMar>
            <w:top w:w="0" w:type="dxa"/>
            <w:left w:w="0" w:type="dxa"/>
            <w:bottom w:w="0" w:type="dxa"/>
            <w:right w:w="0" w:type="dxa"/>
          </w:tblCellMar>
        </w:tblPrEx>
        <w:trPr>
          <w:cantSplit/>
          <w:trHeight w:val="1828" w:hRule="atLeast"/>
        </w:trPr>
        <w:tc>
          <w:tcPr>
            <w:tcW w:w="1843" w:type="dxa"/>
            <w:vMerge w:val="continue"/>
            <w:tcBorders>
              <w:left w:val="single" w:color="auto" w:sz="8"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7513" w:type="dxa"/>
            <w:gridSpan w:val="3"/>
            <w:tcBorders>
              <w:top w:val="single" w:color="auto" w:sz="4" w:space="0"/>
              <w:left w:val="single" w:color="auto" w:sz="4" w:space="0"/>
              <w:bottom w:val="single" w:color="auto" w:sz="4" w:space="0"/>
              <w:right w:val="single" w:color="auto" w:sz="8" w:space="0"/>
            </w:tcBorders>
            <w:vAlign w:val="center"/>
          </w:tcPr>
          <w:p>
            <w:pPr>
              <w:ind w:right="69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（小写）：</w:t>
            </w:r>
          </w:p>
        </w:tc>
      </w:tr>
      <w:tr>
        <w:tblPrEx>
          <w:tblLayout w:type="fixed"/>
          <w:tblCellMar>
            <w:top w:w="0" w:type="dxa"/>
            <w:left w:w="0" w:type="dxa"/>
            <w:bottom w:w="0" w:type="dxa"/>
            <w:right w:w="0" w:type="dxa"/>
          </w:tblCellMar>
        </w:tblPrEx>
        <w:trPr>
          <w:cantSplit/>
          <w:trHeight w:val="1544" w:hRule="atLeast"/>
        </w:trPr>
        <w:tc>
          <w:tcPr>
            <w:tcW w:w="1843" w:type="dxa"/>
            <w:vMerge w:val="continue"/>
            <w:tcBorders>
              <w:left w:val="single" w:color="auto" w:sz="8" w:space="0"/>
              <w:bottom w:val="single" w:color="auto" w:sz="4" w:space="0"/>
              <w:right w:val="single" w:color="auto" w:sz="4" w:space="0"/>
            </w:tcBorders>
            <w:vAlign w:val="center"/>
          </w:tcPr>
          <w:p>
            <w:pPr>
              <w:jc w:val="center"/>
              <w:rPr>
                <w:rFonts w:ascii="宋体" w:hAnsi="宋体"/>
                <w:color w:val="000000" w:themeColor="text1"/>
                <w:sz w:val="21"/>
                <w:szCs w:val="21"/>
                <w:highlight w:val="none"/>
                <w14:textFill>
                  <w14:solidFill>
                    <w14:schemeClr w14:val="tx1"/>
                  </w14:solidFill>
                </w14:textFill>
              </w:rPr>
            </w:pPr>
          </w:p>
        </w:tc>
        <w:tc>
          <w:tcPr>
            <w:tcW w:w="7513" w:type="dxa"/>
            <w:gridSpan w:val="3"/>
            <w:tcBorders>
              <w:top w:val="single" w:color="auto" w:sz="4" w:space="0"/>
              <w:left w:val="single" w:color="auto" w:sz="4" w:space="0"/>
              <w:bottom w:val="single" w:color="auto" w:sz="4" w:space="0"/>
              <w:right w:val="single" w:color="auto" w:sz="8" w:space="0"/>
            </w:tcBorders>
            <w:vAlign w:val="center"/>
          </w:tcPr>
          <w:p>
            <w:pPr>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勘察费投标报价优惠率</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%（如有）；</w:t>
            </w:r>
          </w:p>
          <w:p>
            <w:pPr>
              <w:jc w:val="left"/>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说明：优惠率=</w:t>
            </w:r>
            <w:r>
              <w:rPr>
                <w:rFonts w:hint="eastAsia" w:ascii="宋体"/>
                <w:color w:val="000000" w:themeColor="text1"/>
                <w:sz w:val="21"/>
                <w:szCs w:val="21"/>
                <w:highlight w:val="none"/>
                <w14:textFill>
                  <w14:solidFill>
                    <w14:schemeClr w14:val="tx1"/>
                  </w14:solidFill>
                </w14:textFill>
              </w:rPr>
              <w:t>（1-勘察费投标报价/勘察费</w:t>
            </w:r>
            <w:r>
              <w:rPr>
                <w:rFonts w:hint="eastAsia" w:ascii="宋体" w:hAnsi="宋体"/>
                <w:color w:val="000000" w:themeColor="text1"/>
                <w:sz w:val="21"/>
                <w:szCs w:val="21"/>
                <w:highlight w:val="none"/>
                <w14:textFill>
                  <w14:solidFill>
                    <w14:schemeClr w14:val="tx1"/>
                  </w14:solidFill>
                </w14:textFill>
              </w:rPr>
              <w:t>最高投标报价限价</w:t>
            </w:r>
            <w:r>
              <w:rPr>
                <w:rFonts w:hint="eastAsia" w:ascii="宋体"/>
                <w:color w:val="000000" w:themeColor="text1"/>
                <w:sz w:val="21"/>
                <w:szCs w:val="21"/>
                <w:highlight w:val="none"/>
                <w14:textFill>
                  <w14:solidFill>
                    <w14:schemeClr w14:val="tx1"/>
                  </w14:solidFill>
                </w14:textFill>
              </w:rPr>
              <w:t>）×100％</w:t>
            </w:r>
          </w:p>
        </w:tc>
      </w:tr>
    </w:tbl>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五、投标报价表续页（格式）</w:t>
      </w:r>
      <w:r>
        <w:rPr>
          <w:rStyle w:val="49"/>
          <w:rFonts w:ascii="宋体" w:hAnsi="宋体"/>
          <w:color w:val="000000" w:themeColor="text1"/>
          <w:szCs w:val="21"/>
          <w:highlight w:val="none"/>
          <w14:textFill>
            <w14:solidFill>
              <w14:schemeClr w14:val="tx1"/>
            </w14:solidFill>
          </w14:textFill>
        </w:rPr>
        <w:footnoteReference w:id="85"/>
      </w:r>
    </w:p>
    <w:p>
      <w:pPr>
        <w:pStyle w:val="15"/>
        <w:tabs>
          <w:tab w:val="left" w:pos="1000"/>
        </w:tabs>
        <w:ind w:firstLine="0"/>
        <w:jc w:val="center"/>
        <w:rPr>
          <w:rFonts w:ascii="黑体" w:hAnsi="黑体" w:eastAsia="黑体" w:cs="Times New Roman"/>
          <w:color w:val="000000" w:themeColor="text1"/>
          <w:kern w:val="0"/>
          <w:sz w:val="32"/>
          <w:szCs w:val="32"/>
          <w:highlight w:val="none"/>
          <w14:textFill>
            <w14:solidFill>
              <w14:schemeClr w14:val="tx1"/>
            </w14:solidFill>
          </w14:textFill>
        </w:rPr>
      </w:pPr>
    </w:p>
    <w:p>
      <w:pPr>
        <w:pStyle w:val="15"/>
        <w:tabs>
          <w:tab w:val="left" w:pos="1000"/>
        </w:tabs>
        <w:ind w:firstLine="0"/>
        <w:jc w:val="center"/>
        <w:rPr>
          <w:rFonts w:ascii="黑体" w:hAnsi="黑体" w:eastAsia="黑体" w:cs="Times New Roman"/>
          <w:color w:val="000000" w:themeColor="text1"/>
          <w:kern w:val="0"/>
          <w:sz w:val="32"/>
          <w:szCs w:val="32"/>
          <w:highlight w:val="none"/>
          <w14:textFill>
            <w14:solidFill>
              <w14:schemeClr w14:val="tx1"/>
            </w14:solidFill>
          </w14:textFill>
        </w:rPr>
      </w:pPr>
      <w:r>
        <w:rPr>
          <w:rFonts w:hint="eastAsia" w:ascii="黑体" w:hAnsi="黑体" w:eastAsia="黑体" w:cs="Times New Roman"/>
          <w:color w:val="000000" w:themeColor="text1"/>
          <w:kern w:val="0"/>
          <w:sz w:val="32"/>
          <w:szCs w:val="32"/>
          <w:highlight w:val="none"/>
          <w14:textFill>
            <w14:solidFill>
              <w14:schemeClr w14:val="tx1"/>
            </w14:solidFill>
          </w14:textFill>
        </w:rPr>
        <w:t>工程勘察分项表</w:t>
      </w:r>
    </w:p>
    <w:p>
      <w:pPr>
        <w:pStyle w:val="15"/>
        <w:tabs>
          <w:tab w:val="left" w:pos="1000"/>
        </w:tabs>
        <w:ind w:firstLine="0"/>
        <w:jc w:val="center"/>
        <w:rPr>
          <w:rFonts w:ascii="宋体"/>
          <w:b/>
          <w:snapToGrid w:val="0"/>
          <w:color w:val="000000" w:themeColor="text1"/>
          <w:sz w:val="32"/>
          <w:szCs w:val="32"/>
          <w:highlight w:val="none"/>
          <w14:textFill>
            <w14:solidFill>
              <w14:schemeClr w14:val="tx1"/>
            </w14:solidFill>
          </w14:textFill>
        </w:rPr>
      </w:pPr>
    </w:p>
    <w:p>
      <w:pPr>
        <w:pStyle w:val="15"/>
        <w:tabs>
          <w:tab w:val="left" w:pos="1000"/>
        </w:tabs>
        <w:ind w:firstLine="0"/>
        <w:jc w:val="center"/>
        <w:rPr>
          <w:rFonts w:ascii="宋体"/>
          <w:b/>
          <w:snapToGrid w:val="0"/>
          <w:color w:val="000000" w:themeColor="text1"/>
          <w:sz w:val="32"/>
          <w:szCs w:val="32"/>
          <w:highlight w:val="none"/>
          <w14:textFill>
            <w14:solidFill>
              <w14:schemeClr w14:val="tx1"/>
            </w14:solidFill>
          </w14:textFill>
        </w:rPr>
      </w:pPr>
    </w:p>
    <w:p>
      <w:pPr>
        <w:spacing w:line="360" w:lineRule="auto"/>
        <w:jc w:val="center"/>
        <w:rPr>
          <w:rFonts w:ascii="宋体" w:hAnsi="宋体" w:cstheme="minorBidi"/>
          <w:snapToGrid w:val="0"/>
          <w:color w:val="000000" w:themeColor="text1"/>
          <w:kern w:val="2"/>
          <w:sz w:val="28"/>
          <w:szCs w:val="28"/>
          <w:highlight w:val="none"/>
          <w14:textFill>
            <w14:solidFill>
              <w14:schemeClr w14:val="tx1"/>
            </w14:solidFill>
          </w14:textFill>
        </w:rPr>
      </w:pPr>
      <w:r>
        <w:rPr>
          <w:rFonts w:hint="eastAsia" w:ascii="宋体" w:cs="宋体"/>
          <w:b/>
          <w:color w:val="000000" w:themeColor="text1"/>
          <w:sz w:val="28"/>
          <w:szCs w:val="28"/>
          <w:highlight w:val="none"/>
          <w14:textFill>
            <w14:solidFill>
              <w14:schemeClr w14:val="tx1"/>
            </w14:solidFill>
          </w14:textFill>
        </w:rPr>
        <w:t>（格式由招标人自拟）</w:t>
      </w: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p>
    <w:p>
      <w:pPr>
        <w:spacing w:line="360" w:lineRule="auto"/>
        <w:rPr>
          <w:rFonts w:ascii="宋体" w:hAnsi="宋体" w:cstheme="minorBidi"/>
          <w:snapToGrid w:val="0"/>
          <w:color w:val="000000" w:themeColor="text1"/>
          <w:kern w:val="2"/>
          <w:sz w:val="21"/>
          <w:szCs w:val="21"/>
          <w:highlight w:val="none"/>
          <w14:textFill>
            <w14:solidFill>
              <w14:schemeClr w14:val="tx1"/>
            </w14:solidFill>
          </w14:textFill>
        </w:rPr>
      </w:pPr>
      <w:r>
        <w:rPr>
          <w:rFonts w:hint="eastAsia" w:ascii="宋体" w:hAnsi="宋体" w:cstheme="minorBidi"/>
          <w:snapToGrid w:val="0"/>
          <w:color w:val="000000" w:themeColor="text1"/>
          <w:kern w:val="2"/>
          <w:sz w:val="21"/>
          <w:szCs w:val="21"/>
          <w:highlight w:val="none"/>
          <w14:textFill>
            <w14:solidFill>
              <w14:schemeClr w14:val="tx1"/>
            </w14:solidFill>
          </w14:textFill>
        </w:rPr>
        <w:t>六、其他</w:t>
      </w:r>
      <w:r>
        <w:rPr>
          <w:rStyle w:val="49"/>
          <w:rFonts w:hint="eastAsia" w:ascii="宋体" w:hAnsi="宋体" w:cstheme="minorBidi"/>
          <w:snapToGrid w:val="0"/>
          <w:color w:val="000000" w:themeColor="text1"/>
          <w:kern w:val="2"/>
          <w:sz w:val="21"/>
          <w:szCs w:val="21"/>
          <w:highlight w:val="none"/>
          <w14:textFill>
            <w14:solidFill>
              <w14:schemeClr w14:val="tx1"/>
            </w14:solidFill>
          </w14:textFill>
        </w:rPr>
        <w:footnoteReference w:id="86"/>
      </w:r>
    </w:p>
    <w:p>
      <w:pPr>
        <w:spacing w:line="360" w:lineRule="auto"/>
        <w:rPr>
          <w:rFonts w:ascii="黑体" w:hAnsi="黑体" w:eastAsia="黑体" w:cstheme="minorBidi"/>
          <w:snapToGrid w:val="0"/>
          <w:color w:val="000000" w:themeColor="text1"/>
          <w:kern w:val="2"/>
          <w:sz w:val="32"/>
          <w:szCs w:val="32"/>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rPr>
          <w:rFonts w:ascii="宋体" w:hAnsi="宋体" w:cstheme="minorBidi"/>
          <w:color w:val="000000" w:themeColor="text1"/>
          <w:kern w:val="2"/>
          <w:sz w:val="21"/>
          <w:szCs w:val="21"/>
          <w:highlight w:val="none"/>
          <w14:textFill>
            <w14:solidFill>
              <w14:schemeClr w14:val="tx1"/>
            </w14:solidFill>
          </w14:textFill>
        </w:rPr>
      </w:pPr>
      <w:r>
        <w:rPr>
          <w:rFonts w:hint="eastAsia" w:ascii="宋体" w:hAnsi="宋体" w:cstheme="minorBidi"/>
          <w:color w:val="000000" w:themeColor="text1"/>
          <w:kern w:val="2"/>
          <w:sz w:val="21"/>
          <w:szCs w:val="21"/>
          <w:highlight w:val="none"/>
          <w14:textFill>
            <w14:solidFill>
              <w14:schemeClr w14:val="tx1"/>
            </w14:solidFill>
          </w14:textFill>
        </w:rPr>
        <w:t>七、定标要素情况表</w:t>
      </w:r>
    </w:p>
    <w:p>
      <w:pPr>
        <w:spacing w:beforeLines="100" w:afterLines="100" w:line="360" w:lineRule="auto"/>
        <w:ind w:firstLine="42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定标要素情况表</w:t>
      </w:r>
    </w:p>
    <w:p>
      <w:pPr>
        <w:widowControl/>
        <w:jc w:val="left"/>
        <w:rPr>
          <w:rFonts w:ascii="宋体" w:hAnsi="宋体"/>
          <w:color w:val="000000" w:themeColor="text1"/>
          <w:kern w:val="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w:t>
      </w:r>
      <w:r>
        <w:rPr>
          <w:rFonts w:ascii="宋体" w:hAnsi="宋体"/>
          <w:color w:val="000000" w:themeColor="text1"/>
          <w:kern w:val="1"/>
          <w:sz w:val="24"/>
          <w:szCs w:val="24"/>
          <w:highlight w:val="none"/>
          <w14:textFill>
            <w14:solidFill>
              <w14:schemeClr w14:val="tx1"/>
            </w14:solidFill>
          </w14:textFill>
        </w:rPr>
        <w:t>信用要素情况表</w:t>
      </w:r>
      <w:r>
        <w:rPr>
          <w:rStyle w:val="49"/>
          <w:rFonts w:ascii="宋体" w:hAnsi="宋体"/>
          <w:color w:val="000000" w:themeColor="text1"/>
          <w:kern w:val="1"/>
          <w:sz w:val="24"/>
          <w:szCs w:val="24"/>
          <w:highlight w:val="none"/>
          <w14:textFill>
            <w14:solidFill>
              <w14:schemeClr w14:val="tx1"/>
            </w14:solidFill>
          </w14:textFill>
        </w:rPr>
        <w:footnoteReference w:id="87"/>
      </w:r>
    </w:p>
    <w:tbl>
      <w:tblPr>
        <w:tblStyle w:val="41"/>
        <w:tblpPr w:leftFromText="180" w:rightFromText="180" w:vertAnchor="text" w:horzAnchor="margin" w:tblpX="108" w:tblpY="14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2093" w:type="dxa"/>
            <w:vAlign w:val="center"/>
          </w:tcPr>
          <w:p>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招标人要求的信用子要素</w:t>
            </w:r>
            <w:r>
              <w:rPr>
                <w:rStyle w:val="49"/>
                <w:rFonts w:ascii="宋体" w:hAnsi="宋体"/>
                <w:b/>
                <w:color w:val="000000" w:themeColor="text1"/>
                <w:kern w:val="1"/>
                <w:sz w:val="21"/>
                <w:szCs w:val="21"/>
                <w:highlight w:val="none"/>
                <w14:textFill>
                  <w14:solidFill>
                    <w14:schemeClr w14:val="tx1"/>
                  </w14:solidFill>
                </w14:textFill>
              </w:rPr>
              <w:footnoteReference w:id="88"/>
            </w:r>
          </w:p>
        </w:tc>
        <w:tc>
          <w:tcPr>
            <w:tcW w:w="4536" w:type="dxa"/>
            <w:vAlign w:val="center"/>
          </w:tcPr>
          <w:p>
            <w:pPr>
              <w:spacing w:line="400" w:lineRule="exact"/>
              <w:jc w:val="center"/>
              <w:rPr>
                <w:rFonts w:ascii="宋体" w:hAnsi="宋体"/>
                <w:b/>
                <w:color w:val="000000" w:themeColor="text1"/>
                <w:kern w:val="1"/>
                <w:sz w:val="21"/>
                <w:szCs w:val="21"/>
                <w:highlight w:val="none"/>
                <w14:textFill>
                  <w14:solidFill>
                    <w14:schemeClr w14:val="tx1"/>
                  </w14:solidFill>
                </w14:textFill>
              </w:rPr>
            </w:pPr>
            <w:bookmarkStart w:id="3430" w:name="_Hlk62373668"/>
            <w:r>
              <w:rPr>
                <w:rFonts w:hint="eastAsia" w:ascii="宋体" w:hAnsi="宋体"/>
                <w:b/>
                <w:color w:val="000000" w:themeColor="text1"/>
                <w:kern w:val="1"/>
                <w:sz w:val="21"/>
                <w:szCs w:val="21"/>
                <w:highlight w:val="none"/>
                <w14:textFill>
                  <w14:solidFill>
                    <w14:schemeClr w14:val="tx1"/>
                  </w14:solidFill>
                </w14:textFill>
              </w:rPr>
              <w:t>投标人提供的证明材料明细</w:t>
            </w:r>
            <w:bookmarkEnd w:id="3430"/>
          </w:p>
        </w:tc>
        <w:tc>
          <w:tcPr>
            <w:tcW w:w="2835" w:type="dxa"/>
            <w:vAlign w:val="center"/>
          </w:tcPr>
          <w:p>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证明材料是否列于本表续页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093" w:type="dxa"/>
            <w:vAlign w:val="center"/>
          </w:tcPr>
          <w:p>
            <w:pPr>
              <w:spacing w:line="300" w:lineRule="auto"/>
              <w:ind w:firstLine="420" w:firstLineChars="200"/>
              <w:jc w:val="left"/>
              <w:rPr>
                <w:rFonts w:ascii="宋体" w:hAnsi="宋体"/>
                <w:b/>
                <w:bCs/>
                <w:color w:val="000000" w:themeColor="text1"/>
                <w:kern w:val="44"/>
                <w:sz w:val="21"/>
                <w:szCs w:val="21"/>
                <w:highlight w:val="none"/>
                <w14:textFill>
                  <w14:solidFill>
                    <w14:schemeClr w14:val="tx1"/>
                  </w14:solidFill>
                </w14:textFill>
              </w:rPr>
            </w:pPr>
          </w:p>
        </w:tc>
        <w:tc>
          <w:tcPr>
            <w:tcW w:w="4536" w:type="dxa"/>
            <w:vAlign w:val="center"/>
          </w:tcPr>
          <w:p>
            <w:pPr>
              <w:spacing w:line="40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40"/>
              <w:ind w:firstLine="0" w:firstLineChars="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40"/>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40"/>
              <w:ind w:firstLine="0" w:firstLineChars="0"/>
              <w:rPr>
                <w:rFonts w:ascii="宋体" w:hAnsi="宋体"/>
                <w:b/>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2835" w:type="dxa"/>
            <w:vAlign w:val="center"/>
          </w:tcPr>
          <w:p>
            <w:pPr>
              <w:widowControl/>
              <w:adjustRightInd/>
              <w:spacing w:line="240" w:lineRule="auto"/>
              <w:jc w:val="left"/>
              <w:textAlignment w:val="auto"/>
              <w:rPr>
                <w:rFonts w:ascii="宋体" w:hAnsi="宋体"/>
                <w:b/>
                <w:color w:val="000000" w:themeColor="text1"/>
                <w:sz w:val="21"/>
                <w:szCs w:val="21"/>
                <w:highlight w:val="none"/>
                <w:u w:val="single"/>
                <w14:textFill>
                  <w14:solidFill>
                    <w14:schemeClr w14:val="tx1"/>
                  </w14:solidFill>
                </w14:textFill>
              </w:rPr>
            </w:pPr>
          </w:p>
          <w:p>
            <w:pPr>
              <w:widowControl/>
              <w:adjustRightInd/>
              <w:spacing w:line="240" w:lineRule="auto"/>
              <w:jc w:val="left"/>
              <w:textAlignment w:val="auto"/>
              <w:rPr>
                <w:rFonts w:ascii="宋体" w:hAnsi="宋体"/>
                <w:b/>
                <w:color w:val="000000" w:themeColor="text1"/>
                <w:sz w:val="21"/>
                <w:szCs w:val="21"/>
                <w:highlight w:val="none"/>
                <w:u w:val="single"/>
                <w14:textFill>
                  <w14:solidFill>
                    <w14:schemeClr w14:val="tx1"/>
                  </w14:solidFill>
                </w14:textFill>
              </w:rPr>
            </w:pPr>
          </w:p>
          <w:p>
            <w:pPr>
              <w:widowControl/>
              <w:adjustRightInd/>
              <w:spacing w:line="240" w:lineRule="auto"/>
              <w:jc w:val="left"/>
              <w:textAlignment w:val="auto"/>
              <w:rPr>
                <w:rFonts w:ascii="宋体" w:hAnsi="宋体"/>
                <w:b/>
                <w:color w:val="000000" w:themeColor="text1"/>
                <w:sz w:val="21"/>
                <w:szCs w:val="21"/>
                <w:highlight w:val="none"/>
                <w:u w:val="single"/>
                <w14:textFill>
                  <w14:solidFill>
                    <w14:schemeClr w14:val="tx1"/>
                  </w14:solidFill>
                </w14:textFill>
              </w:rPr>
            </w:pPr>
          </w:p>
          <w:p>
            <w:pPr>
              <w:pStyle w:val="40"/>
              <w:ind w:firstLine="0" w:firstLineChars="0"/>
              <w:rPr>
                <w:rFonts w:ascii="宋体" w:hAnsi="宋体"/>
                <w:b/>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464" w:type="dxa"/>
            <w:gridSpan w:val="3"/>
            <w:vAlign w:val="center"/>
          </w:tcPr>
          <w:p>
            <w:pPr>
              <w:spacing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说明：</w:t>
            </w:r>
          </w:p>
          <w:p>
            <w:pPr>
              <w:spacing w:afterLines="50"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1.投标人</w:t>
            </w:r>
            <w:r>
              <w:rPr>
                <w:rFonts w:hint="eastAsia" w:ascii="宋体" w:hAnsi="宋体"/>
                <w:color w:val="000000" w:themeColor="text1"/>
                <w:sz w:val="21"/>
                <w:szCs w:val="21"/>
                <w:highlight w:val="none"/>
                <w14:textFill>
                  <w14:solidFill>
                    <w14:schemeClr w14:val="tx1"/>
                  </w14:solidFill>
                </w14:textFill>
              </w:rPr>
              <w:t>应根据招标文件第四章定标</w:t>
            </w:r>
            <w:r>
              <w:rPr>
                <w:rFonts w:hint="eastAsia" w:ascii="宋体" w:hAnsi="宋体"/>
                <w:color w:val="000000" w:themeColor="text1"/>
                <w:sz w:val="21"/>
                <w:szCs w:val="21"/>
                <w:highlight w:val="none"/>
                <w:lang w:val="en-US" w:eastAsia="zh-CN"/>
                <w14:textFill>
                  <w14:solidFill>
                    <w14:schemeClr w14:val="tx1"/>
                  </w14:solidFill>
                </w14:textFill>
              </w:rPr>
              <w:t>方案</w:t>
            </w:r>
            <w:r>
              <w:rPr>
                <w:rFonts w:hint="eastAsia" w:ascii="宋体" w:hAnsi="宋体"/>
                <w:color w:val="000000" w:themeColor="text1"/>
                <w:sz w:val="21"/>
                <w:szCs w:val="21"/>
                <w:highlight w:val="none"/>
                <w14:textFill>
                  <w14:solidFill>
                    <w14:schemeClr w14:val="tx1"/>
                  </w14:solidFill>
                </w14:textFill>
              </w:rPr>
              <w:t>的前附表中</w:t>
            </w:r>
            <w:r>
              <w:rPr>
                <w:rFonts w:hint="eastAsia" w:ascii="宋体" w:hAnsi="宋体"/>
                <w:color w:val="000000" w:themeColor="text1"/>
                <w:sz w:val="21"/>
                <w:szCs w:val="21"/>
                <w:highlight w:val="none"/>
                <w:lang w:val="en-US" w:eastAsia="zh-CN"/>
                <w14:textFill>
                  <w14:solidFill>
                    <w14:schemeClr w14:val="tx1"/>
                  </w14:solidFill>
                </w14:textFill>
              </w:rPr>
              <w:t>有关证明材料要求</w:t>
            </w:r>
            <w:r>
              <w:rPr>
                <w:rFonts w:hint="eastAsia" w:ascii="宋体" w:hAnsi="宋体"/>
                <w:color w:val="000000" w:themeColor="text1"/>
                <w:sz w:val="21"/>
                <w:szCs w:val="21"/>
                <w:highlight w:val="none"/>
                <w14:textFill>
                  <w14:solidFill>
                    <w14:schemeClr w14:val="tx1"/>
                  </w14:solidFill>
                </w14:textFill>
              </w:rPr>
              <w:t>提供与信用子要素有关的证明材料，作为附件列于本表</w:t>
            </w:r>
            <w:r>
              <w:rPr>
                <w:rFonts w:hint="eastAsia" w:ascii="宋体" w:hAnsi="宋体" w:cs="宋体"/>
                <w:color w:val="000000" w:themeColor="text1"/>
                <w:kern w:val="1"/>
                <w:sz w:val="21"/>
                <w:szCs w:val="21"/>
                <w:highlight w:val="none"/>
                <w14:textFill>
                  <w14:solidFill>
                    <w14:schemeClr w14:val="tx1"/>
                  </w14:solidFill>
                </w14:textFill>
              </w:rPr>
              <w:t>续页并按上述明细顺序列编，附件是本表的组成部分。</w:t>
            </w:r>
          </w:p>
          <w:p>
            <w:pPr>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2.若</w:t>
            </w:r>
            <w:r>
              <w:rPr>
                <w:rFonts w:hint="eastAsia" w:ascii="宋体" w:hAnsi="宋体"/>
                <w:color w:val="000000" w:themeColor="text1"/>
                <w:sz w:val="21"/>
                <w:szCs w:val="21"/>
                <w:highlight w:val="none"/>
                <w14:textFill>
                  <w14:solidFill>
                    <w14:schemeClr w14:val="tx1"/>
                  </w14:solidFill>
                </w14:textFill>
              </w:rPr>
              <w:t>信用子要素有关的证明材料已在投标文件（含资格审查文件）其他节点提交的，可以不再重复提交，但应填写本表并在“证明材料是否列于本表续页”栏说明证明材料提交的具体节点以便查询。</w:t>
            </w:r>
          </w:p>
        </w:tc>
      </w:tr>
    </w:tbl>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widowControl/>
        <w:jc w:val="left"/>
        <w:rPr>
          <w:rFonts w:ascii="宋体" w:hAnsi="宋体"/>
          <w:color w:val="000000" w:themeColor="text1"/>
          <w:kern w:val="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kern w:val="1"/>
          <w:sz w:val="24"/>
          <w:szCs w:val="24"/>
          <w:highlight w:val="none"/>
          <w14:textFill>
            <w14:solidFill>
              <w14:schemeClr w14:val="tx1"/>
            </w14:solidFill>
          </w14:textFill>
        </w:rPr>
        <w:t>实力</w:t>
      </w:r>
      <w:r>
        <w:rPr>
          <w:rFonts w:ascii="宋体" w:hAnsi="宋体"/>
          <w:color w:val="000000" w:themeColor="text1"/>
          <w:kern w:val="1"/>
          <w:sz w:val="24"/>
          <w:szCs w:val="24"/>
          <w:highlight w:val="none"/>
          <w14:textFill>
            <w14:solidFill>
              <w14:schemeClr w14:val="tx1"/>
            </w14:solidFill>
          </w14:textFill>
        </w:rPr>
        <w:t>要素情况表</w:t>
      </w:r>
      <w:r>
        <w:rPr>
          <w:rStyle w:val="49"/>
          <w:rFonts w:ascii="宋体" w:hAnsi="宋体"/>
          <w:color w:val="000000" w:themeColor="text1"/>
          <w:kern w:val="1"/>
          <w:sz w:val="24"/>
          <w:szCs w:val="24"/>
          <w:highlight w:val="none"/>
          <w14:textFill>
            <w14:solidFill>
              <w14:schemeClr w14:val="tx1"/>
            </w14:solidFill>
          </w14:textFill>
        </w:rPr>
        <w:footnoteReference w:id="89"/>
      </w:r>
    </w:p>
    <w:tbl>
      <w:tblPr>
        <w:tblStyle w:val="41"/>
        <w:tblpPr w:leftFromText="180" w:rightFromText="180" w:vertAnchor="text" w:horzAnchor="margin" w:tblpX="108" w:tblpY="14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5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093" w:type="dxa"/>
            <w:vAlign w:val="center"/>
          </w:tcPr>
          <w:p>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招标人要求的实力子要素</w:t>
            </w:r>
            <w:r>
              <w:rPr>
                <w:rStyle w:val="49"/>
                <w:rFonts w:ascii="宋体" w:hAnsi="宋体"/>
                <w:b/>
                <w:color w:val="000000" w:themeColor="text1"/>
                <w:kern w:val="1"/>
                <w:sz w:val="21"/>
                <w:szCs w:val="21"/>
                <w:highlight w:val="none"/>
                <w14:textFill>
                  <w14:solidFill>
                    <w14:schemeClr w14:val="tx1"/>
                  </w14:solidFill>
                </w14:textFill>
              </w:rPr>
              <w:footnoteReference w:id="90"/>
            </w:r>
          </w:p>
        </w:tc>
        <w:tc>
          <w:tcPr>
            <w:tcW w:w="4252" w:type="dxa"/>
            <w:vAlign w:val="center"/>
          </w:tcPr>
          <w:p>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投标人提供的证明材料明细</w:t>
            </w:r>
          </w:p>
        </w:tc>
        <w:tc>
          <w:tcPr>
            <w:tcW w:w="2977" w:type="dxa"/>
            <w:vAlign w:val="center"/>
          </w:tcPr>
          <w:p>
            <w:pPr>
              <w:spacing w:line="400" w:lineRule="exact"/>
              <w:jc w:val="center"/>
              <w:rPr>
                <w:rFonts w:ascii="宋体" w:hAnsi="宋体"/>
                <w:b/>
                <w:color w:val="000000" w:themeColor="text1"/>
                <w:kern w:val="1"/>
                <w:sz w:val="21"/>
                <w:szCs w:val="21"/>
                <w:highlight w:val="none"/>
                <w14:textFill>
                  <w14:solidFill>
                    <w14:schemeClr w14:val="tx1"/>
                  </w14:solidFill>
                </w14:textFill>
              </w:rPr>
            </w:pPr>
            <w:r>
              <w:rPr>
                <w:rFonts w:hint="eastAsia" w:ascii="宋体" w:hAnsi="宋体"/>
                <w:b/>
                <w:color w:val="000000" w:themeColor="text1"/>
                <w:kern w:val="1"/>
                <w:sz w:val="21"/>
                <w:szCs w:val="21"/>
                <w:highlight w:val="none"/>
                <w14:textFill>
                  <w14:solidFill>
                    <w14:schemeClr w14:val="tx1"/>
                  </w14:solidFill>
                </w14:textFill>
              </w:rPr>
              <w:t>证明材料是否列于本表续页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093" w:type="dxa"/>
            <w:vAlign w:val="center"/>
          </w:tcPr>
          <w:p>
            <w:pPr>
              <w:spacing w:line="300" w:lineRule="auto"/>
              <w:ind w:firstLine="420" w:firstLineChars="200"/>
              <w:jc w:val="left"/>
              <w:rPr>
                <w:rFonts w:ascii="宋体" w:hAnsi="宋体"/>
                <w:b/>
                <w:bCs/>
                <w:color w:val="000000" w:themeColor="text1"/>
                <w:kern w:val="44"/>
                <w:sz w:val="21"/>
                <w:szCs w:val="21"/>
                <w:highlight w:val="none"/>
                <w14:textFill>
                  <w14:solidFill>
                    <w14:schemeClr w14:val="tx1"/>
                  </w14:solidFill>
                </w14:textFill>
              </w:rPr>
            </w:pPr>
          </w:p>
        </w:tc>
        <w:tc>
          <w:tcPr>
            <w:tcW w:w="4252" w:type="dxa"/>
            <w:vAlign w:val="center"/>
          </w:tcPr>
          <w:p>
            <w:pPr>
              <w:spacing w:line="40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40"/>
              <w:ind w:firstLine="0" w:firstLineChars="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40"/>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40"/>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2977" w:type="dxa"/>
            <w:vAlign w:val="center"/>
          </w:tcPr>
          <w:p>
            <w:pPr>
              <w:widowControl/>
              <w:adjustRightInd/>
              <w:spacing w:line="240" w:lineRule="auto"/>
              <w:jc w:val="left"/>
              <w:textAlignment w:val="auto"/>
              <w:rPr>
                <w:rFonts w:ascii="宋体" w:hAnsi="宋体"/>
                <w:color w:val="000000" w:themeColor="text1"/>
                <w:sz w:val="21"/>
                <w:szCs w:val="21"/>
                <w:highlight w:val="none"/>
                <w14:textFill>
                  <w14:solidFill>
                    <w14:schemeClr w14:val="tx1"/>
                  </w14:solidFill>
                </w14:textFill>
              </w:rPr>
            </w:pPr>
          </w:p>
          <w:p>
            <w:pPr>
              <w:widowControl/>
              <w:adjustRightInd/>
              <w:spacing w:line="240" w:lineRule="auto"/>
              <w:jc w:val="left"/>
              <w:textAlignment w:val="auto"/>
              <w:rPr>
                <w:rFonts w:ascii="宋体" w:hAnsi="宋体"/>
                <w:color w:val="000000" w:themeColor="text1"/>
                <w:sz w:val="21"/>
                <w:szCs w:val="21"/>
                <w:highlight w:val="none"/>
                <w14:textFill>
                  <w14:solidFill>
                    <w14:schemeClr w14:val="tx1"/>
                  </w14:solidFill>
                </w14:textFill>
              </w:rPr>
            </w:pPr>
          </w:p>
          <w:p>
            <w:pPr>
              <w:widowControl/>
              <w:adjustRightInd/>
              <w:spacing w:line="240" w:lineRule="auto"/>
              <w:jc w:val="left"/>
              <w:textAlignment w:val="auto"/>
              <w:rPr>
                <w:rFonts w:ascii="宋体" w:hAnsi="宋体"/>
                <w:color w:val="000000" w:themeColor="text1"/>
                <w:sz w:val="21"/>
                <w:szCs w:val="21"/>
                <w:highlight w:val="none"/>
                <w14:textFill>
                  <w14:solidFill>
                    <w14:schemeClr w14:val="tx1"/>
                  </w14:solidFill>
                </w14:textFill>
              </w:rPr>
            </w:pPr>
          </w:p>
          <w:p>
            <w:pPr>
              <w:pStyle w:val="40"/>
              <w:ind w:firstLine="0" w:firstLineChars="0"/>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322" w:type="dxa"/>
            <w:gridSpan w:val="3"/>
            <w:vAlign w:val="center"/>
          </w:tcPr>
          <w:p>
            <w:pPr>
              <w:spacing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说明：</w:t>
            </w:r>
          </w:p>
          <w:p>
            <w:pPr>
              <w:spacing w:afterLines="50" w:line="400" w:lineRule="exact"/>
              <w:rPr>
                <w:rFonts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1.投标人</w:t>
            </w:r>
            <w:r>
              <w:rPr>
                <w:rFonts w:hint="eastAsia" w:ascii="宋体" w:hAnsi="宋体"/>
                <w:color w:val="000000" w:themeColor="text1"/>
                <w:sz w:val="21"/>
                <w:szCs w:val="21"/>
                <w:highlight w:val="none"/>
                <w14:textFill>
                  <w14:solidFill>
                    <w14:schemeClr w14:val="tx1"/>
                  </w14:solidFill>
                </w14:textFill>
              </w:rPr>
              <w:t>应根据招标文件第四章定标</w:t>
            </w:r>
            <w:r>
              <w:rPr>
                <w:rFonts w:hint="eastAsia" w:ascii="宋体" w:hAnsi="宋体"/>
                <w:color w:val="000000" w:themeColor="text1"/>
                <w:sz w:val="21"/>
                <w:szCs w:val="21"/>
                <w:highlight w:val="none"/>
                <w:lang w:val="en-US" w:eastAsia="zh-CN"/>
                <w14:textFill>
                  <w14:solidFill>
                    <w14:schemeClr w14:val="tx1"/>
                  </w14:solidFill>
                </w14:textFill>
              </w:rPr>
              <w:t>方案</w:t>
            </w:r>
            <w:r>
              <w:rPr>
                <w:rFonts w:hint="eastAsia" w:ascii="宋体" w:hAnsi="宋体"/>
                <w:color w:val="000000" w:themeColor="text1"/>
                <w:sz w:val="21"/>
                <w:szCs w:val="21"/>
                <w:highlight w:val="none"/>
                <w14:textFill>
                  <w14:solidFill>
                    <w14:schemeClr w14:val="tx1"/>
                  </w14:solidFill>
                </w14:textFill>
              </w:rPr>
              <w:t>的前附表中</w:t>
            </w:r>
            <w:r>
              <w:rPr>
                <w:rFonts w:hint="eastAsia" w:ascii="宋体" w:hAnsi="宋体"/>
                <w:color w:val="000000" w:themeColor="text1"/>
                <w:sz w:val="21"/>
                <w:szCs w:val="21"/>
                <w:highlight w:val="none"/>
                <w:lang w:val="en-US" w:eastAsia="zh-CN"/>
                <w14:textFill>
                  <w14:solidFill>
                    <w14:schemeClr w14:val="tx1"/>
                  </w14:solidFill>
                </w14:textFill>
              </w:rPr>
              <w:t>有关证明材料要求</w:t>
            </w:r>
            <w:r>
              <w:rPr>
                <w:rFonts w:hint="eastAsia" w:ascii="宋体" w:hAnsi="宋体"/>
                <w:color w:val="000000" w:themeColor="text1"/>
                <w:sz w:val="21"/>
                <w:szCs w:val="21"/>
                <w:highlight w:val="none"/>
                <w14:textFill>
                  <w14:solidFill>
                    <w14:schemeClr w14:val="tx1"/>
                  </w14:solidFill>
                </w14:textFill>
              </w:rPr>
              <w:t>提供与实力子要素有关的证明材料，作为附件列于本表</w:t>
            </w:r>
            <w:r>
              <w:rPr>
                <w:rFonts w:hint="eastAsia" w:ascii="宋体" w:hAnsi="宋体" w:cs="宋体"/>
                <w:color w:val="000000" w:themeColor="text1"/>
                <w:kern w:val="1"/>
                <w:sz w:val="21"/>
                <w:szCs w:val="21"/>
                <w:highlight w:val="none"/>
                <w14:textFill>
                  <w14:solidFill>
                    <w14:schemeClr w14:val="tx1"/>
                  </w14:solidFill>
                </w14:textFill>
              </w:rPr>
              <w:t>续页并按上述明细顺序列编，附件是本表的组成部分。</w:t>
            </w:r>
          </w:p>
          <w:p>
            <w:pPr>
              <w:spacing w:line="400" w:lineRule="exact"/>
              <w:rPr>
                <w:rFonts w:ascii="宋体" w:hAnsi="宋体"/>
                <w:b/>
                <w:color w:val="000000" w:themeColor="text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2.若</w:t>
            </w:r>
            <w:r>
              <w:rPr>
                <w:rFonts w:hint="eastAsia" w:ascii="宋体" w:hAnsi="宋体"/>
                <w:color w:val="000000" w:themeColor="text1"/>
                <w:sz w:val="21"/>
                <w:szCs w:val="21"/>
                <w:highlight w:val="none"/>
                <w14:textFill>
                  <w14:solidFill>
                    <w14:schemeClr w14:val="tx1"/>
                  </w14:solidFill>
                </w14:textFill>
              </w:rPr>
              <w:t>实力子要素有关的证明材料已在投标文件（含资格审查文件）其他节点提交的，可以不再重复提交，但应填写本表并在“证明材料是否列于本表续页”栏说明证明材料提交的具体节点以便查询。</w:t>
            </w:r>
          </w:p>
        </w:tc>
      </w:tr>
    </w:tbl>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left"/>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spacing w:line="360" w:lineRule="auto"/>
        <w:jc w:val="center"/>
        <w:rPr>
          <w:rFonts w:ascii="宋体" w:hAnsi="宋体" w:cstheme="minorBidi"/>
          <w:b/>
          <w:snapToGrid w:val="0"/>
          <w:color w:val="000000" w:themeColor="text1"/>
          <w:kern w:val="2"/>
          <w:sz w:val="28"/>
          <w:szCs w:val="28"/>
          <w:highlight w:val="none"/>
          <w14:textFill>
            <w14:solidFill>
              <w14:schemeClr w14:val="tx1"/>
            </w14:solidFill>
          </w14:textFill>
        </w:rPr>
      </w:pPr>
    </w:p>
    <w:p>
      <w:pPr>
        <w:pStyle w:val="6"/>
        <w:spacing w:before="3000" w:after="0"/>
        <w:jc w:val="center"/>
        <w:rPr>
          <w:rFonts w:hint="eastAsia" w:ascii="黑体" w:hAnsi="黑体" w:eastAsia="黑体"/>
          <w:b w:val="0"/>
          <w:color w:val="000000" w:themeColor="text1"/>
          <w:highlight w:val="none"/>
          <w14:textFill>
            <w14:solidFill>
              <w14:schemeClr w14:val="tx1"/>
            </w14:solidFill>
          </w14:textFill>
        </w:rPr>
      </w:pPr>
      <w:bookmarkStart w:id="3431" w:name="_Toc18993"/>
      <w:bookmarkStart w:id="3432" w:name="_Toc300039000"/>
      <w:bookmarkStart w:id="3433" w:name="_Toc25777"/>
      <w:bookmarkStart w:id="3434" w:name="_Toc516753564"/>
      <w:bookmarkStart w:id="3435" w:name="_Toc52137920"/>
      <w:bookmarkStart w:id="3436" w:name="_Toc31221"/>
      <w:bookmarkStart w:id="3437" w:name="_Toc1005"/>
      <w:bookmarkStart w:id="3438" w:name="_Toc106719502"/>
      <w:bookmarkStart w:id="3439" w:name="_Toc21828"/>
      <w:bookmarkStart w:id="3440" w:name="_Toc18966"/>
      <w:bookmarkStart w:id="3441" w:name="_Toc28452"/>
      <w:bookmarkStart w:id="3442" w:name="_Toc18688"/>
      <w:bookmarkStart w:id="3443" w:name="_Toc11515"/>
      <w:bookmarkStart w:id="3444" w:name="_Toc20398"/>
      <w:bookmarkStart w:id="3445" w:name="_Toc14011"/>
      <w:bookmarkStart w:id="3446" w:name="_Toc17630"/>
      <w:bookmarkStart w:id="3447" w:name="_Toc4250"/>
    </w:p>
    <w:p>
      <w:pPr>
        <w:pStyle w:val="6"/>
        <w:spacing w:before="3000" w:after="0"/>
        <w:jc w:val="center"/>
        <w:rPr>
          <w:rFonts w:ascii="黑体" w:hAnsi="黑体" w:eastAsia="黑体"/>
          <w:b w:val="0"/>
          <w:color w:val="000000" w:themeColor="text1"/>
          <w:highlight w:val="none"/>
          <w14:textFill>
            <w14:solidFill>
              <w14:schemeClr w14:val="tx1"/>
            </w14:solidFill>
          </w14:textFill>
        </w:rPr>
      </w:pPr>
      <w:bookmarkStart w:id="3448" w:name="_Toc28434"/>
      <w:r>
        <w:rPr>
          <w:rFonts w:hint="eastAsia" w:ascii="黑体" w:hAnsi="黑体" w:eastAsia="黑体"/>
          <w:b w:val="0"/>
          <w:color w:val="000000" w:themeColor="text1"/>
          <w:highlight w:val="none"/>
          <w14:textFill>
            <w14:solidFill>
              <w14:schemeClr w14:val="tx1"/>
            </w14:solidFill>
          </w14:textFill>
        </w:rPr>
        <w:t>三、技术文件</w:t>
      </w:r>
      <w:bookmarkEnd w:id="3431"/>
      <w:bookmarkEnd w:id="3432"/>
      <w:bookmarkEnd w:id="3433"/>
      <w:bookmarkEnd w:id="3434"/>
      <w:bookmarkEnd w:id="3435"/>
      <w:r>
        <w:rPr>
          <w:rStyle w:val="49"/>
          <w:rFonts w:ascii="黑体" w:hAnsi="黑体" w:eastAsia="黑体"/>
          <w:b w:val="0"/>
          <w:color w:val="000000" w:themeColor="text1"/>
          <w:highlight w:val="none"/>
          <w14:textFill>
            <w14:solidFill>
              <w14:schemeClr w14:val="tx1"/>
            </w14:solidFill>
          </w14:textFill>
        </w:rPr>
        <w:footnoteReference w:id="91"/>
      </w:r>
      <w:bookmarkEnd w:id="3436"/>
      <w:bookmarkEnd w:id="3437"/>
      <w:bookmarkEnd w:id="3438"/>
      <w:bookmarkEnd w:id="3439"/>
      <w:bookmarkEnd w:id="3440"/>
      <w:bookmarkEnd w:id="3441"/>
      <w:bookmarkEnd w:id="3442"/>
      <w:bookmarkEnd w:id="3443"/>
      <w:bookmarkEnd w:id="3444"/>
      <w:bookmarkEnd w:id="3445"/>
      <w:bookmarkEnd w:id="3446"/>
      <w:bookmarkEnd w:id="3447"/>
      <w:bookmarkEnd w:id="3448"/>
    </w:p>
    <w:p>
      <w:pPr>
        <w:pStyle w:val="5"/>
        <w:spacing w:before="0" w:after="0" w:line="360" w:lineRule="auto"/>
        <w:rPr>
          <w:rFonts w:ascii="宋体" w:hAnsi="宋体" w:eastAsia="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ind w:firstLine="480" w:firstLineChars="200"/>
        <w:rPr>
          <w:rFonts w:ascii="宋体" w:hAnsi="宋体"/>
          <w:color w:val="000000" w:themeColor="text1"/>
          <w:sz w:val="24"/>
          <w:szCs w:val="24"/>
          <w:highlight w:val="none"/>
          <w14:textFill>
            <w14:solidFill>
              <w14:schemeClr w14:val="tx1"/>
            </w14:solidFill>
          </w14:textFill>
        </w:rPr>
      </w:pPr>
    </w:p>
    <w:p>
      <w:pPr>
        <w:snapToGrid w:val="0"/>
        <w:spacing w:line="300" w:lineRule="auto"/>
        <w:rPr>
          <w:rFonts w:ascii="宋体"/>
          <w:color w:val="000000" w:themeColor="text1"/>
          <w:sz w:val="24"/>
          <w:szCs w:val="24"/>
          <w:highlight w:val="none"/>
          <w14:textFill>
            <w14:solidFill>
              <w14:schemeClr w14:val="tx1"/>
            </w14:solidFill>
          </w14:textFill>
        </w:rPr>
      </w:pPr>
    </w:p>
    <w:p>
      <w:pPr>
        <w:snapToGrid w:val="0"/>
        <w:spacing w:line="30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（此为样本，实际使用A4纸幅面）</w:t>
      </w:r>
    </w:p>
    <w:p>
      <w:pPr>
        <w:snapToGrid w:val="0"/>
        <w:spacing w:line="360" w:lineRule="auto"/>
        <w:ind w:firstLine="1120" w:firstLineChars="350"/>
        <w:rPr>
          <w:rFonts w:ascii="黑体" w:hAnsi="黑体" w:eastAsia="黑体"/>
          <w:color w:val="000000" w:themeColor="text1"/>
          <w:sz w:val="32"/>
          <w:szCs w:val="32"/>
          <w:highlight w:val="none"/>
          <w14:textFill>
            <w14:solidFill>
              <w14:schemeClr w14:val="tx1"/>
            </w14:solidFill>
          </w14:textFill>
        </w:rPr>
      </w:pPr>
    </w:p>
    <w:p>
      <w:pPr>
        <w:snapToGrid w:val="0"/>
        <w:spacing w:line="360" w:lineRule="auto"/>
        <w:ind w:firstLine="1440" w:firstLineChars="450"/>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项目名称：</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snapToGrid w:val="0"/>
        <w:spacing w:line="760" w:lineRule="exact"/>
        <w:ind w:firstLine="1440" w:firstLineChars="450"/>
        <w:rPr>
          <w:rFonts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招标</w:t>
      </w:r>
      <w:r>
        <w:rPr>
          <w:rFonts w:hint="eastAsia" w:ascii="黑体" w:hAnsi="黑体" w:eastAsia="黑体"/>
          <w:color w:val="000000" w:themeColor="text1"/>
          <w:sz w:val="32"/>
          <w:szCs w:val="32"/>
          <w:highlight w:val="none"/>
          <w:lang w:val="en-US" w:eastAsia="zh-CN"/>
          <w14:textFill>
            <w14:solidFill>
              <w14:schemeClr w14:val="tx1"/>
            </w14:solidFill>
          </w14:textFill>
        </w:rPr>
        <w:t>项目</w:t>
      </w:r>
      <w:r>
        <w:rPr>
          <w:rFonts w:hint="eastAsia" w:ascii="黑体" w:hAnsi="黑体" w:eastAsia="黑体"/>
          <w:color w:val="000000" w:themeColor="text1"/>
          <w:sz w:val="32"/>
          <w:szCs w:val="32"/>
          <w:highlight w:val="none"/>
          <w14:textFill>
            <w14:solidFill>
              <w14:schemeClr w14:val="tx1"/>
            </w14:solidFill>
          </w14:textFill>
        </w:rPr>
        <w:t>编号：</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snapToGrid w:val="0"/>
        <w:spacing w:line="360" w:lineRule="auto"/>
        <w:jc w:val="center"/>
        <w:rPr>
          <w:rFonts w:ascii="黑体" w:hAnsi="黑体" w:eastAsia="黑体"/>
          <w:color w:val="000000" w:themeColor="text1"/>
          <w:kern w:val="2"/>
          <w:sz w:val="28"/>
          <w:highlight w:val="none"/>
          <w14:textFill>
            <w14:solidFill>
              <w14:schemeClr w14:val="tx1"/>
            </w14:solidFill>
          </w14:textFill>
        </w:rPr>
      </w:pPr>
    </w:p>
    <w:p>
      <w:pPr>
        <w:snapToGrid w:val="0"/>
        <w:spacing w:line="360" w:lineRule="auto"/>
        <w:ind w:firstLine="2520" w:firstLineChars="350"/>
        <w:rPr>
          <w:rFonts w:ascii="黑体" w:hAnsi="黑体" w:eastAsia="黑体"/>
          <w:b/>
          <w:color w:val="000000" w:themeColor="text1"/>
          <w:sz w:val="72"/>
          <w:szCs w:val="72"/>
          <w:highlight w:val="none"/>
          <w14:textFill>
            <w14:solidFill>
              <w14:schemeClr w14:val="tx1"/>
            </w14:solidFill>
          </w14:textFill>
        </w:rPr>
      </w:pPr>
    </w:p>
    <w:p>
      <w:pPr>
        <w:snapToGrid w:val="0"/>
        <w:spacing w:line="360" w:lineRule="auto"/>
        <w:ind w:firstLine="2520" w:firstLineChars="350"/>
        <w:rPr>
          <w:rFonts w:ascii="黑体" w:hAnsi="黑体" w:eastAsia="黑体"/>
          <w:b/>
          <w:color w:val="000000" w:themeColor="text1"/>
          <w:sz w:val="72"/>
          <w:szCs w:val="72"/>
          <w:highlight w:val="none"/>
          <w14:textFill>
            <w14:solidFill>
              <w14:schemeClr w14:val="tx1"/>
            </w14:solidFill>
          </w14:textFill>
        </w:rPr>
      </w:pPr>
    </w:p>
    <w:p>
      <w:pPr>
        <w:snapToGrid w:val="0"/>
        <w:spacing w:line="360" w:lineRule="auto"/>
        <w:ind w:firstLine="2052" w:firstLineChars="285"/>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勘 察 纲 要</w:t>
      </w:r>
    </w:p>
    <w:p>
      <w:pPr>
        <w:snapToGrid w:val="0"/>
        <w:spacing w:line="360" w:lineRule="auto"/>
        <w:rPr>
          <w:rFonts w:ascii="黑体" w:hAnsi="黑体" w:eastAsia="黑体"/>
          <w:b/>
          <w:color w:val="000000" w:themeColor="text1"/>
          <w:sz w:val="72"/>
          <w:szCs w:val="72"/>
          <w:highlight w:val="none"/>
          <w14:textFill>
            <w14:solidFill>
              <w14:schemeClr w14:val="tx1"/>
            </w14:solidFill>
          </w14:textFill>
        </w:rPr>
      </w:pPr>
    </w:p>
    <w:p>
      <w:pPr>
        <w:snapToGrid w:val="0"/>
        <w:spacing w:line="360" w:lineRule="auto"/>
        <w:rPr>
          <w:rFonts w:ascii="黑体" w:hAnsi="黑体" w:eastAsia="黑体"/>
          <w:b/>
          <w:color w:val="000000" w:themeColor="text1"/>
          <w:sz w:val="72"/>
          <w:szCs w:val="72"/>
          <w:highlight w:val="none"/>
          <w14:textFill>
            <w14:solidFill>
              <w14:schemeClr w14:val="tx1"/>
            </w14:solidFill>
          </w14:textFill>
        </w:rPr>
      </w:pPr>
    </w:p>
    <w:p>
      <w:pPr>
        <w:snapToGrid w:val="0"/>
        <w:spacing w:line="360" w:lineRule="auto"/>
        <w:rPr>
          <w:rFonts w:ascii="黑体" w:hAnsi="黑体" w:eastAsia="黑体"/>
          <w:b/>
          <w:color w:val="000000" w:themeColor="text1"/>
          <w:sz w:val="72"/>
          <w:szCs w:val="72"/>
          <w:highlight w:val="none"/>
          <w14:textFill>
            <w14:solidFill>
              <w14:schemeClr w14:val="tx1"/>
            </w14:solidFill>
          </w14:textFill>
        </w:rPr>
      </w:pPr>
    </w:p>
    <w:p>
      <w:pPr>
        <w:snapToGrid w:val="0"/>
        <w:spacing w:line="360" w:lineRule="auto"/>
        <w:rPr>
          <w:rFonts w:ascii="宋体" w:hAnsi="宋体"/>
          <w:b/>
          <w:color w:val="000000" w:themeColor="text1"/>
          <w:sz w:val="72"/>
          <w:szCs w:val="72"/>
          <w:highlight w:val="none"/>
          <w14:textFill>
            <w14:solidFill>
              <w14:schemeClr w14:val="tx1"/>
            </w14:solidFill>
          </w14:textFill>
        </w:rPr>
      </w:pPr>
    </w:p>
    <w:p>
      <w:pPr>
        <w:snapToGrid w:val="0"/>
        <w:spacing w:line="360" w:lineRule="auto"/>
        <w:rPr>
          <w:rFonts w:ascii="黑体" w:hAnsi="黑体" w:eastAsia="黑体"/>
          <w:bCs/>
          <w:color w:val="000000" w:themeColor="text1"/>
          <w:sz w:val="28"/>
          <w:szCs w:val="28"/>
          <w:highlight w:val="none"/>
          <w14:textFill>
            <w14:solidFill>
              <w14:schemeClr w14:val="tx1"/>
            </w14:solidFill>
          </w14:textFill>
        </w:rPr>
      </w:pPr>
    </w:p>
    <w:p>
      <w:pPr>
        <w:snapToGrid w:val="0"/>
        <w:spacing w:line="360" w:lineRule="auto"/>
        <w:rPr>
          <w:rFonts w:ascii="黑体" w:hAnsi="黑体" w:eastAsia="黑体"/>
          <w:bCs/>
          <w:color w:val="000000" w:themeColor="text1"/>
          <w:sz w:val="28"/>
          <w:szCs w:val="28"/>
          <w:highlight w:val="none"/>
          <w14:textFill>
            <w14:solidFill>
              <w14:schemeClr w14:val="tx1"/>
            </w14:solidFill>
          </w14:textFill>
        </w:rPr>
      </w:pPr>
    </w:p>
    <w:sectPr>
      <w:footnotePr>
        <w:numFmt w:val="decimalEnclosedCircleChinese"/>
        <w:numRestart w:val="eachPage"/>
      </w:footnotePr>
      <w:pgSz w:w="11906" w:h="16838"/>
      <w:pgMar w:top="1276" w:right="1559" w:bottom="1559"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瀹嬩綋">
    <w:altName w:val="宋体"/>
    <w:panose1 w:val="00000000000000000000"/>
    <w:charset w:val="86"/>
    <w:family w:val="auto"/>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35228"/>
      <w:docPartObj>
        <w:docPartGallery w:val="autotext"/>
      </w:docPartObj>
    </w:sdtPr>
    <w:sdtContent>
      <w:p>
        <w:pPr>
          <w:pStyle w:val="28"/>
          <w:jc w:val="center"/>
        </w:pPr>
        <w:r>
          <w:fldChar w:fldCharType="begin"/>
        </w:r>
        <w:r>
          <w:instrText xml:space="preserve"> PAGE   \* MERGEFORMAT </w:instrText>
        </w:r>
        <w:r>
          <w:fldChar w:fldCharType="separate"/>
        </w:r>
        <w:r>
          <w:t>57</w:t>
        </w:r>
        <w:r>
          <w:fldChar w:fldCharType="end"/>
        </w:r>
      </w:p>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1">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2">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填写招标项目审批、核准或备案机关名称。</w:t>
      </w:r>
    </w:p>
  </w:footnote>
  <w:footnote w:id="3">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填写招标项目批文名称、批文编号。</w:t>
      </w:r>
    </w:p>
  </w:footnote>
  <w:footnote w:id="4">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房屋建筑工程</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市政基础设施工程。</w:t>
      </w:r>
    </w:p>
  </w:footnote>
  <w:footnote w:id="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包含岩土工程（分项专业包括岩土工程勘察、岩土工程设计、岩土工程物探测试检测监测）、水文地质勘察、工程测量、以及后续服务等，招标人根据招标项目实际准确填写。</w:t>
      </w:r>
    </w:p>
  </w:footnote>
  <w:footnote w:id="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填写与本招标项目规模和范围相适应的勘察资质序列和等级要求。</w:t>
      </w:r>
    </w:p>
  </w:footnote>
  <w:footnote w:id="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接受</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不接受。</w:t>
      </w:r>
    </w:p>
  </w:footnote>
  <w:footnote w:id="8">
    <w:p>
      <w:pPr>
        <w:pStyle w:val="33"/>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填写0或1。</w:t>
      </w:r>
    </w:p>
  </w:footnote>
  <w:footnote w:id="9">
    <w:p>
      <w:pPr>
        <w:pStyle w:val="33"/>
        <w:keepNext w:val="0"/>
        <w:keepLines w:val="0"/>
        <w:pageBreakBefore w:val="0"/>
        <w:widowControl w:val="0"/>
        <w:kinsoku/>
        <w:wordWrap/>
        <w:overflowPunct/>
        <w:topLinePunct w:val="0"/>
        <w:autoSpaceDE/>
        <w:autoSpaceDN/>
        <w:bidi w:val="0"/>
        <w:adjustRightIn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10">
    <w:p>
      <w:pPr>
        <w:pStyle w:val="33"/>
        <w:keepNext w:val="0"/>
        <w:keepLines w:val="0"/>
        <w:pageBreakBefore w:val="0"/>
        <w:widowControl w:val="0"/>
        <w:kinsoku/>
        <w:wordWrap/>
        <w:overflowPunct/>
        <w:topLinePunct w:val="0"/>
        <w:autoSpaceDE/>
        <w:autoSpaceDN/>
        <w:bidi w:val="0"/>
        <w:adjustRightIn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填写招标项目电子招标文件使用的软件名称、版本号。</w:t>
      </w:r>
    </w:p>
  </w:footnote>
  <w:footnote w:id="11">
    <w:p>
      <w:pPr>
        <w:pStyle w:val="33"/>
        <w:keepNext w:val="0"/>
        <w:keepLines w:val="0"/>
        <w:pageBreakBefore w:val="0"/>
        <w:widowControl w:val="0"/>
        <w:kinsoku/>
        <w:wordWrap/>
        <w:overflowPunct/>
        <w:topLinePunct w:val="0"/>
        <w:autoSpaceDE/>
        <w:autoSpaceDN/>
        <w:bidi w:val="0"/>
        <w:adjustRightIn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选择</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高分低价法</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、“高分随机法”、“低价随机法”或</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在高分低价法、高分随机法、低价随机法中随机抽取</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之一进行</w:t>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，且应当与招标文件其他章节有关内容一致。</w:t>
      </w:r>
    </w:p>
  </w:footnote>
  <w:footnote w:id="12">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13">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填写被邀请参加投标的单位名称。</w:t>
      </w:r>
    </w:p>
  </w:footnote>
  <w:footnote w:id="14">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1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填写招标项目审批、核准或备案机关名称。</w:t>
      </w:r>
    </w:p>
  </w:footnote>
  <w:footnote w:id="1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填写招标项目批文名称、批文编号。</w:t>
      </w:r>
    </w:p>
  </w:footnote>
  <w:footnote w:id="1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房屋建筑工程</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市政基础设施工程。</w:t>
      </w:r>
    </w:p>
  </w:footnote>
  <w:footnote w:id="18">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包含岩土工程（分项专业包括岩土工程勘察、岩土工程设计、岩土工程物探测试检测监测）、水文地质勘察、工程测量、以及后续服务等，招标人根据招标项目实际准确填写。</w:t>
      </w:r>
    </w:p>
  </w:footnote>
  <w:footnote w:id="1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填写与本招标项目规模和范围相适应的勘察资质序列和等级要求。</w:t>
      </w:r>
    </w:p>
  </w:footnote>
  <w:footnote w:id="20">
    <w:p>
      <w:pPr>
        <w:pStyle w:val="33"/>
        <w:keepNext w:val="0"/>
        <w:keepLines w:val="0"/>
        <w:pageBreakBefore w:val="0"/>
        <w:widowControl w:val="0"/>
        <w:kinsoku/>
        <w:wordWrap/>
        <w:overflowPunct/>
        <w:topLinePunct w:val="0"/>
        <w:autoSpaceDE/>
        <w:autoSpaceDN/>
        <w:bidi w:val="0"/>
        <w:adjustRightIn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接受</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不接受。</w:t>
      </w:r>
    </w:p>
  </w:footnote>
  <w:footnote w:id="21">
    <w:p>
      <w:pPr>
        <w:pStyle w:val="33"/>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填写0或1。</w:t>
      </w:r>
    </w:p>
  </w:footnote>
  <w:footnote w:id="22">
    <w:p>
      <w:pPr>
        <w:pStyle w:val="33"/>
        <w:keepNext w:val="0"/>
        <w:keepLines w:val="0"/>
        <w:pageBreakBefore w:val="0"/>
        <w:widowControl w:val="0"/>
        <w:kinsoku/>
        <w:wordWrap/>
        <w:overflowPunct/>
        <w:topLinePunct w:val="0"/>
        <w:autoSpaceDE/>
        <w:autoSpaceDN/>
        <w:bidi w:val="0"/>
        <w:adjustRightIn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23">
    <w:p>
      <w:pPr>
        <w:pStyle w:val="33"/>
        <w:keepNext w:val="0"/>
        <w:keepLines w:val="0"/>
        <w:pageBreakBefore w:val="0"/>
        <w:widowControl w:val="0"/>
        <w:kinsoku/>
        <w:wordWrap/>
        <w:overflowPunct/>
        <w:topLinePunct w:val="0"/>
        <w:autoSpaceDE/>
        <w:autoSpaceDN/>
        <w:bidi w:val="0"/>
        <w:adjustRightIn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填写招标项目电子招标文件使用的软件名称、版本号。</w:t>
      </w:r>
    </w:p>
  </w:footnote>
  <w:footnote w:id="24">
    <w:p>
      <w:pPr>
        <w:pStyle w:val="33"/>
        <w:keepNext w:val="0"/>
        <w:keepLines w:val="0"/>
        <w:pageBreakBefore w:val="0"/>
        <w:widowControl w:val="0"/>
        <w:kinsoku/>
        <w:wordWrap/>
        <w:overflowPunct/>
        <w:topLinePunct w:val="0"/>
        <w:autoSpaceDE/>
        <w:autoSpaceDN/>
        <w:bidi w:val="0"/>
        <w:adjustRightIn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选择</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高分低价法</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、“高分随机法”、“低价随机法”或</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在高分低价法、高分随机法、低价随机法中随机抽取</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之一进行</w:t>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，且应当与招标文件其他章节有关内容一致。</w:t>
      </w:r>
    </w:p>
  </w:footnote>
  <w:footnote w:id="2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填写招标项目使用的电子交易平台名称、网络地址。</w:t>
      </w:r>
    </w:p>
  </w:footnote>
  <w:footnote w:id="2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填写招标人全称。</w:t>
      </w:r>
      <w:bookmarkStart w:id="3449" w:name="_GoBack"/>
      <w:bookmarkEnd w:id="3449"/>
    </w:p>
  </w:footnote>
  <w:footnote w:id="2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填写招标项目名称、标段（如有时）。</w:t>
      </w:r>
    </w:p>
  </w:footnote>
  <w:footnote w:id="28">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参加</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不参加。</w:t>
      </w:r>
    </w:p>
  </w:footnote>
  <w:footnote w:id="2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kern w:val="2"/>
          <w:sz w:val="15"/>
          <w:szCs w:val="15"/>
          <w:highlight w:val="none"/>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本表相关内容应当与招标公告或投标邀请书有关内容一致。</w:t>
      </w:r>
    </w:p>
  </w:footnote>
  <w:footnote w:id="30">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填写鉴定物品的封存、移交等内容。</w:t>
      </w:r>
    </w:p>
  </w:footnote>
  <w:footnote w:id="31">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补充和修改内容应是对进一步明确招标文件未尽事宜，且与招标文件有关章节相衔接。</w:t>
      </w:r>
    </w:p>
  </w:footnote>
  <w:footnote w:id="32">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招标项目有划分标段的，本表按标段分别编制；未划分标段的，填写“/”。</w:t>
      </w:r>
    </w:p>
  </w:footnote>
  <w:footnote w:id="33">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各专业勘察负责人应根据项目实际情况设置，并非所列专业均需配备。</w:t>
      </w:r>
    </w:p>
  </w:footnote>
  <w:footnote w:id="34">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应与招标公告/投标邀请书中的类似项目勘察业绩要求一致。</w:t>
      </w:r>
    </w:p>
  </w:footnote>
  <w:footnote w:id="3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Style w:val="43"/>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填写0或1。</w:t>
      </w:r>
    </w:p>
  </w:footnote>
  <w:footnote w:id="3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应用</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不应用。</w:t>
      </w:r>
    </w:p>
  </w:footnote>
  <w:footnote w:id="3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sz w:val="15"/>
          <w:szCs w:val="15"/>
          <w:highlight w:val="none"/>
          <w14:textFill>
            <w14:solidFill>
              <w14:schemeClr w14:val="tx1"/>
            </w14:solidFill>
          </w14:textFill>
        </w:rPr>
        <w:t>应用</w:t>
      </w:r>
      <w:r>
        <w:rPr>
          <w:rFonts w:hint="eastAsia" w:ascii="宋体" w:hAnsi="宋体" w:eastAsia="宋体" w:cs="宋体"/>
          <w:color w:val="000000" w:themeColor="text1"/>
          <w:sz w:val="15"/>
          <w:szCs w:val="15"/>
          <w:highlight w:val="none"/>
          <w:lang w:val="en-US" w:eastAsia="zh-CN"/>
          <w14:textFill>
            <w14:solidFill>
              <w14:schemeClr w14:val="tx1"/>
            </w14:solidFill>
          </w14:textFill>
        </w:rPr>
        <w:t>或</w:t>
      </w:r>
      <w:r>
        <w:rPr>
          <w:rFonts w:hint="eastAsia" w:ascii="宋体" w:hAnsi="宋体" w:eastAsia="宋体" w:cs="宋体"/>
          <w:color w:val="000000" w:themeColor="text1"/>
          <w:sz w:val="15"/>
          <w:szCs w:val="15"/>
          <w:highlight w:val="none"/>
          <w14:textFill>
            <w14:solidFill>
              <w14:schemeClr w14:val="tx1"/>
            </w14:solidFill>
          </w14:textFill>
        </w:rPr>
        <w:t>不应用。</w:t>
      </w:r>
    </w:p>
  </w:footnote>
  <w:footnote w:id="38">
    <w:p>
      <w:pPr>
        <w:keepNext w:val="0"/>
        <w:keepLines w:val="0"/>
        <w:pageBreakBefore w:val="0"/>
        <w:widowControl w:val="0"/>
        <w:kinsoku/>
        <w:wordWrap/>
        <w:overflowPunct/>
        <w:topLinePunct w:val="0"/>
        <w:autoSpaceDE/>
        <w:autoSpaceDN/>
        <w:bidi w:val="0"/>
        <w:adjustRightInd/>
        <w:snapToGrid w:val="0"/>
        <w:spacing w:line="200" w:lineRule="exact"/>
        <w:jc w:val="left"/>
        <w:textAlignment w:val="auto"/>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t>未采用随机抽取确定定标方法的，填写“/”</w:t>
      </w:r>
    </w:p>
  </w:footnote>
  <w:footnote w:id="3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三分之二及以上</w:t>
      </w:r>
      <w:r>
        <w:rPr>
          <w:rFonts w:hint="eastAsia" w:ascii="宋体" w:hAnsi="宋体" w:eastAsia="宋体" w:cs="宋体"/>
          <w:color w:val="000000" w:themeColor="text1"/>
          <w:sz w:val="15"/>
          <w:szCs w:val="15"/>
          <w:highlight w:val="none"/>
          <w:lang w:eastAsia="zh-CN"/>
          <w14:textFill>
            <w14:solidFill>
              <w14:schemeClr w14:val="tx1"/>
            </w14:solidFill>
          </w14:textFill>
        </w:rPr>
        <w:t>评标委员会</w:t>
      </w:r>
      <w:r>
        <w:rPr>
          <w:rFonts w:hint="eastAsia" w:ascii="宋体" w:hAnsi="宋体" w:eastAsia="宋体" w:cs="宋体"/>
          <w:color w:val="000000" w:themeColor="text1"/>
          <w:sz w:val="15"/>
          <w:szCs w:val="15"/>
          <w:highlight w:val="none"/>
          <w14:textFill>
            <w14:solidFill>
              <w14:schemeClr w14:val="tx1"/>
            </w14:solidFill>
          </w14:textFill>
        </w:rPr>
        <w:t>成员认定无法辨认的，视为内容不完整。</w:t>
      </w:r>
    </w:p>
  </w:footnote>
  <w:footnote w:id="40">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三分之二及以上评标委员会成员认定无法辨认的，视为内容不完整。</w:t>
      </w:r>
    </w:p>
  </w:footnote>
  <w:footnote w:id="41">
    <w:p>
      <w:pPr>
        <w:keepNext w:val="0"/>
        <w:keepLines w:val="0"/>
        <w:pageBreakBefore w:val="0"/>
        <w:widowControl w:val="0"/>
        <w:kinsoku/>
        <w:wordWrap/>
        <w:overflowPunct/>
        <w:topLinePunct w:val="0"/>
        <w:autoSpaceDE/>
        <w:autoSpaceDN/>
        <w:bidi w:val="0"/>
        <w:adjustRightInd/>
        <w:snapToGrid w:val="0"/>
        <w:spacing w:line="200" w:lineRule="exact"/>
        <w:jc w:val="left"/>
        <w:textAlignment w:val="auto"/>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定标要素及其评审标准、权重应当根据《厦门市住房和建设局关于印发建设工程招投标评定分离办法的通知》（厦住建规〔2024〕6号）有关规定编制不得设置经营主体的规模（例如产值）、注册地址、注册资金、市场占有率、负债率、净资产规模等作为定标子要素</w:t>
      </w:r>
      <w:r>
        <w:rPr>
          <w:rFonts w:hint="eastAsia" w:ascii="宋体" w:hAnsi="宋体" w:eastAsia="宋体" w:cs="宋体"/>
          <w:color w:val="000000" w:themeColor="text1"/>
          <w:sz w:val="15"/>
          <w:szCs w:val="15"/>
          <w:highlight w:val="none"/>
          <w:lang w:val="en-US" w:eastAsia="zh-CN"/>
          <w14:textFill>
            <w14:solidFill>
              <w14:schemeClr w14:val="tx1"/>
            </w14:solidFill>
          </w14:textFill>
        </w:rPr>
        <w:t>，并符合福建省住房和城乡建设厅所颁布的有关负面清单相应规定</w:t>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w:t>
      </w:r>
    </w:p>
  </w:footnote>
  <w:footnote w:id="42">
    <w:p>
      <w:pPr>
        <w:keepNext w:val="0"/>
        <w:keepLines w:val="0"/>
        <w:pageBreakBefore w:val="0"/>
        <w:widowControl w:val="0"/>
        <w:kinsoku/>
        <w:wordWrap/>
        <w:overflowPunct/>
        <w:topLinePunct w:val="0"/>
        <w:bidi w:val="0"/>
        <w:adjustRightInd/>
        <w:snapToGrid w:val="0"/>
        <w:spacing w:line="200" w:lineRule="exact"/>
        <w:jc w:val="left"/>
        <w:textAlignment w:val="auto"/>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t>应当与投标人须知第7.3项选择的定标方法一致。</w:t>
      </w:r>
    </w:p>
    <w:p>
      <w:pPr>
        <w:keepNext w:val="0"/>
        <w:keepLines w:val="0"/>
        <w:pageBreakBefore w:val="0"/>
        <w:widowControl w:val="0"/>
        <w:kinsoku/>
        <w:wordWrap/>
        <w:overflowPunct/>
        <w:topLinePunct w:val="0"/>
        <w:bidi w:val="0"/>
        <w:snapToGrid w:val="0"/>
        <w:spacing w:line="200" w:lineRule="exact"/>
        <w:jc w:val="left"/>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pPr>
    </w:p>
  </w:footnote>
  <w:footnote w:id="43">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14:textFill>
            <w14:solidFill>
              <w14:schemeClr w14:val="tx1"/>
            </w14:solidFill>
          </w14:textFill>
        </w:rPr>
        <w:t>评审标准均采用“百分制评分”进行评审。</w:t>
      </w:r>
    </w:p>
  </w:footnote>
  <w:footnote w:id="44">
    <w:p>
      <w:pPr>
        <w:keepNext w:val="0"/>
        <w:keepLines w:val="0"/>
        <w:pageBreakBefore w:val="0"/>
        <w:widowControl w:val="0"/>
        <w:kinsoku/>
        <w:wordWrap/>
        <w:overflowPunct/>
        <w:topLinePunct w:val="0"/>
        <w:bidi w:val="0"/>
        <w:snapToGrid w:val="0"/>
        <w:spacing w:line="200" w:lineRule="exact"/>
        <w:jc w:val="left"/>
        <w:rPr>
          <w:rFonts w:hint="eastAsia" w:ascii="宋体" w:hAnsi="宋体" w:eastAsia="宋体" w:cs="宋体"/>
          <w:b w:val="0"/>
          <w:bCs w:val="0"/>
          <w:color w:val="000000" w:themeColor="text1"/>
          <w:kern w:val="1"/>
          <w:sz w:val="15"/>
          <w:szCs w:val="15"/>
          <w:highlight w:val="none"/>
          <w:lang w:val="en-US" w:eastAsia="zh-CN" w:bidi="ar-SA"/>
          <w14:textFill>
            <w14:solidFill>
              <w14:schemeClr w14:val="tx1"/>
            </w14:solidFill>
          </w14:textFill>
        </w:rPr>
      </w:pPr>
      <w:r>
        <w:rPr>
          <w:rStyle w:val="43"/>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bidi="ar-SA"/>
          <w14:textFill>
            <w14:solidFill>
              <w14:schemeClr w14:val="tx1"/>
            </w14:solidFill>
          </w14:textFill>
        </w:rPr>
        <w:t>陈述、答辩子要素的权重不高于10%。</w:t>
      </w:r>
    </w:p>
  </w:footnote>
  <w:footnote w:id="45">
    <w:p>
      <w:pPr>
        <w:keepNext w:val="0"/>
        <w:keepLines w:val="0"/>
        <w:pageBreakBefore w:val="0"/>
        <w:widowControl w:val="0"/>
        <w:kinsoku/>
        <w:wordWrap/>
        <w:overflowPunct/>
        <w:topLinePunct w:val="0"/>
        <w:bidi w:val="0"/>
        <w:snapToGrid w:val="0"/>
        <w:spacing w:line="200" w:lineRule="exact"/>
        <w:jc w:val="left"/>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Style w:val="43"/>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bidi="ar-SA"/>
          <w14:textFill>
            <w14:solidFill>
              <w14:schemeClr w14:val="tx1"/>
            </w14:solidFill>
          </w14:textFill>
        </w:rPr>
        <w:t>项目应急保障能力部分的陈述权重不高于5%。</w:t>
      </w:r>
    </w:p>
  </w:footnote>
  <w:footnote w:id="4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kern w:val="2"/>
          <w:sz w:val="15"/>
          <w:szCs w:val="15"/>
          <w:highlight w:val="none"/>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勘察合同原则上采用</w:t>
      </w:r>
      <w:r>
        <w:rPr>
          <w:rFonts w:hint="eastAsia" w:ascii="宋体" w:hAnsi="宋体" w:eastAsia="宋体" w:cs="宋体"/>
          <w:color w:val="000000" w:themeColor="text1"/>
          <w:kern w:val="2"/>
          <w:sz w:val="15"/>
          <w:szCs w:val="15"/>
          <w:highlight w:val="none"/>
          <w14:textFill>
            <w14:solidFill>
              <w14:schemeClr w14:val="tx1"/>
            </w14:solidFill>
          </w14:textFill>
        </w:rPr>
        <w:fldChar w:fldCharType="begin"/>
      </w:r>
      <w:r>
        <w:rPr>
          <w:rFonts w:hint="eastAsia" w:ascii="宋体" w:hAnsi="宋体" w:eastAsia="宋体" w:cs="宋体"/>
          <w:color w:val="000000" w:themeColor="text1"/>
          <w:kern w:val="2"/>
          <w:sz w:val="15"/>
          <w:szCs w:val="15"/>
          <w:highlight w:val="none"/>
          <w14:textFill>
            <w14:solidFill>
              <w14:schemeClr w14:val="tx1"/>
            </w14:solidFill>
          </w14:textFill>
        </w:rPr>
        <w:instrText xml:space="preserve"> HYPERLINK "http://www.baidu.com/link?url=f-rlLiCQ3k3GNstp6JT8gXjdT7u6aEjm_IwDYAJw81p6ff66jJqJSpUfl652Bkg7" \t "https://www.baidu.com/_blank" </w:instrText>
      </w:r>
      <w:r>
        <w:rPr>
          <w:rFonts w:hint="eastAsia" w:ascii="宋体" w:hAnsi="宋体" w:eastAsia="宋体" w:cs="宋体"/>
          <w:color w:val="000000" w:themeColor="text1"/>
          <w:kern w:val="2"/>
          <w:sz w:val="15"/>
          <w:szCs w:val="15"/>
          <w:highlight w:val="none"/>
          <w14:textFill>
            <w14:solidFill>
              <w14:schemeClr w14:val="tx1"/>
            </w14:solidFill>
          </w14:textFill>
        </w:rPr>
        <w:fldChar w:fldCharType="separate"/>
      </w:r>
      <w:r>
        <w:rPr>
          <w:rFonts w:hint="eastAsia" w:ascii="宋体" w:hAnsi="宋体" w:eastAsia="宋体" w:cs="宋体"/>
          <w:color w:val="000000" w:themeColor="text1"/>
          <w:kern w:val="2"/>
          <w:sz w:val="15"/>
          <w:szCs w:val="15"/>
          <w:highlight w:val="none"/>
          <w14:textFill>
            <w14:solidFill>
              <w14:schemeClr w14:val="tx1"/>
            </w14:solidFill>
          </w14:textFill>
        </w:rPr>
        <w:t>国家市场监督管理总局</w:t>
      </w:r>
      <w:r>
        <w:rPr>
          <w:rFonts w:hint="eastAsia" w:ascii="宋体" w:hAnsi="宋体" w:eastAsia="宋体" w:cs="宋体"/>
          <w:color w:val="000000" w:themeColor="text1"/>
          <w:kern w:val="2"/>
          <w:sz w:val="15"/>
          <w:szCs w:val="15"/>
          <w:highlight w:val="none"/>
          <w14:textFill>
            <w14:solidFill>
              <w14:schemeClr w14:val="tx1"/>
            </w14:solidFill>
          </w14:textFill>
        </w:rPr>
        <w:fldChar w:fldCharType="end"/>
      </w:r>
      <w:r>
        <w:rPr>
          <w:rFonts w:hint="eastAsia" w:ascii="宋体" w:hAnsi="宋体" w:eastAsia="宋体" w:cs="宋体"/>
          <w:color w:val="000000" w:themeColor="text1"/>
          <w:kern w:val="2"/>
          <w:sz w:val="15"/>
          <w:szCs w:val="15"/>
          <w:highlight w:val="none"/>
          <w14:textFill>
            <w14:solidFill>
              <w14:schemeClr w14:val="tx1"/>
            </w14:solidFill>
          </w14:textFill>
        </w:rPr>
        <w:t>和住建部颁布的《建设工程勘察合同示范文本》（GF—2016—0203）格式条款。招标人在此基础上，根据工程项目的个性和所处的自然和社会环境提出内容细化和约定，并在专用合同条款中对合同条款进行修改和补充，专用合同条款内容与通用条款内容不一致的，以专用合同内容为准。合同格式条款中没有约定内容的，由招标人和勘察单位协商一致后签订。</w:t>
      </w:r>
    </w:p>
  </w:footnote>
  <w:footnote w:id="4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footnote>
  <w:footnote w:id="48">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一般包括以下内容：规划意见书、可研或项目建议书批复、现状地形图、其他（市政、电力、通信、煤气等）管线图或许可意向书等。</w:t>
      </w:r>
    </w:p>
  </w:footnote>
  <w:footnote w:id="4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脚注内容和要求属于本章的规定，投标人在编制投标文件时应当严格遵守。</w:t>
      </w:r>
    </w:p>
  </w:footnote>
  <w:footnote w:id="50">
    <w:p>
      <w:pPr>
        <w:keepNext w:val="0"/>
        <w:keepLines w:val="0"/>
        <w:pageBreakBefore w:val="0"/>
        <w:widowControl w:val="0"/>
        <w:kinsoku/>
        <w:wordWrap/>
        <w:overflowPunct/>
        <w:topLinePunct w:val="0"/>
        <w:autoSpaceDE/>
        <w:autoSpaceDN/>
        <w:bidi w:val="0"/>
        <w:adjustRightInd w:val="0"/>
        <w:spacing w:line="200" w:lineRule="exact"/>
        <w:ind w:firstLine="267" w:firstLineChars="177"/>
        <w:jc w:val="lef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 xml:space="preserve"> a.投标人应按照招标文件的要求以及投标人自己认为有必要提交的能够恰当证明符合（或优于）资格审查评审标准和内容的资料。</w:t>
      </w:r>
    </w:p>
    <w:p>
      <w:pPr>
        <w:keepNext w:val="0"/>
        <w:keepLines w:val="0"/>
        <w:pageBreakBefore w:val="0"/>
        <w:widowControl w:val="0"/>
        <w:kinsoku/>
        <w:wordWrap/>
        <w:overflowPunct/>
        <w:topLinePunct w:val="0"/>
        <w:autoSpaceDE/>
        <w:autoSpaceDN/>
        <w:bidi w:val="0"/>
        <w:adjustRightInd w:val="0"/>
        <w:spacing w:line="200" w:lineRule="exact"/>
        <w:ind w:firstLine="416" w:firstLineChars="276"/>
        <w:jc w:val="lef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b.投标人应按招标文件本章规定的格式和内容编写《资格审查文件》，如有必要，可以增加附页，并作为资格审查文件的组成部分。</w:t>
      </w:r>
    </w:p>
    <w:p>
      <w:pPr>
        <w:pStyle w:val="15"/>
        <w:keepNext w:val="0"/>
        <w:keepLines w:val="0"/>
        <w:pageBreakBefore w:val="0"/>
        <w:widowControl w:val="0"/>
        <w:tabs>
          <w:tab w:val="left" w:pos="0"/>
        </w:tabs>
        <w:kinsoku/>
        <w:wordWrap/>
        <w:overflowPunct/>
        <w:topLinePunct w:val="0"/>
        <w:autoSpaceDE/>
        <w:autoSpaceDN/>
        <w:bidi w:val="0"/>
        <w:adjustRightInd w:val="0"/>
        <w:snapToGrid w:val="0"/>
        <w:spacing w:line="200" w:lineRule="exact"/>
        <w:ind w:firstLine="416" w:firstLineChars="276"/>
        <w:jc w:val="left"/>
        <w:textAlignment w:val="baseline"/>
        <w:rPr>
          <w:rFonts w:hint="eastAsia" w:ascii="宋体" w:hAnsi="宋体" w:eastAsia="宋体" w:cs="宋体"/>
          <w:b/>
          <w:color w:val="000000" w:themeColor="text1"/>
          <w:kern w:val="0"/>
          <w:sz w:val="15"/>
          <w:szCs w:val="15"/>
          <w:highlight w:val="none"/>
          <w14:textFill>
            <w14:solidFill>
              <w14:schemeClr w14:val="tx1"/>
            </w14:solidFill>
          </w14:textFill>
        </w:rPr>
      </w:pPr>
      <w:r>
        <w:rPr>
          <w:rFonts w:hint="eastAsia" w:ascii="宋体" w:hAnsi="宋体" w:eastAsia="宋体" w:cs="宋体"/>
          <w:b/>
          <w:color w:val="000000" w:themeColor="text1"/>
          <w:kern w:val="0"/>
          <w:sz w:val="15"/>
          <w:szCs w:val="15"/>
          <w:highlight w:val="none"/>
          <w14:textFill>
            <w14:solidFill>
              <w14:schemeClr w14:val="tx1"/>
            </w14:solidFill>
          </w14:textFill>
        </w:rPr>
        <w:t>c.若投标人是以联合体形式投标的，则应按照资格审查文件和投标人须知要求提交全部完整资料。若投标人是以独立投标人参加投标的，则不需要提交附表9联合体协议书。</w:t>
      </w:r>
    </w:p>
    <w:p>
      <w:pPr>
        <w:pStyle w:val="15"/>
        <w:keepNext w:val="0"/>
        <w:keepLines w:val="0"/>
        <w:pageBreakBefore w:val="0"/>
        <w:widowControl w:val="0"/>
        <w:tabs>
          <w:tab w:val="left" w:pos="0"/>
        </w:tabs>
        <w:kinsoku/>
        <w:wordWrap/>
        <w:overflowPunct/>
        <w:topLinePunct w:val="0"/>
        <w:autoSpaceDE/>
        <w:autoSpaceDN/>
        <w:bidi w:val="0"/>
        <w:adjustRightInd w:val="0"/>
        <w:snapToGrid w:val="0"/>
        <w:spacing w:line="200" w:lineRule="exact"/>
        <w:ind w:firstLine="416" w:firstLineChars="276"/>
        <w:jc w:val="left"/>
        <w:textAlignment w:val="baseline"/>
        <w:rPr>
          <w:rFonts w:hint="eastAsia" w:ascii="宋体" w:hAnsi="宋体" w:eastAsia="宋体" w:cs="宋体"/>
          <w:b/>
          <w:color w:val="000000" w:themeColor="text1"/>
          <w:kern w:val="0"/>
          <w:sz w:val="15"/>
          <w:szCs w:val="15"/>
          <w:highlight w:val="none"/>
          <w14:textFill>
            <w14:solidFill>
              <w14:schemeClr w14:val="tx1"/>
            </w14:solidFill>
          </w14:textFill>
        </w:rPr>
      </w:pPr>
      <w:r>
        <w:rPr>
          <w:rFonts w:hint="eastAsia" w:ascii="宋体" w:hAnsi="宋体" w:eastAsia="宋体" w:cs="宋体"/>
          <w:b/>
          <w:color w:val="000000" w:themeColor="text1"/>
          <w:kern w:val="0"/>
          <w:sz w:val="15"/>
          <w:szCs w:val="15"/>
          <w:highlight w:val="none"/>
          <w14:textFill>
            <w14:solidFill>
              <w14:schemeClr w14:val="tx1"/>
            </w14:solidFill>
          </w14:textFill>
        </w:rPr>
        <w:t>d.附表10“其他需要提交的资料”是指按照招标文件投标人须知前附表第10项 “投标人资格条件” 要求的，以及招标文件其他要求和投标人为了证明自己符合</w:t>
      </w:r>
      <w:r>
        <w:rPr>
          <w:rFonts w:hint="eastAsia" w:ascii="宋体" w:hAnsi="宋体" w:eastAsia="宋体" w:cs="宋体"/>
          <w:b/>
          <w:color w:val="000000" w:themeColor="text1"/>
          <w:sz w:val="15"/>
          <w:szCs w:val="15"/>
          <w:highlight w:val="none"/>
          <w14:textFill>
            <w14:solidFill>
              <w14:schemeClr w14:val="tx1"/>
            </w14:solidFill>
          </w14:textFill>
        </w:rPr>
        <w:t>（或优于）</w:t>
      </w:r>
      <w:r>
        <w:rPr>
          <w:rFonts w:hint="eastAsia" w:ascii="宋体" w:hAnsi="宋体" w:eastAsia="宋体" w:cs="宋体"/>
          <w:b/>
          <w:color w:val="000000" w:themeColor="text1"/>
          <w:kern w:val="0"/>
          <w:sz w:val="15"/>
          <w:szCs w:val="15"/>
          <w:highlight w:val="none"/>
          <w14:textFill>
            <w14:solidFill>
              <w14:schemeClr w14:val="tx1"/>
            </w14:solidFill>
          </w14:textFill>
        </w:rPr>
        <w:t>投标资格合格条件需要提供的资料。</w:t>
      </w:r>
    </w:p>
  </w:footnote>
  <w:footnote w:id="51">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52">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53">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54">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a.未如实填写“是否存在招标文件第二章投标须知正文第1.5.4条规定的任何一种情形”的，按弄虚作假处理。</w:t>
      </w:r>
    </w:p>
    <w:p>
      <w:pPr>
        <w:pStyle w:val="33"/>
        <w:keepNext w:val="0"/>
        <w:keepLines w:val="0"/>
        <w:pageBreakBefore w:val="0"/>
        <w:widowControl w:val="0"/>
        <w:kinsoku/>
        <w:wordWrap/>
        <w:overflowPunct/>
        <w:topLinePunct w:val="0"/>
        <w:autoSpaceDE/>
        <w:autoSpaceDN/>
        <w:bidi w:val="0"/>
        <w:adjustRightInd w:val="0"/>
        <w:snapToGrid w:val="0"/>
        <w:spacing w:line="200" w:lineRule="exact"/>
        <w:ind w:firstLine="151" w:firstLineChars="100"/>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b.以联合体形式投标，联合体成员各方均应提交此表。</w:t>
      </w:r>
    </w:p>
  </w:footnote>
  <w:footnote w:id="5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独立投标人或联合体投标人各方成员在本处附上要求的证书的全本扫描件。证书发生变更的，应办理完变更手续方可参加投标，并以发证机关核准的变更为准，否则视为证书无效。同时，资质证书上应加盖投标人实体出图章（图纸专用章），以联合体形式投标的，联合体成员各方应在各自资质证书上加盖实体出图章（图纸专用章）。</w:t>
      </w:r>
    </w:p>
  </w:footnote>
  <w:footnote w:id="5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独立投标人或联合体投标人各方成员在本处附上要求的营业执照的全本扫描件。证书发生变更的，应办理完变更手续方可参加投标，并以发证机关核准的变更为准，否则视为证书无效。</w:t>
      </w:r>
    </w:p>
  </w:footnote>
  <w:footnote w:id="5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附上省、市信用评价部门出具的信用评价结果文件扫描件或官方网站截图等有效证明材料。</w:t>
      </w:r>
    </w:p>
  </w:footnote>
  <w:footnote w:id="58">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以联合体形式投标，联合体成员各方均应提交本证明书并各自盖章。</w:t>
      </w:r>
    </w:p>
  </w:footnote>
  <w:footnote w:id="5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kern w:val="2"/>
          <w:sz w:val="15"/>
          <w:szCs w:val="15"/>
          <w:highlight w:val="none"/>
          <w14:textFill>
            <w14:solidFill>
              <w14:schemeClr w14:val="tx1"/>
            </w14:solidFill>
          </w14:textFill>
        </w:rPr>
      </w:pPr>
      <w:r>
        <w:rPr>
          <w:rFonts w:hint="eastAsia" w:ascii="宋体" w:hAnsi="宋体" w:eastAsia="宋体" w:cs="宋体"/>
          <w:b/>
          <w:color w:val="000000" w:themeColor="text1"/>
          <w:kern w:val="2"/>
          <w:sz w:val="15"/>
          <w:szCs w:val="15"/>
          <w:highlight w:val="none"/>
          <w14:textFill>
            <w14:solidFill>
              <w14:schemeClr w14:val="tx1"/>
            </w14:solidFill>
          </w14:textFill>
        </w:rPr>
        <w:footnoteRef/>
      </w:r>
      <w:r>
        <w:rPr>
          <w:rFonts w:hint="eastAsia" w:ascii="宋体" w:hAnsi="宋体" w:eastAsia="宋体" w:cs="宋体"/>
          <w:b/>
          <w:color w:val="000000" w:themeColor="text1"/>
          <w:kern w:val="2"/>
          <w:sz w:val="15"/>
          <w:szCs w:val="15"/>
          <w:highlight w:val="none"/>
          <w14:textFill>
            <w14:solidFill>
              <w14:schemeClr w14:val="tx1"/>
            </w14:solidFill>
          </w14:textFill>
        </w:rPr>
        <w:t>以联合体形式投标，</w:t>
      </w:r>
      <w:r>
        <w:rPr>
          <w:rFonts w:hint="eastAsia" w:ascii="宋体" w:hAnsi="宋体" w:eastAsia="宋体" w:cs="宋体"/>
          <w:b/>
          <w:color w:val="000000" w:themeColor="text1"/>
          <w:sz w:val="15"/>
          <w:szCs w:val="15"/>
          <w:highlight w:val="none"/>
          <w14:textFill>
            <w14:solidFill>
              <w14:schemeClr w14:val="tx1"/>
            </w14:solidFill>
          </w14:textFill>
        </w:rPr>
        <w:t>联合体所有成员均应共同盖单位公章</w:t>
      </w:r>
      <w:r>
        <w:rPr>
          <w:rFonts w:hint="eastAsia" w:ascii="宋体" w:hAnsi="宋体" w:eastAsia="宋体" w:cs="宋体"/>
          <w:b/>
          <w:color w:val="000000" w:themeColor="text1"/>
          <w:kern w:val="2"/>
          <w:sz w:val="15"/>
          <w:szCs w:val="15"/>
          <w:highlight w:val="none"/>
          <w14:textFill>
            <w14:solidFill>
              <w14:schemeClr w14:val="tx1"/>
            </w14:solidFill>
          </w14:textFill>
        </w:rPr>
        <w:t>。</w:t>
      </w:r>
    </w:p>
  </w:footnote>
  <w:footnote w:id="60">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bCs/>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bCs/>
          <w:color w:val="000000" w:themeColor="text1"/>
          <w:sz w:val="15"/>
          <w:szCs w:val="15"/>
          <w:highlight w:val="none"/>
          <w14:textFill>
            <w14:solidFill>
              <w14:schemeClr w14:val="tx1"/>
            </w14:solidFill>
          </w14:textFill>
        </w:rPr>
        <w:t>本承诺函须由</w:t>
      </w:r>
      <w:r>
        <w:rPr>
          <w:rFonts w:hint="eastAsia" w:ascii="宋体" w:hAnsi="宋体" w:eastAsia="宋体" w:cs="宋体"/>
          <w:b/>
          <w:color w:val="000000" w:themeColor="text1"/>
          <w:sz w:val="15"/>
          <w:szCs w:val="15"/>
          <w:highlight w:val="none"/>
          <w14:textFill>
            <w14:solidFill>
              <w14:schemeClr w14:val="tx1"/>
            </w14:solidFill>
          </w14:textFill>
        </w:rPr>
        <w:t>独立投标人或联合体牵头人填写，</w:t>
      </w:r>
      <w:r>
        <w:rPr>
          <w:rFonts w:hint="eastAsia" w:ascii="宋体" w:hAnsi="宋体" w:eastAsia="宋体" w:cs="宋体"/>
          <w:b/>
          <w:bCs/>
          <w:color w:val="000000" w:themeColor="text1"/>
          <w:sz w:val="15"/>
          <w:szCs w:val="15"/>
          <w:highlight w:val="none"/>
          <w14:textFill>
            <w14:solidFill>
              <w14:schemeClr w14:val="tx1"/>
            </w14:solidFill>
          </w14:textFill>
        </w:rPr>
        <w:t>加盖投标人单位实体公章和法定代表人亲自签字完整后扫描上传。</w:t>
      </w:r>
    </w:p>
  </w:footnote>
  <w:footnote w:id="61">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bCs/>
          <w:color w:val="000000" w:themeColor="text1"/>
          <w:sz w:val="15"/>
          <w:szCs w:val="15"/>
          <w:highlight w:val="none"/>
          <w14:textFill>
            <w14:solidFill>
              <w14:schemeClr w14:val="tx1"/>
            </w14:solidFill>
          </w14:textFill>
        </w:rPr>
        <w:t>如</w:t>
      </w:r>
      <w:r>
        <w:rPr>
          <w:rFonts w:hint="eastAsia" w:ascii="宋体" w:hAnsi="宋体" w:eastAsia="宋体" w:cs="宋体"/>
          <w:b/>
          <w:color w:val="000000" w:themeColor="text1"/>
          <w:sz w:val="15"/>
          <w:szCs w:val="15"/>
          <w:highlight w:val="none"/>
          <w14:textFill>
            <w14:solidFill>
              <w14:schemeClr w14:val="tx1"/>
            </w14:solidFill>
          </w14:textFill>
        </w:rPr>
        <w:t>以联合体形式投标的，联合体所有成员均应加盖单位实体公章。</w:t>
      </w:r>
    </w:p>
  </w:footnote>
  <w:footnote w:id="62">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如以联合体形式投标的，联合体所有成员的法定代表人均应亲自签字。</w:t>
      </w:r>
    </w:p>
  </w:footnote>
  <w:footnote w:id="63">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本单位正式在岗职工定义同“拟担任主要勘察人员简历表”脚注①.b款中的规定。</w:t>
      </w:r>
    </w:p>
  </w:footnote>
  <w:footnote w:id="64">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6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如以联合体形式投标，联合体所有成员的法定代表人均应共同签字或盖章。</w:t>
      </w:r>
    </w:p>
  </w:footnote>
  <w:footnote w:id="6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如联合体形式投标且存在委托代理人的，该委托代理人应为联合体所有成员的法定代表人共同委托牵头人代表的同一代理人并由代理人签字或盖章。</w:t>
      </w:r>
    </w:p>
  </w:footnote>
  <w:footnote w:id="6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a.以联合体形式投标的，勘察项目负责人必须是联合体牵头人派出的，其他人员可以由联合体其他成员派出，但应在备注栏中加以说明。</w:t>
      </w:r>
    </w:p>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b.上述人员均应为投标人单位正式在岗职工（如联合体投标的为各方成员本单位），且必须专人专职，不得兼职。</w:t>
      </w:r>
    </w:p>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c.以联合体形式投标的，本表的备注栏中填写派出单位名称。</w:t>
      </w:r>
    </w:p>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d.在满足招标文件要求的前提下，为体现实力，投标人可以提供优于招标文件要求的项目人员配置。</w:t>
      </w:r>
    </w:p>
  </w:footnote>
  <w:footnote w:id="68">
    <w:p>
      <w:pPr>
        <w:keepNext w:val="0"/>
        <w:keepLines w:val="0"/>
        <w:pageBreakBefore w:val="0"/>
        <w:widowControl w:val="0"/>
        <w:kinsoku/>
        <w:wordWrap/>
        <w:overflowPunct/>
        <w:topLinePunct w:val="0"/>
        <w:autoSpaceDE w:val="0"/>
        <w:autoSpaceDN w:val="0"/>
        <w:bidi w:val="0"/>
        <w:adjustRightInd w:val="0"/>
        <w:snapToGrid w:val="0"/>
        <w:spacing w:line="200" w:lineRule="exact"/>
        <w:ind w:firstLine="295" w:firstLineChars="196"/>
        <w:jc w:val="lef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 xml:space="preserve"> a.须随同本简历表附上：资格审查合格条件要求的主要勘察人员的执业资格（职称）证书扫描件，包括勘察项目负责人的国家注册土木工程师（岩土）执业证书和身份证扫描件、以及其他主要勘察人员的执业资格（职称）证书扫描件。</w:t>
      </w:r>
    </w:p>
    <w:p>
      <w:pPr>
        <w:keepNext w:val="0"/>
        <w:keepLines w:val="0"/>
        <w:pageBreakBefore w:val="0"/>
        <w:widowControl w:val="0"/>
        <w:kinsoku/>
        <w:wordWrap/>
        <w:overflowPunct/>
        <w:topLinePunct w:val="0"/>
        <w:autoSpaceDE w:val="0"/>
        <w:autoSpaceDN w:val="0"/>
        <w:bidi w:val="0"/>
        <w:adjustRightInd w:val="0"/>
        <w:snapToGrid w:val="0"/>
        <w:spacing w:line="200" w:lineRule="exact"/>
        <w:ind w:firstLine="295" w:firstLineChars="196"/>
        <w:jc w:val="lef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b.投标人拟担任勘察项目负责人和其他主要勘察人员必须是本单位正式在岗职工（如联合体投标的为各方成员本单位），且年龄不超过60周岁。“其他主要勘察人员” 是指招标文件投标须知前附表要求的各专业勘察负责人。所谓本单位正式在岗职工，是指具有本单位社保缴费证明【必须附上社保管理部门出具的缴交社保费（至少包含养老保险）（在投标截止期之前的三个月内出具的且自出具当日之前缴费时间连续三个月以上的）的证明书，或提交从社保机构网上下载的社会养老保险费的缴交情况（信息表）；若投标人为高等院校或科研机构所属勘察设计单位，其社保由上级院校、科研机构缴交的，则须提交上级院校或科研机构证明原件扫描件；若投标人单位为无法出具社保证明的事业编制的，则应提交由该事业单位主管部门近一年内（自投标截止日期前一年内）出具的证明扫描件（说明原因，提供相关主管部门名称、联系人及联系固定办公电话）】或住房城乡建设行政主管部门核发的有效执业资格证书证明（如上述人员所提交的加盖注册章的执业资格证书的章号与投标人单位资质证书号一致或执业资格证书所署的单位名称与投标人名称一致的，则可以不提交社保费证明。执业资格证书证明发生变更的，应按有关规定办理完变更手续后方可参加投标，并以发证机关核准的变更为准）。</w:t>
      </w:r>
    </w:p>
    <w:p>
      <w:pPr>
        <w:keepNext w:val="0"/>
        <w:keepLines w:val="0"/>
        <w:pageBreakBefore w:val="0"/>
        <w:widowControl w:val="0"/>
        <w:kinsoku/>
        <w:wordWrap/>
        <w:overflowPunct/>
        <w:topLinePunct w:val="0"/>
        <w:autoSpaceDE w:val="0"/>
        <w:autoSpaceDN w:val="0"/>
        <w:bidi w:val="0"/>
        <w:adjustRightInd w:val="0"/>
        <w:snapToGrid w:val="0"/>
        <w:spacing w:line="200" w:lineRule="exact"/>
        <w:ind w:firstLine="295" w:firstLineChars="196"/>
        <w:jc w:val="lef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c.勘察项目负责人必须为国家注册土木工程师（岩土），其资格等级应与所承担的勘察项目相适应；投标人所报的勘察项目负责人人选，在投标资格申请、投标和项目的实施中均应保持一致，除非招标文件另有规定。</w:t>
      </w:r>
    </w:p>
  </w:footnote>
  <w:footnote w:id="6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本承诺函加盖投标人单位实体公章和项目负责人亲自签字后扫描上传。</w:t>
      </w:r>
    </w:p>
  </w:footnote>
  <w:footnote w:id="70">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bCs/>
          <w:color w:val="000000" w:themeColor="text1"/>
          <w:sz w:val="15"/>
          <w:szCs w:val="15"/>
          <w:highlight w:val="none"/>
          <w14:textFill>
            <w14:solidFill>
              <w14:schemeClr w14:val="tx1"/>
            </w14:solidFill>
          </w14:textFill>
        </w:rPr>
        <w:t>如</w:t>
      </w:r>
      <w:r>
        <w:rPr>
          <w:rFonts w:hint="eastAsia" w:ascii="宋体" w:hAnsi="宋体" w:eastAsia="宋体" w:cs="宋体"/>
          <w:b/>
          <w:color w:val="000000" w:themeColor="text1"/>
          <w:sz w:val="15"/>
          <w:szCs w:val="15"/>
          <w:highlight w:val="none"/>
          <w14:textFill>
            <w14:solidFill>
              <w14:schemeClr w14:val="tx1"/>
            </w14:solidFill>
          </w14:textFill>
        </w:rPr>
        <w:t>以联合体形式投标的，联合体所有成员均应加盖单位实体公章。</w:t>
      </w:r>
    </w:p>
  </w:footnote>
  <w:footnote w:id="71">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项目负责人指勘察项目负责人。</w:t>
      </w:r>
    </w:p>
  </w:footnote>
  <w:footnote w:id="72">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73">
    <w:p>
      <w:pPr>
        <w:keepNext w:val="0"/>
        <w:keepLines w:val="0"/>
        <w:pageBreakBefore w:val="0"/>
        <w:widowControl w:val="0"/>
        <w:tabs>
          <w:tab w:val="left" w:pos="0"/>
          <w:tab w:val="left" w:pos="510"/>
          <w:tab w:val="left" w:pos="567"/>
          <w:tab w:val="left" w:pos="993"/>
          <w:tab w:val="left" w:pos="1134"/>
        </w:tabs>
        <w:kinsoku/>
        <w:wordWrap/>
        <w:overflowPunct/>
        <w:topLinePunct w:val="0"/>
        <w:autoSpaceDE/>
        <w:autoSpaceDN/>
        <w:bidi w:val="0"/>
        <w:adjustRightInd w:val="0"/>
        <w:snapToGrid w:val="0"/>
        <w:spacing w:line="200" w:lineRule="exact"/>
        <w:jc w:val="lef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为了证明投标人和拟担任的项目负责人的“类似项目勘察业绩”，应如实同时附上勘察合同书、勘察报告封面（有加盖单位公章的）和施工图审查合格书的扫描件，否则，其业绩不计。联合体投标的，“类似项目勘察业绩”必须由牵头人提供。</w:t>
      </w:r>
    </w:p>
    <w:p>
      <w:pPr>
        <w:pStyle w:val="33"/>
        <w:keepNext w:val="0"/>
        <w:keepLines w:val="0"/>
        <w:pageBreakBefore w:val="0"/>
        <w:widowControl w:val="0"/>
        <w:kinsoku/>
        <w:wordWrap/>
        <w:overflowPunct/>
        <w:topLinePunct w:val="0"/>
        <w:autoSpaceDE/>
        <w:autoSpaceDN/>
        <w:bidi w:val="0"/>
        <w:adjustRightInd w:val="0"/>
        <w:snapToGrid w:val="0"/>
        <w:spacing w:line="200" w:lineRule="exact"/>
        <w:ind w:firstLine="151" w:firstLineChars="100"/>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b.若施工图审查合格书未标明勘察项目负责人及工程勘察项目等级的应同时附上施工图审查报告书扫描件。</w:t>
      </w:r>
    </w:p>
    <w:p>
      <w:pPr>
        <w:pStyle w:val="33"/>
        <w:keepNext w:val="0"/>
        <w:keepLines w:val="0"/>
        <w:pageBreakBefore w:val="0"/>
        <w:widowControl w:val="0"/>
        <w:kinsoku/>
        <w:wordWrap/>
        <w:overflowPunct/>
        <w:topLinePunct w:val="0"/>
        <w:autoSpaceDE/>
        <w:autoSpaceDN/>
        <w:bidi w:val="0"/>
        <w:adjustRightInd w:val="0"/>
        <w:snapToGrid w:val="0"/>
        <w:spacing w:line="200" w:lineRule="exact"/>
        <w:ind w:firstLine="151" w:firstLineChars="100"/>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c.“类似项目勘察业绩”时间以施工图审查合格日期为准。</w:t>
      </w:r>
    </w:p>
  </w:footnote>
  <w:footnote w:id="74">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须附上有效证明材料扫描件，以证明投标人已具备招标项目要求的土工实验室。如土工实验室通过计量认证（CMA）的，提供认证证明文件扫描件。</w:t>
      </w:r>
    </w:p>
  </w:footnote>
  <w:footnote w:id="7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联合体协议书分工应对各方拟承担的工作和责任作出清楚、完整而又详细的说明。</w:t>
      </w:r>
    </w:p>
  </w:footnote>
  <w:footnote w:id="7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根据招标文件的要求和投标人认为需要提供的资料</w:t>
      </w:r>
      <w:r>
        <w:rPr>
          <w:rFonts w:hint="eastAsia" w:ascii="宋体" w:hAnsi="宋体" w:eastAsia="宋体" w:cs="宋体"/>
          <w:color w:val="000000" w:themeColor="text1"/>
          <w:sz w:val="15"/>
          <w:szCs w:val="15"/>
          <w:highlight w:val="none"/>
          <w14:textFill>
            <w14:solidFill>
              <w14:schemeClr w14:val="tx1"/>
            </w14:solidFill>
          </w14:textFill>
        </w:rPr>
        <w:t>，在此处自行列编</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7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78">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7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如以联合体形式投标，联合体所有成员均应共同盖单位公章。</w:t>
      </w:r>
    </w:p>
  </w:footnote>
  <w:footnote w:id="80">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本表中的勘察费投标报价金额和勘察费投标报价综合单价金额应与“五.投标报价表”中的金额相同。</w:t>
      </w:r>
    </w:p>
  </w:footnote>
  <w:footnote w:id="81">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采用现金形式的附上：a.电汇或银行转账单的扫描件并加盖投标人单位电子印章；b.企业基本账户许可证或基本存款账户开户银行开具的《基本存款账户信息》扫描件并加盖投标人单位电子印章。</w:t>
      </w:r>
    </w:p>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采用电子保函形式的附上：a.电子投标保函原件并加盖电子投标保函开立人电子印章或电子投标保函开立人依法刻制并授权用于投标保函业务的专用章；b.支付电子投标保函费用的电汇或银行转账回单扫描件并加盖投标人单位电子印章；c.电子投标保函开立人出具的加盖电子投标保函开立人电子印章或电子投标保函开立人依法刻制并授权用于投标保函业务的专用章的到账证明扫描件并加盖投标人单位电子印章；d.企业基本账户开户许可证或基本存款账户开户银行开具的《基本存款账户信息》扫描件并加盖投标人单位电子印章。</w:t>
      </w:r>
    </w:p>
  </w:footnote>
  <w:footnote w:id="82">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资格审查文件中已提交合法有效的授权委托书，且被授权人没有发生变化的，则投标人不需要在商务文件中再次提交授权委托书，其资格审查文件中的授权委托书继续保持有效。签字和盖章要求与资格审查文件中“授权委托书”相同。</w:t>
      </w:r>
    </w:p>
  </w:footnote>
  <w:footnote w:id="83">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本单位正式在岗职工定义同“拟担任主要勘察人员简历表”脚注①.b款中的规定。</w:t>
      </w:r>
    </w:p>
  </w:footnote>
  <w:footnote w:id="84">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本表中的投标人勘察费投标报价金额应与“二.投标函附表”中的投标人勘察费投标报价金额相同。如勘察费投标报价采用分项报价方式的，投标人应根据招标人提供的《工程勘察分项表》进行报价，除填写投标报价外，投标人不得修改《工程勘察分项表》中的内容。</w:t>
      </w:r>
    </w:p>
  </w:footnote>
  <w:footnote w:id="85">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适用于投标报价采用分项报价方式。</w:t>
      </w:r>
    </w:p>
  </w:footnote>
  <w:footnote w:id="86">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kern w:val="2"/>
          <w:sz w:val="15"/>
          <w:szCs w:val="15"/>
          <w:highlight w:val="none"/>
          <w:lang w:eastAsia="zh-CN"/>
          <w14:textFill>
            <w14:solidFill>
              <w14:schemeClr w14:val="tx1"/>
            </w14:solidFill>
          </w14:textFill>
        </w:rPr>
      </w:pPr>
      <w:r>
        <w:rPr>
          <w:rFonts w:hint="eastAsia" w:ascii="宋体" w:hAnsi="宋体" w:eastAsia="宋体" w:cs="宋体"/>
          <w:color w:val="000000" w:themeColor="text1"/>
          <w:kern w:val="2"/>
          <w:sz w:val="15"/>
          <w:szCs w:val="15"/>
          <w:highlight w:val="none"/>
          <w14:textFill>
            <w14:solidFill>
              <w14:schemeClr w14:val="tx1"/>
            </w14:solidFill>
          </w14:textFill>
        </w:rPr>
        <w:footnoteRef/>
      </w:r>
      <w:r>
        <w:rPr>
          <w:rFonts w:hint="eastAsia" w:ascii="宋体" w:hAnsi="宋体" w:eastAsia="宋体" w:cs="宋体"/>
          <w:color w:val="000000" w:themeColor="text1"/>
          <w:kern w:val="2"/>
          <w:sz w:val="15"/>
          <w:szCs w:val="15"/>
          <w:highlight w:val="none"/>
          <w14:textFill>
            <w14:solidFill>
              <w14:schemeClr w14:val="tx1"/>
            </w14:solidFill>
          </w14:textFill>
        </w:rPr>
        <w:t>根据招标文件的要求和投标人认为需要提供的资料，在此处自行列编</w:t>
      </w:r>
      <w:r>
        <w:rPr>
          <w:rFonts w:hint="eastAsia" w:ascii="宋体" w:hAnsi="宋体" w:eastAsia="宋体" w:cs="宋体"/>
          <w:color w:val="000000" w:themeColor="text1"/>
          <w:kern w:val="2"/>
          <w:sz w:val="15"/>
          <w:szCs w:val="15"/>
          <w:highlight w:val="none"/>
          <w:lang w:eastAsia="zh-CN"/>
          <w14:textFill>
            <w14:solidFill>
              <w14:schemeClr w14:val="tx1"/>
            </w14:solidFill>
          </w14:textFill>
        </w:rPr>
        <w:t>。</w:t>
      </w:r>
    </w:p>
  </w:footnote>
  <w:footnote w:id="87">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投标人针对每一项信用子要素需分别单独编制情况表。</w:t>
      </w:r>
    </w:p>
  </w:footnote>
  <w:footnote w:id="88">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此处由投标人根据招标文件第四章</w:t>
      </w:r>
      <w:r>
        <w:rPr>
          <w:rFonts w:hint="eastAsia" w:ascii="宋体" w:hAnsi="宋体" w:eastAsia="宋体" w:cs="宋体"/>
          <w:b/>
          <w:color w:val="000000" w:themeColor="text1"/>
          <w:sz w:val="15"/>
          <w:szCs w:val="15"/>
          <w:highlight w:val="none"/>
          <w:lang w:eastAsia="zh-CN"/>
          <w14:textFill>
            <w14:solidFill>
              <w14:schemeClr w14:val="tx1"/>
            </w14:solidFill>
          </w14:textFill>
        </w:rPr>
        <w:t>定标方案</w:t>
      </w:r>
      <w:r>
        <w:rPr>
          <w:rFonts w:hint="eastAsia" w:ascii="宋体" w:hAnsi="宋体" w:eastAsia="宋体" w:cs="宋体"/>
          <w:b/>
          <w:color w:val="000000" w:themeColor="text1"/>
          <w:sz w:val="15"/>
          <w:szCs w:val="15"/>
          <w:highlight w:val="none"/>
          <w14:textFill>
            <w14:solidFill>
              <w14:schemeClr w14:val="tx1"/>
            </w14:solidFill>
          </w14:textFill>
        </w:rPr>
        <w:t>规定的定标要素中的信用要素填入相应的子要素。</w:t>
      </w:r>
    </w:p>
  </w:footnote>
  <w:footnote w:id="89">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投标人针对每一项子要素需分别单独编制情况表。</w:t>
      </w:r>
    </w:p>
  </w:footnote>
  <w:footnote w:id="90">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此处由投标人根据招标文件第四章</w:t>
      </w:r>
      <w:r>
        <w:rPr>
          <w:rFonts w:hint="eastAsia" w:ascii="宋体" w:hAnsi="宋体" w:eastAsia="宋体" w:cs="宋体"/>
          <w:b/>
          <w:color w:val="000000" w:themeColor="text1"/>
          <w:sz w:val="15"/>
          <w:szCs w:val="15"/>
          <w:highlight w:val="none"/>
          <w:lang w:eastAsia="zh-CN"/>
          <w14:textFill>
            <w14:solidFill>
              <w14:schemeClr w14:val="tx1"/>
            </w14:solidFill>
          </w14:textFill>
        </w:rPr>
        <w:t>定标方案</w:t>
      </w:r>
      <w:r>
        <w:rPr>
          <w:rFonts w:hint="eastAsia" w:ascii="宋体" w:hAnsi="宋体" w:eastAsia="宋体" w:cs="宋体"/>
          <w:b/>
          <w:color w:val="000000" w:themeColor="text1"/>
          <w:sz w:val="15"/>
          <w:szCs w:val="15"/>
          <w:highlight w:val="none"/>
          <w14:textFill>
            <w14:solidFill>
              <w14:schemeClr w14:val="tx1"/>
            </w14:solidFill>
          </w14:textFill>
        </w:rPr>
        <w:t>规定的定标要素中的实力要素填入相应的子要素。</w:t>
      </w:r>
    </w:p>
  </w:footnote>
  <w:footnote w:id="91">
    <w:p>
      <w:pPr>
        <w:pStyle w:val="33"/>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footnoteRef/>
      </w:r>
      <w:r>
        <w:rPr>
          <w:rFonts w:hint="eastAsia" w:ascii="宋体" w:hAnsi="宋体" w:eastAsia="宋体" w:cs="宋体"/>
          <w:b/>
          <w:color w:val="000000" w:themeColor="text1"/>
          <w:sz w:val="15"/>
          <w:szCs w:val="15"/>
          <w:highlight w:val="none"/>
          <w14:textFill>
            <w14:solidFill>
              <w14:schemeClr w14:val="tx1"/>
            </w14:solidFill>
          </w14:textFill>
        </w:rPr>
        <w:t>a.技术文件内容应根据第三章第二节“评标办法前附表”第3项“技术文件详细评审标准”提出的评审子目进行编制。</w:t>
      </w:r>
    </w:p>
    <w:p>
      <w:pPr>
        <w:pStyle w:val="33"/>
        <w:keepNext w:val="0"/>
        <w:keepLines w:val="0"/>
        <w:pageBreakBefore w:val="0"/>
        <w:widowControl w:val="0"/>
        <w:kinsoku/>
        <w:wordWrap/>
        <w:overflowPunct/>
        <w:topLinePunct w:val="0"/>
        <w:autoSpaceDE/>
        <w:autoSpaceDN/>
        <w:bidi w:val="0"/>
        <w:adjustRightInd w:val="0"/>
        <w:snapToGrid w:val="0"/>
        <w:spacing w:line="200" w:lineRule="exact"/>
        <w:ind w:firstLine="226" w:firstLineChars="150"/>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b.技术文件（勘察纲要）采用暗标形式递交，不得体现投标人名称、具体人名，不得体现投标人承担过的工程项目名称，不得体现其他可以判定投标人的标识或文字。</w:t>
      </w:r>
    </w:p>
    <w:p>
      <w:pPr>
        <w:pStyle w:val="33"/>
        <w:keepNext w:val="0"/>
        <w:keepLines w:val="0"/>
        <w:pageBreakBefore w:val="0"/>
        <w:widowControl w:val="0"/>
        <w:kinsoku/>
        <w:wordWrap/>
        <w:overflowPunct/>
        <w:topLinePunct w:val="0"/>
        <w:autoSpaceDE/>
        <w:autoSpaceDN/>
        <w:bidi w:val="0"/>
        <w:adjustRightInd w:val="0"/>
        <w:snapToGrid w:val="0"/>
        <w:spacing w:line="200" w:lineRule="exact"/>
        <w:ind w:firstLine="226" w:firstLineChars="150"/>
        <w:textAlignment w:val="baseline"/>
        <w:rPr>
          <w:rFonts w:hint="eastAsia" w:ascii="宋体" w:hAnsi="宋体" w:eastAsia="宋体" w:cs="宋体"/>
          <w:b/>
          <w:color w:val="000000" w:themeColor="text1"/>
          <w:sz w:val="15"/>
          <w:szCs w:val="15"/>
          <w:highlight w:val="none"/>
          <w14:textFill>
            <w14:solidFill>
              <w14:schemeClr w14:val="tx1"/>
            </w14:solidFill>
          </w14:textFill>
        </w:rPr>
      </w:pPr>
      <w:r>
        <w:rPr>
          <w:rFonts w:hint="eastAsia" w:ascii="宋体" w:hAnsi="宋体" w:eastAsia="宋体" w:cs="宋体"/>
          <w:b/>
          <w:color w:val="000000" w:themeColor="text1"/>
          <w:sz w:val="15"/>
          <w:szCs w:val="15"/>
          <w:highlight w:val="none"/>
          <w14:textFill>
            <w14:solidFill>
              <w14:schemeClr w14:val="tx1"/>
            </w14:solidFill>
          </w14:textFill>
        </w:rPr>
        <w:t>c.技术文件（勘察纲要）应控制在150页内（包含封面和目录）。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A8567"/>
    <w:multiLevelType w:val="singleLevel"/>
    <w:tmpl w:val="B16A8567"/>
    <w:lvl w:ilvl="0" w:tentative="0">
      <w:start w:val="2"/>
      <w:numFmt w:val="chineseCounting"/>
      <w:suff w:val="nothing"/>
      <w:lvlText w:val="%1、"/>
      <w:lvlJc w:val="left"/>
      <w:rPr>
        <w:rFonts w:hint="eastAsia"/>
      </w:rPr>
    </w:lvl>
  </w:abstractNum>
  <w:abstractNum w:abstractNumId="1">
    <w:nsid w:val="CC1B2CE9"/>
    <w:multiLevelType w:val="singleLevel"/>
    <w:tmpl w:val="CC1B2CE9"/>
    <w:lvl w:ilvl="0" w:tentative="0">
      <w:start w:val="1"/>
      <w:numFmt w:val="decimal"/>
      <w:suff w:val="nothing"/>
      <w:lvlText w:val="（%1）"/>
      <w:lvlJc w:val="left"/>
    </w:lvl>
  </w:abstractNum>
  <w:abstractNum w:abstractNumId="2">
    <w:nsid w:val="6B0F5AB8"/>
    <w:multiLevelType w:val="multilevel"/>
    <w:tmpl w:val="6B0F5AB8"/>
    <w:lvl w:ilvl="0" w:tentative="0">
      <w:start w:val="1"/>
      <w:numFmt w:val="decimal"/>
      <w:lvlText w:val="%1."/>
      <w:lvlJc w:val="left"/>
      <w:pPr>
        <w:tabs>
          <w:tab w:val="left" w:pos="0"/>
        </w:tabs>
        <w:ind w:left="0" w:firstLine="0"/>
      </w:pPr>
      <w:rPr>
        <w:rFonts w:hint="eastAsia"/>
        <w:sz w:val="28"/>
        <w:szCs w:val="28"/>
      </w:rPr>
    </w:lvl>
    <w:lvl w:ilvl="1" w:tentative="0">
      <w:start w:val="1"/>
      <w:numFmt w:val="decimal"/>
      <w:lvlText w:val="%1.%2."/>
      <w:lvlJc w:val="left"/>
      <w:pPr>
        <w:tabs>
          <w:tab w:val="left" w:pos="625"/>
        </w:tabs>
        <w:ind w:left="58" w:firstLine="510"/>
      </w:pPr>
      <w:rPr>
        <w:rFonts w:hint="eastAsia"/>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revisionView w:markup="0"/>
  <w:documentProtection w:enforcement="0"/>
  <w:defaultTabStop w:val="420"/>
  <w:drawingGridHorizontalSpacing w:val="101"/>
  <w:drawingGridVerticalSpacing w:val="159"/>
  <w:displayHorizontalDrawingGridEvery w:val="2"/>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DMwNDkzNjhmMjEwYjhlYmZjOTAyZjBlZjY1NjMifQ=="/>
  </w:docVars>
  <w:rsids>
    <w:rsidRoot w:val="00ED672C"/>
    <w:rsid w:val="00000196"/>
    <w:rsid w:val="00000426"/>
    <w:rsid w:val="000006EE"/>
    <w:rsid w:val="00002D48"/>
    <w:rsid w:val="00003558"/>
    <w:rsid w:val="000039BD"/>
    <w:rsid w:val="00004109"/>
    <w:rsid w:val="000041F9"/>
    <w:rsid w:val="00004895"/>
    <w:rsid w:val="00004BD0"/>
    <w:rsid w:val="00004C86"/>
    <w:rsid w:val="000059FE"/>
    <w:rsid w:val="00005CCF"/>
    <w:rsid w:val="000061EC"/>
    <w:rsid w:val="0000769A"/>
    <w:rsid w:val="0001016B"/>
    <w:rsid w:val="000111C1"/>
    <w:rsid w:val="00011343"/>
    <w:rsid w:val="00011599"/>
    <w:rsid w:val="000131B6"/>
    <w:rsid w:val="0001329E"/>
    <w:rsid w:val="0001408C"/>
    <w:rsid w:val="00014710"/>
    <w:rsid w:val="00014B30"/>
    <w:rsid w:val="00015299"/>
    <w:rsid w:val="00015333"/>
    <w:rsid w:val="00015645"/>
    <w:rsid w:val="000156F4"/>
    <w:rsid w:val="00016655"/>
    <w:rsid w:val="00016E0B"/>
    <w:rsid w:val="0001743D"/>
    <w:rsid w:val="0001786C"/>
    <w:rsid w:val="00017C62"/>
    <w:rsid w:val="00017D1A"/>
    <w:rsid w:val="00020204"/>
    <w:rsid w:val="0002038C"/>
    <w:rsid w:val="0002144B"/>
    <w:rsid w:val="0002176A"/>
    <w:rsid w:val="00021CF7"/>
    <w:rsid w:val="00022BF2"/>
    <w:rsid w:val="00022F07"/>
    <w:rsid w:val="000233C4"/>
    <w:rsid w:val="00023FEC"/>
    <w:rsid w:val="000248F2"/>
    <w:rsid w:val="00025004"/>
    <w:rsid w:val="0002504E"/>
    <w:rsid w:val="000255D4"/>
    <w:rsid w:val="00025705"/>
    <w:rsid w:val="000259F0"/>
    <w:rsid w:val="00026345"/>
    <w:rsid w:val="0002674E"/>
    <w:rsid w:val="00026873"/>
    <w:rsid w:val="00026AB8"/>
    <w:rsid w:val="00027308"/>
    <w:rsid w:val="00027594"/>
    <w:rsid w:val="000276AC"/>
    <w:rsid w:val="00027DC1"/>
    <w:rsid w:val="00030DE4"/>
    <w:rsid w:val="00031FAA"/>
    <w:rsid w:val="00032835"/>
    <w:rsid w:val="00032872"/>
    <w:rsid w:val="00032E25"/>
    <w:rsid w:val="00033317"/>
    <w:rsid w:val="00033930"/>
    <w:rsid w:val="00033E58"/>
    <w:rsid w:val="00034250"/>
    <w:rsid w:val="000345CC"/>
    <w:rsid w:val="000347DD"/>
    <w:rsid w:val="000348E5"/>
    <w:rsid w:val="00034A7C"/>
    <w:rsid w:val="000350EC"/>
    <w:rsid w:val="00035F3B"/>
    <w:rsid w:val="00035FAE"/>
    <w:rsid w:val="00036FB8"/>
    <w:rsid w:val="00037159"/>
    <w:rsid w:val="0003723B"/>
    <w:rsid w:val="0003773C"/>
    <w:rsid w:val="00037B2A"/>
    <w:rsid w:val="000413D0"/>
    <w:rsid w:val="00041810"/>
    <w:rsid w:val="00041851"/>
    <w:rsid w:val="00041B7D"/>
    <w:rsid w:val="00042784"/>
    <w:rsid w:val="00044AE3"/>
    <w:rsid w:val="00044FEA"/>
    <w:rsid w:val="000456DF"/>
    <w:rsid w:val="0004580D"/>
    <w:rsid w:val="00045AA0"/>
    <w:rsid w:val="00045F1E"/>
    <w:rsid w:val="0004669F"/>
    <w:rsid w:val="00046889"/>
    <w:rsid w:val="000468A8"/>
    <w:rsid w:val="00047113"/>
    <w:rsid w:val="00047761"/>
    <w:rsid w:val="000479F4"/>
    <w:rsid w:val="00050917"/>
    <w:rsid w:val="00053FF3"/>
    <w:rsid w:val="000550AF"/>
    <w:rsid w:val="00055583"/>
    <w:rsid w:val="00055D07"/>
    <w:rsid w:val="00055F9E"/>
    <w:rsid w:val="000561F4"/>
    <w:rsid w:val="000567BE"/>
    <w:rsid w:val="00056866"/>
    <w:rsid w:val="0006047A"/>
    <w:rsid w:val="000605C4"/>
    <w:rsid w:val="00061012"/>
    <w:rsid w:val="00061B00"/>
    <w:rsid w:val="00061BA1"/>
    <w:rsid w:val="00061BBD"/>
    <w:rsid w:val="000621AF"/>
    <w:rsid w:val="00062A93"/>
    <w:rsid w:val="00062D1D"/>
    <w:rsid w:val="000630C6"/>
    <w:rsid w:val="0006410C"/>
    <w:rsid w:val="00065126"/>
    <w:rsid w:val="00065744"/>
    <w:rsid w:val="00065D7C"/>
    <w:rsid w:val="000660F3"/>
    <w:rsid w:val="000706A6"/>
    <w:rsid w:val="00070943"/>
    <w:rsid w:val="000711A9"/>
    <w:rsid w:val="00072291"/>
    <w:rsid w:val="000743F2"/>
    <w:rsid w:val="00074667"/>
    <w:rsid w:val="000748B9"/>
    <w:rsid w:val="00074FDC"/>
    <w:rsid w:val="0007549A"/>
    <w:rsid w:val="00075821"/>
    <w:rsid w:val="00075923"/>
    <w:rsid w:val="00075AC7"/>
    <w:rsid w:val="00076E98"/>
    <w:rsid w:val="00076F2E"/>
    <w:rsid w:val="000778D6"/>
    <w:rsid w:val="00077B5E"/>
    <w:rsid w:val="00080440"/>
    <w:rsid w:val="00080E25"/>
    <w:rsid w:val="00081B91"/>
    <w:rsid w:val="00081BD4"/>
    <w:rsid w:val="00081D74"/>
    <w:rsid w:val="00081E3C"/>
    <w:rsid w:val="000827AD"/>
    <w:rsid w:val="000847DF"/>
    <w:rsid w:val="00085613"/>
    <w:rsid w:val="00086053"/>
    <w:rsid w:val="00086103"/>
    <w:rsid w:val="00087124"/>
    <w:rsid w:val="000876B1"/>
    <w:rsid w:val="00090DDD"/>
    <w:rsid w:val="00090E60"/>
    <w:rsid w:val="0009165E"/>
    <w:rsid w:val="000929C2"/>
    <w:rsid w:val="00092AE4"/>
    <w:rsid w:val="00092B74"/>
    <w:rsid w:val="00093D72"/>
    <w:rsid w:val="000947BC"/>
    <w:rsid w:val="00095A01"/>
    <w:rsid w:val="00096A70"/>
    <w:rsid w:val="00096D1E"/>
    <w:rsid w:val="00096E6B"/>
    <w:rsid w:val="000971A9"/>
    <w:rsid w:val="000975B0"/>
    <w:rsid w:val="0009794E"/>
    <w:rsid w:val="00097BE9"/>
    <w:rsid w:val="000A0034"/>
    <w:rsid w:val="000A018F"/>
    <w:rsid w:val="000A0663"/>
    <w:rsid w:val="000A0A75"/>
    <w:rsid w:val="000A1563"/>
    <w:rsid w:val="000A1852"/>
    <w:rsid w:val="000A1F33"/>
    <w:rsid w:val="000A2FA0"/>
    <w:rsid w:val="000A3753"/>
    <w:rsid w:val="000A39DC"/>
    <w:rsid w:val="000A3EBD"/>
    <w:rsid w:val="000A4AFD"/>
    <w:rsid w:val="000A5D59"/>
    <w:rsid w:val="000A642B"/>
    <w:rsid w:val="000A64CA"/>
    <w:rsid w:val="000A706C"/>
    <w:rsid w:val="000A7995"/>
    <w:rsid w:val="000A7D6D"/>
    <w:rsid w:val="000B00E1"/>
    <w:rsid w:val="000B05BD"/>
    <w:rsid w:val="000B075A"/>
    <w:rsid w:val="000B11DD"/>
    <w:rsid w:val="000B1B42"/>
    <w:rsid w:val="000B1BEF"/>
    <w:rsid w:val="000B2C1F"/>
    <w:rsid w:val="000B3556"/>
    <w:rsid w:val="000B37FF"/>
    <w:rsid w:val="000B3AFB"/>
    <w:rsid w:val="000B4394"/>
    <w:rsid w:val="000B4412"/>
    <w:rsid w:val="000B5775"/>
    <w:rsid w:val="000B7300"/>
    <w:rsid w:val="000C1767"/>
    <w:rsid w:val="000C1DE7"/>
    <w:rsid w:val="000C2CFB"/>
    <w:rsid w:val="000C36E7"/>
    <w:rsid w:val="000C3BE8"/>
    <w:rsid w:val="000C3C64"/>
    <w:rsid w:val="000C4493"/>
    <w:rsid w:val="000C4599"/>
    <w:rsid w:val="000C52E3"/>
    <w:rsid w:val="000C5934"/>
    <w:rsid w:val="000C5B9B"/>
    <w:rsid w:val="000C6059"/>
    <w:rsid w:val="000C61F8"/>
    <w:rsid w:val="000C74AD"/>
    <w:rsid w:val="000D0529"/>
    <w:rsid w:val="000D09D0"/>
    <w:rsid w:val="000D0BB0"/>
    <w:rsid w:val="000D0D91"/>
    <w:rsid w:val="000D0E79"/>
    <w:rsid w:val="000D189A"/>
    <w:rsid w:val="000D2004"/>
    <w:rsid w:val="000D296E"/>
    <w:rsid w:val="000D2DAE"/>
    <w:rsid w:val="000D3AF6"/>
    <w:rsid w:val="000D3D56"/>
    <w:rsid w:val="000D4553"/>
    <w:rsid w:val="000D49CD"/>
    <w:rsid w:val="000D4EC4"/>
    <w:rsid w:val="000D53F7"/>
    <w:rsid w:val="000D5A8B"/>
    <w:rsid w:val="000D5C9F"/>
    <w:rsid w:val="000D67B4"/>
    <w:rsid w:val="000D6D60"/>
    <w:rsid w:val="000D741F"/>
    <w:rsid w:val="000D7758"/>
    <w:rsid w:val="000D78F3"/>
    <w:rsid w:val="000D7DB9"/>
    <w:rsid w:val="000D7FE5"/>
    <w:rsid w:val="000E0C60"/>
    <w:rsid w:val="000E1D78"/>
    <w:rsid w:val="000E2042"/>
    <w:rsid w:val="000E3285"/>
    <w:rsid w:val="000E36B5"/>
    <w:rsid w:val="000E405C"/>
    <w:rsid w:val="000E4D1C"/>
    <w:rsid w:val="000E523A"/>
    <w:rsid w:val="000E591E"/>
    <w:rsid w:val="000E6FC3"/>
    <w:rsid w:val="000E7880"/>
    <w:rsid w:val="000F000D"/>
    <w:rsid w:val="000F05FA"/>
    <w:rsid w:val="000F07C0"/>
    <w:rsid w:val="000F12F0"/>
    <w:rsid w:val="000F1AA7"/>
    <w:rsid w:val="000F1BAD"/>
    <w:rsid w:val="000F33D1"/>
    <w:rsid w:val="000F3B6E"/>
    <w:rsid w:val="000F3C0F"/>
    <w:rsid w:val="000F3D98"/>
    <w:rsid w:val="000F40FF"/>
    <w:rsid w:val="000F4B43"/>
    <w:rsid w:val="000F4ECD"/>
    <w:rsid w:val="000F505D"/>
    <w:rsid w:val="000F53BD"/>
    <w:rsid w:val="000F6984"/>
    <w:rsid w:val="000F6B75"/>
    <w:rsid w:val="000F7C52"/>
    <w:rsid w:val="000F7DF3"/>
    <w:rsid w:val="001002AE"/>
    <w:rsid w:val="001002E7"/>
    <w:rsid w:val="00101052"/>
    <w:rsid w:val="0010184A"/>
    <w:rsid w:val="00101CA2"/>
    <w:rsid w:val="00101E4F"/>
    <w:rsid w:val="00102846"/>
    <w:rsid w:val="00104543"/>
    <w:rsid w:val="001057CA"/>
    <w:rsid w:val="00105974"/>
    <w:rsid w:val="001060CB"/>
    <w:rsid w:val="00106AF8"/>
    <w:rsid w:val="00107157"/>
    <w:rsid w:val="00107699"/>
    <w:rsid w:val="00107829"/>
    <w:rsid w:val="00111628"/>
    <w:rsid w:val="00111946"/>
    <w:rsid w:val="00112129"/>
    <w:rsid w:val="00113DB2"/>
    <w:rsid w:val="001143E4"/>
    <w:rsid w:val="001147A5"/>
    <w:rsid w:val="00114E30"/>
    <w:rsid w:val="00116D1D"/>
    <w:rsid w:val="00117283"/>
    <w:rsid w:val="00117A01"/>
    <w:rsid w:val="0012083F"/>
    <w:rsid w:val="0012105A"/>
    <w:rsid w:val="001211A2"/>
    <w:rsid w:val="00121533"/>
    <w:rsid w:val="00121854"/>
    <w:rsid w:val="00121906"/>
    <w:rsid w:val="00121928"/>
    <w:rsid w:val="00121B5D"/>
    <w:rsid w:val="00121DBB"/>
    <w:rsid w:val="00122714"/>
    <w:rsid w:val="0012339D"/>
    <w:rsid w:val="00124D57"/>
    <w:rsid w:val="001263F3"/>
    <w:rsid w:val="001266DC"/>
    <w:rsid w:val="00126E28"/>
    <w:rsid w:val="00127060"/>
    <w:rsid w:val="0012793E"/>
    <w:rsid w:val="00131B2D"/>
    <w:rsid w:val="00131C01"/>
    <w:rsid w:val="001321F1"/>
    <w:rsid w:val="001323FB"/>
    <w:rsid w:val="00135174"/>
    <w:rsid w:val="0013529D"/>
    <w:rsid w:val="001357D3"/>
    <w:rsid w:val="0013589B"/>
    <w:rsid w:val="00135E6B"/>
    <w:rsid w:val="00136378"/>
    <w:rsid w:val="00136A5A"/>
    <w:rsid w:val="00136F41"/>
    <w:rsid w:val="0013795B"/>
    <w:rsid w:val="00137AAA"/>
    <w:rsid w:val="001400FD"/>
    <w:rsid w:val="00140129"/>
    <w:rsid w:val="00140F4E"/>
    <w:rsid w:val="00141082"/>
    <w:rsid w:val="001410F8"/>
    <w:rsid w:val="0014179F"/>
    <w:rsid w:val="001425F4"/>
    <w:rsid w:val="0014276F"/>
    <w:rsid w:val="001435EF"/>
    <w:rsid w:val="00143E76"/>
    <w:rsid w:val="00143EA1"/>
    <w:rsid w:val="001455A9"/>
    <w:rsid w:val="001455FA"/>
    <w:rsid w:val="00145ACE"/>
    <w:rsid w:val="00145FF5"/>
    <w:rsid w:val="0014662C"/>
    <w:rsid w:val="001467A4"/>
    <w:rsid w:val="00146F72"/>
    <w:rsid w:val="00147E52"/>
    <w:rsid w:val="00150BE4"/>
    <w:rsid w:val="00150EE6"/>
    <w:rsid w:val="001510D3"/>
    <w:rsid w:val="001516F4"/>
    <w:rsid w:val="00151895"/>
    <w:rsid w:val="001524D3"/>
    <w:rsid w:val="00152C64"/>
    <w:rsid w:val="00153376"/>
    <w:rsid w:val="00154DB5"/>
    <w:rsid w:val="00156215"/>
    <w:rsid w:val="001563F6"/>
    <w:rsid w:val="0015649B"/>
    <w:rsid w:val="00156E5E"/>
    <w:rsid w:val="00157025"/>
    <w:rsid w:val="0015794C"/>
    <w:rsid w:val="0016020F"/>
    <w:rsid w:val="001602A6"/>
    <w:rsid w:val="00160783"/>
    <w:rsid w:val="001608B4"/>
    <w:rsid w:val="001608C7"/>
    <w:rsid w:val="00161DC3"/>
    <w:rsid w:val="00162434"/>
    <w:rsid w:val="001625EE"/>
    <w:rsid w:val="0016285F"/>
    <w:rsid w:val="001646F9"/>
    <w:rsid w:val="00164802"/>
    <w:rsid w:val="00167713"/>
    <w:rsid w:val="00167A4F"/>
    <w:rsid w:val="00170A3C"/>
    <w:rsid w:val="00170CCA"/>
    <w:rsid w:val="00170F62"/>
    <w:rsid w:val="0017150A"/>
    <w:rsid w:val="001735C5"/>
    <w:rsid w:val="00173C00"/>
    <w:rsid w:val="00173E07"/>
    <w:rsid w:val="0017412E"/>
    <w:rsid w:val="00174240"/>
    <w:rsid w:val="0017470F"/>
    <w:rsid w:val="00174D1C"/>
    <w:rsid w:val="00174D41"/>
    <w:rsid w:val="001757D5"/>
    <w:rsid w:val="00175AE2"/>
    <w:rsid w:val="00175D8D"/>
    <w:rsid w:val="00176055"/>
    <w:rsid w:val="00176144"/>
    <w:rsid w:val="001764BC"/>
    <w:rsid w:val="00176D7C"/>
    <w:rsid w:val="001771F3"/>
    <w:rsid w:val="001772F5"/>
    <w:rsid w:val="001800D0"/>
    <w:rsid w:val="001806CA"/>
    <w:rsid w:val="001828A3"/>
    <w:rsid w:val="001829D6"/>
    <w:rsid w:val="00182B63"/>
    <w:rsid w:val="00182BF3"/>
    <w:rsid w:val="0018317D"/>
    <w:rsid w:val="00183BA2"/>
    <w:rsid w:val="00183C09"/>
    <w:rsid w:val="0018408B"/>
    <w:rsid w:val="001840E5"/>
    <w:rsid w:val="00184CD2"/>
    <w:rsid w:val="00184DD2"/>
    <w:rsid w:val="001850D0"/>
    <w:rsid w:val="00185135"/>
    <w:rsid w:val="001853D5"/>
    <w:rsid w:val="00186016"/>
    <w:rsid w:val="0018705F"/>
    <w:rsid w:val="00187584"/>
    <w:rsid w:val="00187934"/>
    <w:rsid w:val="00187AAA"/>
    <w:rsid w:val="00191017"/>
    <w:rsid w:val="00191256"/>
    <w:rsid w:val="001916CB"/>
    <w:rsid w:val="00191E14"/>
    <w:rsid w:val="00194900"/>
    <w:rsid w:val="00195509"/>
    <w:rsid w:val="0019565B"/>
    <w:rsid w:val="001965A3"/>
    <w:rsid w:val="00196ED7"/>
    <w:rsid w:val="001972CA"/>
    <w:rsid w:val="0019731A"/>
    <w:rsid w:val="00197695"/>
    <w:rsid w:val="00197CD5"/>
    <w:rsid w:val="001A02E6"/>
    <w:rsid w:val="001A0979"/>
    <w:rsid w:val="001A11A3"/>
    <w:rsid w:val="001A2253"/>
    <w:rsid w:val="001A2DFA"/>
    <w:rsid w:val="001A33EA"/>
    <w:rsid w:val="001A3A24"/>
    <w:rsid w:val="001A3BFC"/>
    <w:rsid w:val="001A3EC2"/>
    <w:rsid w:val="001A4712"/>
    <w:rsid w:val="001A5631"/>
    <w:rsid w:val="001A5998"/>
    <w:rsid w:val="001A6804"/>
    <w:rsid w:val="001A6897"/>
    <w:rsid w:val="001B1BE7"/>
    <w:rsid w:val="001B1FB4"/>
    <w:rsid w:val="001B219F"/>
    <w:rsid w:val="001B28CE"/>
    <w:rsid w:val="001B4246"/>
    <w:rsid w:val="001B520C"/>
    <w:rsid w:val="001B536A"/>
    <w:rsid w:val="001B64F1"/>
    <w:rsid w:val="001B6989"/>
    <w:rsid w:val="001B6DDA"/>
    <w:rsid w:val="001B7ED2"/>
    <w:rsid w:val="001C016E"/>
    <w:rsid w:val="001C0BD1"/>
    <w:rsid w:val="001C0F74"/>
    <w:rsid w:val="001C1DB1"/>
    <w:rsid w:val="001C431B"/>
    <w:rsid w:val="001C5590"/>
    <w:rsid w:val="001C6C36"/>
    <w:rsid w:val="001C6E66"/>
    <w:rsid w:val="001D0250"/>
    <w:rsid w:val="001D059C"/>
    <w:rsid w:val="001D08B9"/>
    <w:rsid w:val="001D0939"/>
    <w:rsid w:val="001D0EC3"/>
    <w:rsid w:val="001D1841"/>
    <w:rsid w:val="001D1923"/>
    <w:rsid w:val="001D1A4A"/>
    <w:rsid w:val="001D1DBC"/>
    <w:rsid w:val="001D21BF"/>
    <w:rsid w:val="001D25D0"/>
    <w:rsid w:val="001D28C4"/>
    <w:rsid w:val="001D3464"/>
    <w:rsid w:val="001D46CF"/>
    <w:rsid w:val="001D48C2"/>
    <w:rsid w:val="001D4C3F"/>
    <w:rsid w:val="001D55CC"/>
    <w:rsid w:val="001D6302"/>
    <w:rsid w:val="001D6C5A"/>
    <w:rsid w:val="001D739C"/>
    <w:rsid w:val="001E042A"/>
    <w:rsid w:val="001E053F"/>
    <w:rsid w:val="001E17EE"/>
    <w:rsid w:val="001E1919"/>
    <w:rsid w:val="001E1C54"/>
    <w:rsid w:val="001E1D33"/>
    <w:rsid w:val="001E24F0"/>
    <w:rsid w:val="001E285D"/>
    <w:rsid w:val="001E2CE6"/>
    <w:rsid w:val="001E3AEF"/>
    <w:rsid w:val="001E4318"/>
    <w:rsid w:val="001E4443"/>
    <w:rsid w:val="001E517D"/>
    <w:rsid w:val="001E5558"/>
    <w:rsid w:val="001E6276"/>
    <w:rsid w:val="001E6B6A"/>
    <w:rsid w:val="001E7B62"/>
    <w:rsid w:val="001E7C7D"/>
    <w:rsid w:val="001E7C9A"/>
    <w:rsid w:val="001F07A9"/>
    <w:rsid w:val="001F1016"/>
    <w:rsid w:val="001F1322"/>
    <w:rsid w:val="001F2321"/>
    <w:rsid w:val="001F3379"/>
    <w:rsid w:val="001F3896"/>
    <w:rsid w:val="001F4F03"/>
    <w:rsid w:val="001F4FDE"/>
    <w:rsid w:val="001F5FC7"/>
    <w:rsid w:val="001F7B46"/>
    <w:rsid w:val="001F7E3A"/>
    <w:rsid w:val="002003CE"/>
    <w:rsid w:val="00200407"/>
    <w:rsid w:val="00200DE9"/>
    <w:rsid w:val="00202AC8"/>
    <w:rsid w:val="00203AB9"/>
    <w:rsid w:val="00203C65"/>
    <w:rsid w:val="002046BD"/>
    <w:rsid w:val="002049EE"/>
    <w:rsid w:val="00204A11"/>
    <w:rsid w:val="00205B75"/>
    <w:rsid w:val="00205C53"/>
    <w:rsid w:val="00205F2B"/>
    <w:rsid w:val="00207636"/>
    <w:rsid w:val="002076AF"/>
    <w:rsid w:val="00210ADF"/>
    <w:rsid w:val="0021133D"/>
    <w:rsid w:val="00211597"/>
    <w:rsid w:val="002115D4"/>
    <w:rsid w:val="00211A64"/>
    <w:rsid w:val="002124FE"/>
    <w:rsid w:val="0021292A"/>
    <w:rsid w:val="00212D48"/>
    <w:rsid w:val="00212EDC"/>
    <w:rsid w:val="0021329E"/>
    <w:rsid w:val="002133C6"/>
    <w:rsid w:val="002139BA"/>
    <w:rsid w:val="00213BA4"/>
    <w:rsid w:val="00213E75"/>
    <w:rsid w:val="00214C85"/>
    <w:rsid w:val="0021515B"/>
    <w:rsid w:val="002152DD"/>
    <w:rsid w:val="0021552C"/>
    <w:rsid w:val="00216477"/>
    <w:rsid w:val="002204FF"/>
    <w:rsid w:val="00220FD4"/>
    <w:rsid w:val="002215D6"/>
    <w:rsid w:val="00222203"/>
    <w:rsid w:val="00222D0D"/>
    <w:rsid w:val="00222F46"/>
    <w:rsid w:val="00224D3D"/>
    <w:rsid w:val="0022509E"/>
    <w:rsid w:val="00225F17"/>
    <w:rsid w:val="00226278"/>
    <w:rsid w:val="00226432"/>
    <w:rsid w:val="0022715F"/>
    <w:rsid w:val="00227510"/>
    <w:rsid w:val="00227967"/>
    <w:rsid w:val="0023092E"/>
    <w:rsid w:val="00230DBE"/>
    <w:rsid w:val="00230F7B"/>
    <w:rsid w:val="00231188"/>
    <w:rsid w:val="0023123F"/>
    <w:rsid w:val="00231EF4"/>
    <w:rsid w:val="00232C44"/>
    <w:rsid w:val="002340E8"/>
    <w:rsid w:val="002345DE"/>
    <w:rsid w:val="00234E02"/>
    <w:rsid w:val="0023570D"/>
    <w:rsid w:val="00235A13"/>
    <w:rsid w:val="00235BEF"/>
    <w:rsid w:val="00235DF2"/>
    <w:rsid w:val="002364B9"/>
    <w:rsid w:val="0023695C"/>
    <w:rsid w:val="00236A1E"/>
    <w:rsid w:val="00236FA1"/>
    <w:rsid w:val="002375AD"/>
    <w:rsid w:val="00237E78"/>
    <w:rsid w:val="0024048F"/>
    <w:rsid w:val="002413CE"/>
    <w:rsid w:val="00242FFC"/>
    <w:rsid w:val="002437F7"/>
    <w:rsid w:val="002453C7"/>
    <w:rsid w:val="00245916"/>
    <w:rsid w:val="00246C0F"/>
    <w:rsid w:val="00246E15"/>
    <w:rsid w:val="00246EEC"/>
    <w:rsid w:val="00247A44"/>
    <w:rsid w:val="00247DEF"/>
    <w:rsid w:val="00250C56"/>
    <w:rsid w:val="00250CD7"/>
    <w:rsid w:val="00250F32"/>
    <w:rsid w:val="00250FDB"/>
    <w:rsid w:val="0025139B"/>
    <w:rsid w:val="00251710"/>
    <w:rsid w:val="00253292"/>
    <w:rsid w:val="00253A8F"/>
    <w:rsid w:val="00253F6E"/>
    <w:rsid w:val="00253F81"/>
    <w:rsid w:val="00254040"/>
    <w:rsid w:val="00254631"/>
    <w:rsid w:val="00256072"/>
    <w:rsid w:val="00256A4F"/>
    <w:rsid w:val="00256B73"/>
    <w:rsid w:val="00256B81"/>
    <w:rsid w:val="00256DE2"/>
    <w:rsid w:val="00256E7D"/>
    <w:rsid w:val="00257C87"/>
    <w:rsid w:val="00257F58"/>
    <w:rsid w:val="002601AE"/>
    <w:rsid w:val="00260AD4"/>
    <w:rsid w:val="00261146"/>
    <w:rsid w:val="002637C4"/>
    <w:rsid w:val="00263E4C"/>
    <w:rsid w:val="00264582"/>
    <w:rsid w:val="00264AD1"/>
    <w:rsid w:val="002662C0"/>
    <w:rsid w:val="002664C9"/>
    <w:rsid w:val="00266548"/>
    <w:rsid w:val="002677AA"/>
    <w:rsid w:val="00267958"/>
    <w:rsid w:val="00267AD0"/>
    <w:rsid w:val="002700D3"/>
    <w:rsid w:val="00270AD5"/>
    <w:rsid w:val="002713DD"/>
    <w:rsid w:val="00271C8E"/>
    <w:rsid w:val="00271D28"/>
    <w:rsid w:val="0027201D"/>
    <w:rsid w:val="00272144"/>
    <w:rsid w:val="00272285"/>
    <w:rsid w:val="00272DED"/>
    <w:rsid w:val="00273741"/>
    <w:rsid w:val="00273879"/>
    <w:rsid w:val="00273E43"/>
    <w:rsid w:val="00274382"/>
    <w:rsid w:val="00274596"/>
    <w:rsid w:val="00276536"/>
    <w:rsid w:val="002776AE"/>
    <w:rsid w:val="00277E83"/>
    <w:rsid w:val="0028067D"/>
    <w:rsid w:val="002806E0"/>
    <w:rsid w:val="00280743"/>
    <w:rsid w:val="00280794"/>
    <w:rsid w:val="00280880"/>
    <w:rsid w:val="00280BD7"/>
    <w:rsid w:val="00280DC0"/>
    <w:rsid w:val="00281C6B"/>
    <w:rsid w:val="00281FD6"/>
    <w:rsid w:val="00282825"/>
    <w:rsid w:val="002833D9"/>
    <w:rsid w:val="00283679"/>
    <w:rsid w:val="00283700"/>
    <w:rsid w:val="0028392D"/>
    <w:rsid w:val="00283A3B"/>
    <w:rsid w:val="002840EF"/>
    <w:rsid w:val="00284323"/>
    <w:rsid w:val="0028468B"/>
    <w:rsid w:val="00285947"/>
    <w:rsid w:val="00285F36"/>
    <w:rsid w:val="00286585"/>
    <w:rsid w:val="0028697B"/>
    <w:rsid w:val="00287B6A"/>
    <w:rsid w:val="00290CBB"/>
    <w:rsid w:val="002923BD"/>
    <w:rsid w:val="00292D98"/>
    <w:rsid w:val="002931CD"/>
    <w:rsid w:val="00293470"/>
    <w:rsid w:val="002936B1"/>
    <w:rsid w:val="00293C33"/>
    <w:rsid w:val="00293F1F"/>
    <w:rsid w:val="00294327"/>
    <w:rsid w:val="00295E3D"/>
    <w:rsid w:val="00296376"/>
    <w:rsid w:val="00297943"/>
    <w:rsid w:val="00297EF2"/>
    <w:rsid w:val="002A0270"/>
    <w:rsid w:val="002A1147"/>
    <w:rsid w:val="002A1537"/>
    <w:rsid w:val="002A247C"/>
    <w:rsid w:val="002A32F9"/>
    <w:rsid w:val="002A344E"/>
    <w:rsid w:val="002A3958"/>
    <w:rsid w:val="002A4135"/>
    <w:rsid w:val="002A6061"/>
    <w:rsid w:val="002A6AF2"/>
    <w:rsid w:val="002A6D4B"/>
    <w:rsid w:val="002A71BF"/>
    <w:rsid w:val="002B045B"/>
    <w:rsid w:val="002B06DF"/>
    <w:rsid w:val="002B0C60"/>
    <w:rsid w:val="002B0C61"/>
    <w:rsid w:val="002B0F98"/>
    <w:rsid w:val="002B1C47"/>
    <w:rsid w:val="002B1DF6"/>
    <w:rsid w:val="002B2AF2"/>
    <w:rsid w:val="002B31C8"/>
    <w:rsid w:val="002B3426"/>
    <w:rsid w:val="002B3B53"/>
    <w:rsid w:val="002B47AA"/>
    <w:rsid w:val="002B4AD2"/>
    <w:rsid w:val="002B5542"/>
    <w:rsid w:val="002B56A6"/>
    <w:rsid w:val="002B78C2"/>
    <w:rsid w:val="002B7C5D"/>
    <w:rsid w:val="002B7E25"/>
    <w:rsid w:val="002B7F8D"/>
    <w:rsid w:val="002C032E"/>
    <w:rsid w:val="002C0544"/>
    <w:rsid w:val="002C0E32"/>
    <w:rsid w:val="002C0F22"/>
    <w:rsid w:val="002C1AB6"/>
    <w:rsid w:val="002C1B70"/>
    <w:rsid w:val="002C1F7C"/>
    <w:rsid w:val="002C249D"/>
    <w:rsid w:val="002C30AC"/>
    <w:rsid w:val="002C39DE"/>
    <w:rsid w:val="002C4D84"/>
    <w:rsid w:val="002C5727"/>
    <w:rsid w:val="002C5B7F"/>
    <w:rsid w:val="002C6E46"/>
    <w:rsid w:val="002C7E8F"/>
    <w:rsid w:val="002D1542"/>
    <w:rsid w:val="002D1AD0"/>
    <w:rsid w:val="002D26C9"/>
    <w:rsid w:val="002D3557"/>
    <w:rsid w:val="002D4737"/>
    <w:rsid w:val="002D4A4D"/>
    <w:rsid w:val="002D4A70"/>
    <w:rsid w:val="002D574B"/>
    <w:rsid w:val="002D5CE0"/>
    <w:rsid w:val="002D68D4"/>
    <w:rsid w:val="002D73BC"/>
    <w:rsid w:val="002D7620"/>
    <w:rsid w:val="002D798A"/>
    <w:rsid w:val="002D7997"/>
    <w:rsid w:val="002E0113"/>
    <w:rsid w:val="002E0270"/>
    <w:rsid w:val="002E069D"/>
    <w:rsid w:val="002E091A"/>
    <w:rsid w:val="002E109C"/>
    <w:rsid w:val="002E11DA"/>
    <w:rsid w:val="002E1AEA"/>
    <w:rsid w:val="002E1BEE"/>
    <w:rsid w:val="002E213F"/>
    <w:rsid w:val="002E2F45"/>
    <w:rsid w:val="002E4C70"/>
    <w:rsid w:val="002E4E48"/>
    <w:rsid w:val="002E576E"/>
    <w:rsid w:val="002E5F82"/>
    <w:rsid w:val="002E6469"/>
    <w:rsid w:val="002E6970"/>
    <w:rsid w:val="002E6AD9"/>
    <w:rsid w:val="002E782E"/>
    <w:rsid w:val="002E7992"/>
    <w:rsid w:val="002F06D9"/>
    <w:rsid w:val="002F0E94"/>
    <w:rsid w:val="002F1482"/>
    <w:rsid w:val="002F1B76"/>
    <w:rsid w:val="002F1DB1"/>
    <w:rsid w:val="002F1E00"/>
    <w:rsid w:val="002F20D4"/>
    <w:rsid w:val="002F2219"/>
    <w:rsid w:val="002F2ADC"/>
    <w:rsid w:val="002F3DA4"/>
    <w:rsid w:val="002F40DD"/>
    <w:rsid w:val="002F4537"/>
    <w:rsid w:val="002F55EA"/>
    <w:rsid w:val="002F70ED"/>
    <w:rsid w:val="002F789B"/>
    <w:rsid w:val="002F7941"/>
    <w:rsid w:val="003018BB"/>
    <w:rsid w:val="00301F54"/>
    <w:rsid w:val="00302A7F"/>
    <w:rsid w:val="00302D23"/>
    <w:rsid w:val="003035D3"/>
    <w:rsid w:val="003049EA"/>
    <w:rsid w:val="00306B14"/>
    <w:rsid w:val="00306EA8"/>
    <w:rsid w:val="00307436"/>
    <w:rsid w:val="00307597"/>
    <w:rsid w:val="003076CB"/>
    <w:rsid w:val="00307C69"/>
    <w:rsid w:val="00307CC7"/>
    <w:rsid w:val="003101D2"/>
    <w:rsid w:val="00310297"/>
    <w:rsid w:val="00310C15"/>
    <w:rsid w:val="00311307"/>
    <w:rsid w:val="00311461"/>
    <w:rsid w:val="00311D92"/>
    <w:rsid w:val="00311FF0"/>
    <w:rsid w:val="003136E5"/>
    <w:rsid w:val="003144FE"/>
    <w:rsid w:val="0031469B"/>
    <w:rsid w:val="003146F4"/>
    <w:rsid w:val="0031471C"/>
    <w:rsid w:val="00314D68"/>
    <w:rsid w:val="003151AB"/>
    <w:rsid w:val="00315472"/>
    <w:rsid w:val="00317175"/>
    <w:rsid w:val="00317F5E"/>
    <w:rsid w:val="00317F9D"/>
    <w:rsid w:val="003203E8"/>
    <w:rsid w:val="00320533"/>
    <w:rsid w:val="0032061E"/>
    <w:rsid w:val="003206A9"/>
    <w:rsid w:val="00320D87"/>
    <w:rsid w:val="00321324"/>
    <w:rsid w:val="00321E72"/>
    <w:rsid w:val="003227C1"/>
    <w:rsid w:val="00323330"/>
    <w:rsid w:val="0032362A"/>
    <w:rsid w:val="00323B89"/>
    <w:rsid w:val="00324911"/>
    <w:rsid w:val="00324B70"/>
    <w:rsid w:val="003254B8"/>
    <w:rsid w:val="00325867"/>
    <w:rsid w:val="00326664"/>
    <w:rsid w:val="00326A3A"/>
    <w:rsid w:val="00327275"/>
    <w:rsid w:val="0032764A"/>
    <w:rsid w:val="0032779E"/>
    <w:rsid w:val="003303B1"/>
    <w:rsid w:val="00331233"/>
    <w:rsid w:val="00331338"/>
    <w:rsid w:val="00331433"/>
    <w:rsid w:val="0033367A"/>
    <w:rsid w:val="00333844"/>
    <w:rsid w:val="00333864"/>
    <w:rsid w:val="003339A7"/>
    <w:rsid w:val="00333C6B"/>
    <w:rsid w:val="00334F1C"/>
    <w:rsid w:val="00335213"/>
    <w:rsid w:val="00335AD5"/>
    <w:rsid w:val="0033643B"/>
    <w:rsid w:val="00340086"/>
    <w:rsid w:val="0034249F"/>
    <w:rsid w:val="00342B23"/>
    <w:rsid w:val="00343C57"/>
    <w:rsid w:val="00344157"/>
    <w:rsid w:val="00344A9E"/>
    <w:rsid w:val="00344DCC"/>
    <w:rsid w:val="00344E5E"/>
    <w:rsid w:val="00344EB3"/>
    <w:rsid w:val="00345118"/>
    <w:rsid w:val="00345136"/>
    <w:rsid w:val="00345685"/>
    <w:rsid w:val="003457F4"/>
    <w:rsid w:val="00345BC3"/>
    <w:rsid w:val="003460E0"/>
    <w:rsid w:val="00346B44"/>
    <w:rsid w:val="00347A2B"/>
    <w:rsid w:val="003501D3"/>
    <w:rsid w:val="00350B42"/>
    <w:rsid w:val="0035299F"/>
    <w:rsid w:val="00352A86"/>
    <w:rsid w:val="00352FFE"/>
    <w:rsid w:val="003534B6"/>
    <w:rsid w:val="003543B4"/>
    <w:rsid w:val="00354A9E"/>
    <w:rsid w:val="00355176"/>
    <w:rsid w:val="0035605D"/>
    <w:rsid w:val="00357983"/>
    <w:rsid w:val="00357A5A"/>
    <w:rsid w:val="00357AD8"/>
    <w:rsid w:val="0036119A"/>
    <w:rsid w:val="00361AE0"/>
    <w:rsid w:val="00362038"/>
    <w:rsid w:val="00363441"/>
    <w:rsid w:val="00363783"/>
    <w:rsid w:val="0036380B"/>
    <w:rsid w:val="00363B91"/>
    <w:rsid w:val="003656B6"/>
    <w:rsid w:val="003656B8"/>
    <w:rsid w:val="003658AD"/>
    <w:rsid w:val="00365D93"/>
    <w:rsid w:val="00365E4B"/>
    <w:rsid w:val="00365EF0"/>
    <w:rsid w:val="00366182"/>
    <w:rsid w:val="003661CD"/>
    <w:rsid w:val="00366266"/>
    <w:rsid w:val="0036639D"/>
    <w:rsid w:val="003663A1"/>
    <w:rsid w:val="00366AB4"/>
    <w:rsid w:val="003675DE"/>
    <w:rsid w:val="003677B5"/>
    <w:rsid w:val="0036781A"/>
    <w:rsid w:val="00367EA0"/>
    <w:rsid w:val="003704B9"/>
    <w:rsid w:val="00371271"/>
    <w:rsid w:val="00371BD5"/>
    <w:rsid w:val="00371BE8"/>
    <w:rsid w:val="00371C4A"/>
    <w:rsid w:val="00371F1E"/>
    <w:rsid w:val="00372291"/>
    <w:rsid w:val="00372AC0"/>
    <w:rsid w:val="00372BC5"/>
    <w:rsid w:val="00372ED0"/>
    <w:rsid w:val="003739F8"/>
    <w:rsid w:val="00373FD9"/>
    <w:rsid w:val="00374849"/>
    <w:rsid w:val="00374E4B"/>
    <w:rsid w:val="003764CA"/>
    <w:rsid w:val="0037705A"/>
    <w:rsid w:val="003770EE"/>
    <w:rsid w:val="00377402"/>
    <w:rsid w:val="00377A1D"/>
    <w:rsid w:val="00377ACE"/>
    <w:rsid w:val="00377D1A"/>
    <w:rsid w:val="0038072A"/>
    <w:rsid w:val="0038102D"/>
    <w:rsid w:val="00381128"/>
    <w:rsid w:val="0038133D"/>
    <w:rsid w:val="00384E30"/>
    <w:rsid w:val="0038690B"/>
    <w:rsid w:val="00386F33"/>
    <w:rsid w:val="00387711"/>
    <w:rsid w:val="00387859"/>
    <w:rsid w:val="00387DB2"/>
    <w:rsid w:val="00390C3A"/>
    <w:rsid w:val="0039148A"/>
    <w:rsid w:val="00391D43"/>
    <w:rsid w:val="00393381"/>
    <w:rsid w:val="00393B7D"/>
    <w:rsid w:val="00393CD0"/>
    <w:rsid w:val="00394095"/>
    <w:rsid w:val="003941CD"/>
    <w:rsid w:val="003948B4"/>
    <w:rsid w:val="00394A05"/>
    <w:rsid w:val="00395835"/>
    <w:rsid w:val="00395A3B"/>
    <w:rsid w:val="00395ED0"/>
    <w:rsid w:val="003A2D59"/>
    <w:rsid w:val="003A3968"/>
    <w:rsid w:val="003A46BA"/>
    <w:rsid w:val="003A4A1E"/>
    <w:rsid w:val="003A4DF5"/>
    <w:rsid w:val="003A5E1F"/>
    <w:rsid w:val="003B1773"/>
    <w:rsid w:val="003B1C8A"/>
    <w:rsid w:val="003B53B1"/>
    <w:rsid w:val="003B59B1"/>
    <w:rsid w:val="003B5EF7"/>
    <w:rsid w:val="003B67CF"/>
    <w:rsid w:val="003B6CA4"/>
    <w:rsid w:val="003B70F2"/>
    <w:rsid w:val="003B7118"/>
    <w:rsid w:val="003B7ED2"/>
    <w:rsid w:val="003C1313"/>
    <w:rsid w:val="003C17E1"/>
    <w:rsid w:val="003C1B8F"/>
    <w:rsid w:val="003C2705"/>
    <w:rsid w:val="003C29E2"/>
    <w:rsid w:val="003C2BAA"/>
    <w:rsid w:val="003C32E0"/>
    <w:rsid w:val="003C4210"/>
    <w:rsid w:val="003C4C65"/>
    <w:rsid w:val="003C525A"/>
    <w:rsid w:val="003C5386"/>
    <w:rsid w:val="003C5AEA"/>
    <w:rsid w:val="003C5B7D"/>
    <w:rsid w:val="003C65B2"/>
    <w:rsid w:val="003D02E3"/>
    <w:rsid w:val="003D07FC"/>
    <w:rsid w:val="003D1AFF"/>
    <w:rsid w:val="003D1BC1"/>
    <w:rsid w:val="003D1EC5"/>
    <w:rsid w:val="003D1F3E"/>
    <w:rsid w:val="003D221E"/>
    <w:rsid w:val="003D44B0"/>
    <w:rsid w:val="003D5BEB"/>
    <w:rsid w:val="003D6445"/>
    <w:rsid w:val="003D6E87"/>
    <w:rsid w:val="003D6ED6"/>
    <w:rsid w:val="003E0434"/>
    <w:rsid w:val="003E1354"/>
    <w:rsid w:val="003E1744"/>
    <w:rsid w:val="003E1EB5"/>
    <w:rsid w:val="003E2314"/>
    <w:rsid w:val="003E24D7"/>
    <w:rsid w:val="003E3208"/>
    <w:rsid w:val="003E3B8E"/>
    <w:rsid w:val="003E459A"/>
    <w:rsid w:val="003E5550"/>
    <w:rsid w:val="003E6225"/>
    <w:rsid w:val="003E6452"/>
    <w:rsid w:val="003E6E27"/>
    <w:rsid w:val="003E72E8"/>
    <w:rsid w:val="003F0D0C"/>
    <w:rsid w:val="003F118A"/>
    <w:rsid w:val="003F2641"/>
    <w:rsid w:val="003F271F"/>
    <w:rsid w:val="003F2D5F"/>
    <w:rsid w:val="003F315D"/>
    <w:rsid w:val="003F3B37"/>
    <w:rsid w:val="003F3FBF"/>
    <w:rsid w:val="003F59AE"/>
    <w:rsid w:val="003F5BBB"/>
    <w:rsid w:val="003F5D3D"/>
    <w:rsid w:val="003F610F"/>
    <w:rsid w:val="003F636C"/>
    <w:rsid w:val="003F64F4"/>
    <w:rsid w:val="003F796D"/>
    <w:rsid w:val="003F7980"/>
    <w:rsid w:val="003F7A0B"/>
    <w:rsid w:val="003F7D5E"/>
    <w:rsid w:val="00400E15"/>
    <w:rsid w:val="0040157D"/>
    <w:rsid w:val="004023BC"/>
    <w:rsid w:val="00402705"/>
    <w:rsid w:val="00402A5A"/>
    <w:rsid w:val="00403F31"/>
    <w:rsid w:val="004048BF"/>
    <w:rsid w:val="00404A27"/>
    <w:rsid w:val="0040505A"/>
    <w:rsid w:val="004052B3"/>
    <w:rsid w:val="004057CE"/>
    <w:rsid w:val="00405ACE"/>
    <w:rsid w:val="00405E98"/>
    <w:rsid w:val="00407023"/>
    <w:rsid w:val="00407D3F"/>
    <w:rsid w:val="00410A82"/>
    <w:rsid w:val="00411672"/>
    <w:rsid w:val="00413094"/>
    <w:rsid w:val="004133D9"/>
    <w:rsid w:val="00413902"/>
    <w:rsid w:val="004141FB"/>
    <w:rsid w:val="00414325"/>
    <w:rsid w:val="00414E9C"/>
    <w:rsid w:val="00416C20"/>
    <w:rsid w:val="004177F6"/>
    <w:rsid w:val="00417829"/>
    <w:rsid w:val="0042036C"/>
    <w:rsid w:val="004208C2"/>
    <w:rsid w:val="00420AFF"/>
    <w:rsid w:val="00420D24"/>
    <w:rsid w:val="00420F95"/>
    <w:rsid w:val="00421FF6"/>
    <w:rsid w:val="0042211E"/>
    <w:rsid w:val="0042251F"/>
    <w:rsid w:val="0042323A"/>
    <w:rsid w:val="004234FD"/>
    <w:rsid w:val="0042458A"/>
    <w:rsid w:val="0042476A"/>
    <w:rsid w:val="00424833"/>
    <w:rsid w:val="0042543D"/>
    <w:rsid w:val="004269C7"/>
    <w:rsid w:val="00427EBA"/>
    <w:rsid w:val="00430290"/>
    <w:rsid w:val="00430CA0"/>
    <w:rsid w:val="00430E2F"/>
    <w:rsid w:val="00431E39"/>
    <w:rsid w:val="00431FC8"/>
    <w:rsid w:val="004321D9"/>
    <w:rsid w:val="00432B81"/>
    <w:rsid w:val="00433318"/>
    <w:rsid w:val="0043356B"/>
    <w:rsid w:val="004338A8"/>
    <w:rsid w:val="00433AFD"/>
    <w:rsid w:val="0043401A"/>
    <w:rsid w:val="004343CF"/>
    <w:rsid w:val="00434772"/>
    <w:rsid w:val="00434D8F"/>
    <w:rsid w:val="00435CC9"/>
    <w:rsid w:val="00436460"/>
    <w:rsid w:val="00436772"/>
    <w:rsid w:val="004369E1"/>
    <w:rsid w:val="004403D9"/>
    <w:rsid w:val="00441B3B"/>
    <w:rsid w:val="00442358"/>
    <w:rsid w:val="00442610"/>
    <w:rsid w:val="0044372A"/>
    <w:rsid w:val="00443D6D"/>
    <w:rsid w:val="00443F5D"/>
    <w:rsid w:val="00444133"/>
    <w:rsid w:val="0044419C"/>
    <w:rsid w:val="00444FDC"/>
    <w:rsid w:val="00445218"/>
    <w:rsid w:val="004453B7"/>
    <w:rsid w:val="00445F5F"/>
    <w:rsid w:val="004465D1"/>
    <w:rsid w:val="004467BF"/>
    <w:rsid w:val="00446C10"/>
    <w:rsid w:val="00446D19"/>
    <w:rsid w:val="00450D86"/>
    <w:rsid w:val="004513B8"/>
    <w:rsid w:val="00451D0B"/>
    <w:rsid w:val="00452055"/>
    <w:rsid w:val="004522FB"/>
    <w:rsid w:val="0045314F"/>
    <w:rsid w:val="0045488E"/>
    <w:rsid w:val="004569AF"/>
    <w:rsid w:val="0045762F"/>
    <w:rsid w:val="00457732"/>
    <w:rsid w:val="004579EB"/>
    <w:rsid w:val="004602C8"/>
    <w:rsid w:val="00460944"/>
    <w:rsid w:val="00462784"/>
    <w:rsid w:val="00462C5B"/>
    <w:rsid w:val="00462E8F"/>
    <w:rsid w:val="00463493"/>
    <w:rsid w:val="00463656"/>
    <w:rsid w:val="00463749"/>
    <w:rsid w:val="00463E2D"/>
    <w:rsid w:val="00464A0C"/>
    <w:rsid w:val="00465447"/>
    <w:rsid w:val="0046671D"/>
    <w:rsid w:val="00466755"/>
    <w:rsid w:val="00466A6A"/>
    <w:rsid w:val="00467020"/>
    <w:rsid w:val="00470159"/>
    <w:rsid w:val="004702AD"/>
    <w:rsid w:val="004703CA"/>
    <w:rsid w:val="00470F0F"/>
    <w:rsid w:val="00471AB4"/>
    <w:rsid w:val="00471BB6"/>
    <w:rsid w:val="00471BD6"/>
    <w:rsid w:val="004720EC"/>
    <w:rsid w:val="00474C84"/>
    <w:rsid w:val="00475A61"/>
    <w:rsid w:val="00475D88"/>
    <w:rsid w:val="00475FA1"/>
    <w:rsid w:val="00476267"/>
    <w:rsid w:val="004775DD"/>
    <w:rsid w:val="00477C55"/>
    <w:rsid w:val="00480270"/>
    <w:rsid w:val="00480E3F"/>
    <w:rsid w:val="004811F8"/>
    <w:rsid w:val="004821DB"/>
    <w:rsid w:val="00482A79"/>
    <w:rsid w:val="00482B38"/>
    <w:rsid w:val="00482CA6"/>
    <w:rsid w:val="004833DE"/>
    <w:rsid w:val="00483671"/>
    <w:rsid w:val="00483A63"/>
    <w:rsid w:val="004848AB"/>
    <w:rsid w:val="0048526B"/>
    <w:rsid w:val="00485ADA"/>
    <w:rsid w:val="00485DFD"/>
    <w:rsid w:val="00486340"/>
    <w:rsid w:val="00486D51"/>
    <w:rsid w:val="00486E30"/>
    <w:rsid w:val="00486F15"/>
    <w:rsid w:val="004877EB"/>
    <w:rsid w:val="0048788C"/>
    <w:rsid w:val="004878E0"/>
    <w:rsid w:val="004878EF"/>
    <w:rsid w:val="004902EC"/>
    <w:rsid w:val="00491880"/>
    <w:rsid w:val="00492823"/>
    <w:rsid w:val="00493DCC"/>
    <w:rsid w:val="00494DE7"/>
    <w:rsid w:val="00494E18"/>
    <w:rsid w:val="00494FDE"/>
    <w:rsid w:val="0049535E"/>
    <w:rsid w:val="004965FC"/>
    <w:rsid w:val="00496A6C"/>
    <w:rsid w:val="0049702A"/>
    <w:rsid w:val="00497470"/>
    <w:rsid w:val="00497EBE"/>
    <w:rsid w:val="00497FF7"/>
    <w:rsid w:val="004A0314"/>
    <w:rsid w:val="004A1048"/>
    <w:rsid w:val="004A1182"/>
    <w:rsid w:val="004A124F"/>
    <w:rsid w:val="004A1854"/>
    <w:rsid w:val="004A1867"/>
    <w:rsid w:val="004A196A"/>
    <w:rsid w:val="004A1CBE"/>
    <w:rsid w:val="004A4706"/>
    <w:rsid w:val="004A4CC1"/>
    <w:rsid w:val="004A5172"/>
    <w:rsid w:val="004A5D19"/>
    <w:rsid w:val="004A61AB"/>
    <w:rsid w:val="004A7553"/>
    <w:rsid w:val="004A765F"/>
    <w:rsid w:val="004A77D0"/>
    <w:rsid w:val="004A7A48"/>
    <w:rsid w:val="004A7BD5"/>
    <w:rsid w:val="004A7F95"/>
    <w:rsid w:val="004B0ED7"/>
    <w:rsid w:val="004B0FD4"/>
    <w:rsid w:val="004B1A02"/>
    <w:rsid w:val="004B2218"/>
    <w:rsid w:val="004B2440"/>
    <w:rsid w:val="004B2E0A"/>
    <w:rsid w:val="004B31E8"/>
    <w:rsid w:val="004B4BFA"/>
    <w:rsid w:val="004B4F95"/>
    <w:rsid w:val="004B4F9C"/>
    <w:rsid w:val="004B50F6"/>
    <w:rsid w:val="004B52C9"/>
    <w:rsid w:val="004B590B"/>
    <w:rsid w:val="004B5FA0"/>
    <w:rsid w:val="004B70CF"/>
    <w:rsid w:val="004B75C9"/>
    <w:rsid w:val="004C0DC9"/>
    <w:rsid w:val="004C14BC"/>
    <w:rsid w:val="004C14CA"/>
    <w:rsid w:val="004C18C4"/>
    <w:rsid w:val="004C1949"/>
    <w:rsid w:val="004C268B"/>
    <w:rsid w:val="004C366F"/>
    <w:rsid w:val="004C3793"/>
    <w:rsid w:val="004C497A"/>
    <w:rsid w:val="004C645C"/>
    <w:rsid w:val="004D0815"/>
    <w:rsid w:val="004D0D96"/>
    <w:rsid w:val="004D1434"/>
    <w:rsid w:val="004D17BD"/>
    <w:rsid w:val="004D2E33"/>
    <w:rsid w:val="004D3053"/>
    <w:rsid w:val="004D32A2"/>
    <w:rsid w:val="004D3966"/>
    <w:rsid w:val="004D5360"/>
    <w:rsid w:val="004D5FE2"/>
    <w:rsid w:val="004D6217"/>
    <w:rsid w:val="004D67DD"/>
    <w:rsid w:val="004D6D20"/>
    <w:rsid w:val="004E0191"/>
    <w:rsid w:val="004E0F71"/>
    <w:rsid w:val="004E122C"/>
    <w:rsid w:val="004E24C0"/>
    <w:rsid w:val="004E3328"/>
    <w:rsid w:val="004E3AE0"/>
    <w:rsid w:val="004E3E2B"/>
    <w:rsid w:val="004E4790"/>
    <w:rsid w:val="004E518B"/>
    <w:rsid w:val="004E5246"/>
    <w:rsid w:val="004E534E"/>
    <w:rsid w:val="004E5570"/>
    <w:rsid w:val="004E662E"/>
    <w:rsid w:val="004E6FC9"/>
    <w:rsid w:val="004E7085"/>
    <w:rsid w:val="004E7BC5"/>
    <w:rsid w:val="004F00E3"/>
    <w:rsid w:val="004F027E"/>
    <w:rsid w:val="004F0B70"/>
    <w:rsid w:val="004F112B"/>
    <w:rsid w:val="004F1604"/>
    <w:rsid w:val="004F18E9"/>
    <w:rsid w:val="004F249B"/>
    <w:rsid w:val="004F28E7"/>
    <w:rsid w:val="004F4330"/>
    <w:rsid w:val="004F4F72"/>
    <w:rsid w:val="004F55DC"/>
    <w:rsid w:val="004F6923"/>
    <w:rsid w:val="004F6C59"/>
    <w:rsid w:val="004F71D7"/>
    <w:rsid w:val="004F7520"/>
    <w:rsid w:val="005003D9"/>
    <w:rsid w:val="00500983"/>
    <w:rsid w:val="005011F6"/>
    <w:rsid w:val="0050160E"/>
    <w:rsid w:val="00501B65"/>
    <w:rsid w:val="00501D5B"/>
    <w:rsid w:val="00501F18"/>
    <w:rsid w:val="0050200F"/>
    <w:rsid w:val="005021FE"/>
    <w:rsid w:val="00502EFB"/>
    <w:rsid w:val="005031BD"/>
    <w:rsid w:val="00503CBE"/>
    <w:rsid w:val="005049C7"/>
    <w:rsid w:val="0050501A"/>
    <w:rsid w:val="00505295"/>
    <w:rsid w:val="00505D33"/>
    <w:rsid w:val="00506827"/>
    <w:rsid w:val="00506B78"/>
    <w:rsid w:val="00506C06"/>
    <w:rsid w:val="00506C66"/>
    <w:rsid w:val="00506C69"/>
    <w:rsid w:val="00506E99"/>
    <w:rsid w:val="0051028F"/>
    <w:rsid w:val="00510CFC"/>
    <w:rsid w:val="005112D9"/>
    <w:rsid w:val="00511CA4"/>
    <w:rsid w:val="005120EF"/>
    <w:rsid w:val="005128A0"/>
    <w:rsid w:val="00512C21"/>
    <w:rsid w:val="00513056"/>
    <w:rsid w:val="0051337B"/>
    <w:rsid w:val="00514054"/>
    <w:rsid w:val="0051421F"/>
    <w:rsid w:val="00515F51"/>
    <w:rsid w:val="00515FAF"/>
    <w:rsid w:val="005162CC"/>
    <w:rsid w:val="0051661F"/>
    <w:rsid w:val="00516CE8"/>
    <w:rsid w:val="00520019"/>
    <w:rsid w:val="00521662"/>
    <w:rsid w:val="0052168E"/>
    <w:rsid w:val="0052281D"/>
    <w:rsid w:val="00523058"/>
    <w:rsid w:val="00523ED6"/>
    <w:rsid w:val="00524760"/>
    <w:rsid w:val="005253CC"/>
    <w:rsid w:val="00525742"/>
    <w:rsid w:val="00525931"/>
    <w:rsid w:val="005262D0"/>
    <w:rsid w:val="00526C7A"/>
    <w:rsid w:val="005270AB"/>
    <w:rsid w:val="00527409"/>
    <w:rsid w:val="0052743C"/>
    <w:rsid w:val="00530136"/>
    <w:rsid w:val="005314CF"/>
    <w:rsid w:val="00531A3D"/>
    <w:rsid w:val="00531B7B"/>
    <w:rsid w:val="005324D8"/>
    <w:rsid w:val="0053288E"/>
    <w:rsid w:val="00532AEB"/>
    <w:rsid w:val="00532BA2"/>
    <w:rsid w:val="00532D81"/>
    <w:rsid w:val="005339C7"/>
    <w:rsid w:val="00533CDB"/>
    <w:rsid w:val="00533D10"/>
    <w:rsid w:val="0053424F"/>
    <w:rsid w:val="00534643"/>
    <w:rsid w:val="00534C69"/>
    <w:rsid w:val="00535C6E"/>
    <w:rsid w:val="00536535"/>
    <w:rsid w:val="00536B18"/>
    <w:rsid w:val="0053730C"/>
    <w:rsid w:val="0053799E"/>
    <w:rsid w:val="005403BC"/>
    <w:rsid w:val="005409FC"/>
    <w:rsid w:val="00540A3B"/>
    <w:rsid w:val="00540BCB"/>
    <w:rsid w:val="005416D2"/>
    <w:rsid w:val="00541752"/>
    <w:rsid w:val="00541AF7"/>
    <w:rsid w:val="00541B9E"/>
    <w:rsid w:val="005420F2"/>
    <w:rsid w:val="00542FDD"/>
    <w:rsid w:val="00543A64"/>
    <w:rsid w:val="00543C15"/>
    <w:rsid w:val="005446B1"/>
    <w:rsid w:val="00544D25"/>
    <w:rsid w:val="00545EF8"/>
    <w:rsid w:val="005461D3"/>
    <w:rsid w:val="00546EEE"/>
    <w:rsid w:val="00547395"/>
    <w:rsid w:val="005473A4"/>
    <w:rsid w:val="005504A0"/>
    <w:rsid w:val="00550E4D"/>
    <w:rsid w:val="00550F44"/>
    <w:rsid w:val="005513CB"/>
    <w:rsid w:val="005524E2"/>
    <w:rsid w:val="00552D8D"/>
    <w:rsid w:val="00553352"/>
    <w:rsid w:val="00553528"/>
    <w:rsid w:val="00553F57"/>
    <w:rsid w:val="00555E2F"/>
    <w:rsid w:val="00556218"/>
    <w:rsid w:val="005576FE"/>
    <w:rsid w:val="00557B60"/>
    <w:rsid w:val="00557CA5"/>
    <w:rsid w:val="00557E2D"/>
    <w:rsid w:val="00560BCC"/>
    <w:rsid w:val="00560BD5"/>
    <w:rsid w:val="00560CD1"/>
    <w:rsid w:val="00561B1B"/>
    <w:rsid w:val="00561E7E"/>
    <w:rsid w:val="0056223F"/>
    <w:rsid w:val="0056237C"/>
    <w:rsid w:val="00562538"/>
    <w:rsid w:val="00562F9F"/>
    <w:rsid w:val="00563E8E"/>
    <w:rsid w:val="00564968"/>
    <w:rsid w:val="00564B02"/>
    <w:rsid w:val="005650B1"/>
    <w:rsid w:val="00565C37"/>
    <w:rsid w:val="00566643"/>
    <w:rsid w:val="005666CF"/>
    <w:rsid w:val="005666F3"/>
    <w:rsid w:val="00567A78"/>
    <w:rsid w:val="0057150F"/>
    <w:rsid w:val="00571F5F"/>
    <w:rsid w:val="00573CA5"/>
    <w:rsid w:val="00573ECD"/>
    <w:rsid w:val="005747C0"/>
    <w:rsid w:val="0057510D"/>
    <w:rsid w:val="0057516C"/>
    <w:rsid w:val="00575994"/>
    <w:rsid w:val="00575CDF"/>
    <w:rsid w:val="0057637C"/>
    <w:rsid w:val="00576967"/>
    <w:rsid w:val="00577213"/>
    <w:rsid w:val="00577BA7"/>
    <w:rsid w:val="00580C53"/>
    <w:rsid w:val="00581144"/>
    <w:rsid w:val="00581ADB"/>
    <w:rsid w:val="00582032"/>
    <w:rsid w:val="00582EDD"/>
    <w:rsid w:val="00582F77"/>
    <w:rsid w:val="0058353F"/>
    <w:rsid w:val="00584216"/>
    <w:rsid w:val="005842A2"/>
    <w:rsid w:val="00584CCA"/>
    <w:rsid w:val="00584D4D"/>
    <w:rsid w:val="00585250"/>
    <w:rsid w:val="00585AFF"/>
    <w:rsid w:val="00585EB6"/>
    <w:rsid w:val="005865F3"/>
    <w:rsid w:val="0058664F"/>
    <w:rsid w:val="0058781D"/>
    <w:rsid w:val="00587A4C"/>
    <w:rsid w:val="00587C1F"/>
    <w:rsid w:val="00587DEA"/>
    <w:rsid w:val="005901ED"/>
    <w:rsid w:val="0059033F"/>
    <w:rsid w:val="00590343"/>
    <w:rsid w:val="00590811"/>
    <w:rsid w:val="00590A68"/>
    <w:rsid w:val="00590E32"/>
    <w:rsid w:val="00591B6A"/>
    <w:rsid w:val="005934FA"/>
    <w:rsid w:val="00593616"/>
    <w:rsid w:val="00593694"/>
    <w:rsid w:val="00593C57"/>
    <w:rsid w:val="00593E97"/>
    <w:rsid w:val="00594651"/>
    <w:rsid w:val="00596944"/>
    <w:rsid w:val="00596F1B"/>
    <w:rsid w:val="00597E7E"/>
    <w:rsid w:val="005A0B49"/>
    <w:rsid w:val="005A27A3"/>
    <w:rsid w:val="005A3880"/>
    <w:rsid w:val="005A3F90"/>
    <w:rsid w:val="005A4F38"/>
    <w:rsid w:val="005A558C"/>
    <w:rsid w:val="005A5862"/>
    <w:rsid w:val="005A5941"/>
    <w:rsid w:val="005A5B87"/>
    <w:rsid w:val="005A5FB6"/>
    <w:rsid w:val="005A6176"/>
    <w:rsid w:val="005A6918"/>
    <w:rsid w:val="005A75DF"/>
    <w:rsid w:val="005A7F45"/>
    <w:rsid w:val="005B20A3"/>
    <w:rsid w:val="005B2E14"/>
    <w:rsid w:val="005B2F5D"/>
    <w:rsid w:val="005B2FB3"/>
    <w:rsid w:val="005B3659"/>
    <w:rsid w:val="005B42D4"/>
    <w:rsid w:val="005B42FF"/>
    <w:rsid w:val="005B641E"/>
    <w:rsid w:val="005B6D17"/>
    <w:rsid w:val="005B73EE"/>
    <w:rsid w:val="005C1EC5"/>
    <w:rsid w:val="005C2386"/>
    <w:rsid w:val="005C2447"/>
    <w:rsid w:val="005C3A0E"/>
    <w:rsid w:val="005C3D2C"/>
    <w:rsid w:val="005C4FB6"/>
    <w:rsid w:val="005C50C1"/>
    <w:rsid w:val="005C554D"/>
    <w:rsid w:val="005C55D4"/>
    <w:rsid w:val="005C563F"/>
    <w:rsid w:val="005C794E"/>
    <w:rsid w:val="005C7D6A"/>
    <w:rsid w:val="005D103F"/>
    <w:rsid w:val="005D1647"/>
    <w:rsid w:val="005D1773"/>
    <w:rsid w:val="005D20D7"/>
    <w:rsid w:val="005D26CD"/>
    <w:rsid w:val="005D2D20"/>
    <w:rsid w:val="005D4C55"/>
    <w:rsid w:val="005D50AE"/>
    <w:rsid w:val="005D5819"/>
    <w:rsid w:val="005D675A"/>
    <w:rsid w:val="005D7FD3"/>
    <w:rsid w:val="005E0202"/>
    <w:rsid w:val="005E0450"/>
    <w:rsid w:val="005E217B"/>
    <w:rsid w:val="005E2E2E"/>
    <w:rsid w:val="005E318B"/>
    <w:rsid w:val="005E3791"/>
    <w:rsid w:val="005E4D1F"/>
    <w:rsid w:val="005E4E25"/>
    <w:rsid w:val="005E619B"/>
    <w:rsid w:val="005E66B4"/>
    <w:rsid w:val="005E6B2E"/>
    <w:rsid w:val="005E74AD"/>
    <w:rsid w:val="005E76AE"/>
    <w:rsid w:val="005E7AFA"/>
    <w:rsid w:val="005E7F3D"/>
    <w:rsid w:val="005F01C2"/>
    <w:rsid w:val="005F06C9"/>
    <w:rsid w:val="005F08BD"/>
    <w:rsid w:val="005F0EC4"/>
    <w:rsid w:val="005F1152"/>
    <w:rsid w:val="005F3D9F"/>
    <w:rsid w:val="005F3DAD"/>
    <w:rsid w:val="005F4281"/>
    <w:rsid w:val="005F4908"/>
    <w:rsid w:val="005F49DD"/>
    <w:rsid w:val="005F564B"/>
    <w:rsid w:val="005F5EE3"/>
    <w:rsid w:val="005F63A7"/>
    <w:rsid w:val="005F671F"/>
    <w:rsid w:val="005F7CC9"/>
    <w:rsid w:val="005F7E75"/>
    <w:rsid w:val="00600246"/>
    <w:rsid w:val="00600632"/>
    <w:rsid w:val="00600FCE"/>
    <w:rsid w:val="00602D61"/>
    <w:rsid w:val="00603420"/>
    <w:rsid w:val="0060514C"/>
    <w:rsid w:val="0060523C"/>
    <w:rsid w:val="00605786"/>
    <w:rsid w:val="0060579D"/>
    <w:rsid w:val="0060672E"/>
    <w:rsid w:val="00606B60"/>
    <w:rsid w:val="00610A9B"/>
    <w:rsid w:val="00610C61"/>
    <w:rsid w:val="00610E47"/>
    <w:rsid w:val="006110C1"/>
    <w:rsid w:val="006111A3"/>
    <w:rsid w:val="00611445"/>
    <w:rsid w:val="00611832"/>
    <w:rsid w:val="0061204A"/>
    <w:rsid w:val="00612B1A"/>
    <w:rsid w:val="00612CFA"/>
    <w:rsid w:val="006131F9"/>
    <w:rsid w:val="0061330B"/>
    <w:rsid w:val="00613637"/>
    <w:rsid w:val="00614FE5"/>
    <w:rsid w:val="006158B3"/>
    <w:rsid w:val="00616AC4"/>
    <w:rsid w:val="0062087B"/>
    <w:rsid w:val="00620C36"/>
    <w:rsid w:val="006212DA"/>
    <w:rsid w:val="00621781"/>
    <w:rsid w:val="00622009"/>
    <w:rsid w:val="006221EB"/>
    <w:rsid w:val="00622BD5"/>
    <w:rsid w:val="0062396B"/>
    <w:rsid w:val="006251B2"/>
    <w:rsid w:val="00625770"/>
    <w:rsid w:val="006258D4"/>
    <w:rsid w:val="00625C75"/>
    <w:rsid w:val="00626651"/>
    <w:rsid w:val="006266A3"/>
    <w:rsid w:val="00627695"/>
    <w:rsid w:val="0062794E"/>
    <w:rsid w:val="006310F4"/>
    <w:rsid w:val="006310FA"/>
    <w:rsid w:val="00631530"/>
    <w:rsid w:val="00631A90"/>
    <w:rsid w:val="006335C1"/>
    <w:rsid w:val="00633603"/>
    <w:rsid w:val="006345C3"/>
    <w:rsid w:val="00634BF2"/>
    <w:rsid w:val="00635384"/>
    <w:rsid w:val="006365F2"/>
    <w:rsid w:val="0064035B"/>
    <w:rsid w:val="00641262"/>
    <w:rsid w:val="0064207C"/>
    <w:rsid w:val="00642C33"/>
    <w:rsid w:val="00643B7D"/>
    <w:rsid w:val="006458CC"/>
    <w:rsid w:val="00646482"/>
    <w:rsid w:val="00646C7D"/>
    <w:rsid w:val="00646DA5"/>
    <w:rsid w:val="00650718"/>
    <w:rsid w:val="00650EA4"/>
    <w:rsid w:val="006521E7"/>
    <w:rsid w:val="006527D6"/>
    <w:rsid w:val="00652F7D"/>
    <w:rsid w:val="00653061"/>
    <w:rsid w:val="0065308E"/>
    <w:rsid w:val="00653190"/>
    <w:rsid w:val="006531ED"/>
    <w:rsid w:val="00653773"/>
    <w:rsid w:val="00653F04"/>
    <w:rsid w:val="006542C1"/>
    <w:rsid w:val="00654303"/>
    <w:rsid w:val="006547F2"/>
    <w:rsid w:val="00655C18"/>
    <w:rsid w:val="00655C8F"/>
    <w:rsid w:val="006602BD"/>
    <w:rsid w:val="00660661"/>
    <w:rsid w:val="00660A42"/>
    <w:rsid w:val="00661364"/>
    <w:rsid w:val="00661CAF"/>
    <w:rsid w:val="00661E8B"/>
    <w:rsid w:val="006631CC"/>
    <w:rsid w:val="00663687"/>
    <w:rsid w:val="00663867"/>
    <w:rsid w:val="00663FF9"/>
    <w:rsid w:val="0066410B"/>
    <w:rsid w:val="0066555E"/>
    <w:rsid w:val="00665F0D"/>
    <w:rsid w:val="006661D2"/>
    <w:rsid w:val="006663D1"/>
    <w:rsid w:val="00666478"/>
    <w:rsid w:val="00666AD5"/>
    <w:rsid w:val="00666B17"/>
    <w:rsid w:val="006670F7"/>
    <w:rsid w:val="00667303"/>
    <w:rsid w:val="006675D9"/>
    <w:rsid w:val="00670B00"/>
    <w:rsid w:val="00673F03"/>
    <w:rsid w:val="006740E9"/>
    <w:rsid w:val="006741AE"/>
    <w:rsid w:val="00675B18"/>
    <w:rsid w:val="006767AE"/>
    <w:rsid w:val="0067705D"/>
    <w:rsid w:val="00677905"/>
    <w:rsid w:val="006800CC"/>
    <w:rsid w:val="006800CF"/>
    <w:rsid w:val="00680FDC"/>
    <w:rsid w:val="00681BBE"/>
    <w:rsid w:val="0068311F"/>
    <w:rsid w:val="00683157"/>
    <w:rsid w:val="00684156"/>
    <w:rsid w:val="006842C5"/>
    <w:rsid w:val="006850AB"/>
    <w:rsid w:val="00685454"/>
    <w:rsid w:val="006856B6"/>
    <w:rsid w:val="00685758"/>
    <w:rsid w:val="00687003"/>
    <w:rsid w:val="00690506"/>
    <w:rsid w:val="0069143B"/>
    <w:rsid w:val="0069204E"/>
    <w:rsid w:val="006942A8"/>
    <w:rsid w:val="00694862"/>
    <w:rsid w:val="00695665"/>
    <w:rsid w:val="006964EF"/>
    <w:rsid w:val="00697662"/>
    <w:rsid w:val="00697E04"/>
    <w:rsid w:val="006A042F"/>
    <w:rsid w:val="006A06A7"/>
    <w:rsid w:val="006A1145"/>
    <w:rsid w:val="006A188C"/>
    <w:rsid w:val="006A1CC0"/>
    <w:rsid w:val="006A2B07"/>
    <w:rsid w:val="006A2FAC"/>
    <w:rsid w:val="006A3C56"/>
    <w:rsid w:val="006A46D7"/>
    <w:rsid w:val="006A507E"/>
    <w:rsid w:val="006A5214"/>
    <w:rsid w:val="006A5FB2"/>
    <w:rsid w:val="006A6AB6"/>
    <w:rsid w:val="006A6EF2"/>
    <w:rsid w:val="006A7EE6"/>
    <w:rsid w:val="006B0AE1"/>
    <w:rsid w:val="006B1381"/>
    <w:rsid w:val="006B1DF4"/>
    <w:rsid w:val="006B2ACF"/>
    <w:rsid w:val="006B3FDC"/>
    <w:rsid w:val="006B421A"/>
    <w:rsid w:val="006B4CC9"/>
    <w:rsid w:val="006B4EF7"/>
    <w:rsid w:val="006B5338"/>
    <w:rsid w:val="006B61F0"/>
    <w:rsid w:val="006B6404"/>
    <w:rsid w:val="006B6407"/>
    <w:rsid w:val="006B67E3"/>
    <w:rsid w:val="006B7BCC"/>
    <w:rsid w:val="006C1FE9"/>
    <w:rsid w:val="006C2D82"/>
    <w:rsid w:val="006C2EE5"/>
    <w:rsid w:val="006C30BD"/>
    <w:rsid w:val="006C32C3"/>
    <w:rsid w:val="006C32F8"/>
    <w:rsid w:val="006C33C8"/>
    <w:rsid w:val="006C34C9"/>
    <w:rsid w:val="006C424E"/>
    <w:rsid w:val="006C4349"/>
    <w:rsid w:val="006C5358"/>
    <w:rsid w:val="006C5D61"/>
    <w:rsid w:val="006C621A"/>
    <w:rsid w:val="006C66CD"/>
    <w:rsid w:val="006C6CDB"/>
    <w:rsid w:val="006C73FE"/>
    <w:rsid w:val="006D062C"/>
    <w:rsid w:val="006D0A60"/>
    <w:rsid w:val="006D0BDB"/>
    <w:rsid w:val="006D0F7C"/>
    <w:rsid w:val="006D11BD"/>
    <w:rsid w:val="006D1872"/>
    <w:rsid w:val="006D338C"/>
    <w:rsid w:val="006D3689"/>
    <w:rsid w:val="006D3AD8"/>
    <w:rsid w:val="006D6777"/>
    <w:rsid w:val="006D6C52"/>
    <w:rsid w:val="006D6FDC"/>
    <w:rsid w:val="006D704E"/>
    <w:rsid w:val="006D7075"/>
    <w:rsid w:val="006D72AE"/>
    <w:rsid w:val="006D75B3"/>
    <w:rsid w:val="006D7906"/>
    <w:rsid w:val="006D7D61"/>
    <w:rsid w:val="006E0767"/>
    <w:rsid w:val="006E1BBB"/>
    <w:rsid w:val="006E23FC"/>
    <w:rsid w:val="006E2A7A"/>
    <w:rsid w:val="006E2AE0"/>
    <w:rsid w:val="006E45FE"/>
    <w:rsid w:val="006E5B79"/>
    <w:rsid w:val="006E698E"/>
    <w:rsid w:val="006E6DA6"/>
    <w:rsid w:val="006E6EEB"/>
    <w:rsid w:val="006E741D"/>
    <w:rsid w:val="006F0011"/>
    <w:rsid w:val="006F1529"/>
    <w:rsid w:val="006F271E"/>
    <w:rsid w:val="006F2759"/>
    <w:rsid w:val="006F2ACE"/>
    <w:rsid w:val="006F3BEC"/>
    <w:rsid w:val="006F5131"/>
    <w:rsid w:val="006F525E"/>
    <w:rsid w:val="006F6946"/>
    <w:rsid w:val="006F7086"/>
    <w:rsid w:val="006F7635"/>
    <w:rsid w:val="006F767D"/>
    <w:rsid w:val="006F7C70"/>
    <w:rsid w:val="006F7CB6"/>
    <w:rsid w:val="00700279"/>
    <w:rsid w:val="007002BA"/>
    <w:rsid w:val="00700717"/>
    <w:rsid w:val="0070082D"/>
    <w:rsid w:val="00700BA9"/>
    <w:rsid w:val="007012F7"/>
    <w:rsid w:val="007014D1"/>
    <w:rsid w:val="0070288D"/>
    <w:rsid w:val="00702DAE"/>
    <w:rsid w:val="00702FE4"/>
    <w:rsid w:val="00703955"/>
    <w:rsid w:val="00703F5F"/>
    <w:rsid w:val="00704586"/>
    <w:rsid w:val="007049E9"/>
    <w:rsid w:val="00704B7E"/>
    <w:rsid w:val="00705ACD"/>
    <w:rsid w:val="007063BC"/>
    <w:rsid w:val="00706CEA"/>
    <w:rsid w:val="0070703C"/>
    <w:rsid w:val="00707273"/>
    <w:rsid w:val="007077C8"/>
    <w:rsid w:val="00707C75"/>
    <w:rsid w:val="0071083A"/>
    <w:rsid w:val="00710EA7"/>
    <w:rsid w:val="00711D0C"/>
    <w:rsid w:val="00712521"/>
    <w:rsid w:val="007138E3"/>
    <w:rsid w:val="0071419D"/>
    <w:rsid w:val="007141BB"/>
    <w:rsid w:val="00714CB7"/>
    <w:rsid w:val="00716BDC"/>
    <w:rsid w:val="00717E98"/>
    <w:rsid w:val="00720013"/>
    <w:rsid w:val="00720A5E"/>
    <w:rsid w:val="00721153"/>
    <w:rsid w:val="007213B3"/>
    <w:rsid w:val="00721811"/>
    <w:rsid w:val="0072205E"/>
    <w:rsid w:val="00722B9E"/>
    <w:rsid w:val="007231FC"/>
    <w:rsid w:val="007234C0"/>
    <w:rsid w:val="007234C6"/>
    <w:rsid w:val="00723DBA"/>
    <w:rsid w:val="00724253"/>
    <w:rsid w:val="00724D93"/>
    <w:rsid w:val="0072630E"/>
    <w:rsid w:val="00726DF9"/>
    <w:rsid w:val="00726E4B"/>
    <w:rsid w:val="00726F14"/>
    <w:rsid w:val="007274F9"/>
    <w:rsid w:val="00727E1C"/>
    <w:rsid w:val="00730253"/>
    <w:rsid w:val="00730929"/>
    <w:rsid w:val="00731680"/>
    <w:rsid w:val="007323D5"/>
    <w:rsid w:val="00732D98"/>
    <w:rsid w:val="00732EDB"/>
    <w:rsid w:val="007335F9"/>
    <w:rsid w:val="00734BD5"/>
    <w:rsid w:val="0073509A"/>
    <w:rsid w:val="007354B2"/>
    <w:rsid w:val="00735783"/>
    <w:rsid w:val="007357BE"/>
    <w:rsid w:val="00736186"/>
    <w:rsid w:val="00736D1C"/>
    <w:rsid w:val="0073725B"/>
    <w:rsid w:val="00737BDE"/>
    <w:rsid w:val="0074018A"/>
    <w:rsid w:val="007402C8"/>
    <w:rsid w:val="0074153A"/>
    <w:rsid w:val="00741CEF"/>
    <w:rsid w:val="00743413"/>
    <w:rsid w:val="0074389B"/>
    <w:rsid w:val="00744117"/>
    <w:rsid w:val="00744234"/>
    <w:rsid w:val="00744389"/>
    <w:rsid w:val="00744B24"/>
    <w:rsid w:val="00744F02"/>
    <w:rsid w:val="0074502D"/>
    <w:rsid w:val="00745F2A"/>
    <w:rsid w:val="00747D1A"/>
    <w:rsid w:val="00747D97"/>
    <w:rsid w:val="00750056"/>
    <w:rsid w:val="0075005A"/>
    <w:rsid w:val="00750583"/>
    <w:rsid w:val="00751848"/>
    <w:rsid w:val="00751D55"/>
    <w:rsid w:val="0075202D"/>
    <w:rsid w:val="00752182"/>
    <w:rsid w:val="00753E03"/>
    <w:rsid w:val="00754292"/>
    <w:rsid w:val="00755385"/>
    <w:rsid w:val="0075648A"/>
    <w:rsid w:val="00756BF5"/>
    <w:rsid w:val="007600B6"/>
    <w:rsid w:val="00760646"/>
    <w:rsid w:val="00760743"/>
    <w:rsid w:val="007611D6"/>
    <w:rsid w:val="007615C1"/>
    <w:rsid w:val="00761ECB"/>
    <w:rsid w:val="00763E57"/>
    <w:rsid w:val="007648D7"/>
    <w:rsid w:val="00765375"/>
    <w:rsid w:val="0076562E"/>
    <w:rsid w:val="0076578E"/>
    <w:rsid w:val="00765953"/>
    <w:rsid w:val="00765B36"/>
    <w:rsid w:val="00765D48"/>
    <w:rsid w:val="00766582"/>
    <w:rsid w:val="00766EA2"/>
    <w:rsid w:val="0076767B"/>
    <w:rsid w:val="007679A0"/>
    <w:rsid w:val="00767DD5"/>
    <w:rsid w:val="00770260"/>
    <w:rsid w:val="007708F8"/>
    <w:rsid w:val="00770AE8"/>
    <w:rsid w:val="00770C5E"/>
    <w:rsid w:val="007716CD"/>
    <w:rsid w:val="00771F35"/>
    <w:rsid w:val="00772A2D"/>
    <w:rsid w:val="00772D5D"/>
    <w:rsid w:val="00772EF4"/>
    <w:rsid w:val="00772FFD"/>
    <w:rsid w:val="007734A6"/>
    <w:rsid w:val="00773DD5"/>
    <w:rsid w:val="007749E6"/>
    <w:rsid w:val="00776003"/>
    <w:rsid w:val="00776086"/>
    <w:rsid w:val="0077695D"/>
    <w:rsid w:val="00776EEF"/>
    <w:rsid w:val="007773DF"/>
    <w:rsid w:val="00780136"/>
    <w:rsid w:val="00780953"/>
    <w:rsid w:val="00781899"/>
    <w:rsid w:val="00782A9A"/>
    <w:rsid w:val="0078307D"/>
    <w:rsid w:val="007844F6"/>
    <w:rsid w:val="00784DA4"/>
    <w:rsid w:val="00785664"/>
    <w:rsid w:val="0078566A"/>
    <w:rsid w:val="007860EC"/>
    <w:rsid w:val="00786BFC"/>
    <w:rsid w:val="00786EC8"/>
    <w:rsid w:val="007870B3"/>
    <w:rsid w:val="007872B3"/>
    <w:rsid w:val="007878E3"/>
    <w:rsid w:val="00787C54"/>
    <w:rsid w:val="007906DF"/>
    <w:rsid w:val="007912DA"/>
    <w:rsid w:val="007915EC"/>
    <w:rsid w:val="00791D6E"/>
    <w:rsid w:val="007924E9"/>
    <w:rsid w:val="00792820"/>
    <w:rsid w:val="00792A87"/>
    <w:rsid w:val="00793036"/>
    <w:rsid w:val="0079373C"/>
    <w:rsid w:val="00793842"/>
    <w:rsid w:val="0079419D"/>
    <w:rsid w:val="00795880"/>
    <w:rsid w:val="00796215"/>
    <w:rsid w:val="0079661C"/>
    <w:rsid w:val="00796CB4"/>
    <w:rsid w:val="00796D1A"/>
    <w:rsid w:val="00796F15"/>
    <w:rsid w:val="0079712E"/>
    <w:rsid w:val="00797BEE"/>
    <w:rsid w:val="00797D70"/>
    <w:rsid w:val="007A015D"/>
    <w:rsid w:val="007A01D7"/>
    <w:rsid w:val="007A047C"/>
    <w:rsid w:val="007A081D"/>
    <w:rsid w:val="007A0C96"/>
    <w:rsid w:val="007A13F3"/>
    <w:rsid w:val="007A144D"/>
    <w:rsid w:val="007A27E7"/>
    <w:rsid w:val="007A290C"/>
    <w:rsid w:val="007A39E3"/>
    <w:rsid w:val="007A3C86"/>
    <w:rsid w:val="007A40E3"/>
    <w:rsid w:val="007A4620"/>
    <w:rsid w:val="007A58A7"/>
    <w:rsid w:val="007A5E69"/>
    <w:rsid w:val="007A7C88"/>
    <w:rsid w:val="007B1D35"/>
    <w:rsid w:val="007B25C4"/>
    <w:rsid w:val="007B2B5C"/>
    <w:rsid w:val="007B2E0E"/>
    <w:rsid w:val="007B42D7"/>
    <w:rsid w:val="007B4C47"/>
    <w:rsid w:val="007B4C57"/>
    <w:rsid w:val="007B4C5F"/>
    <w:rsid w:val="007B4FFD"/>
    <w:rsid w:val="007B5123"/>
    <w:rsid w:val="007B5143"/>
    <w:rsid w:val="007B56CF"/>
    <w:rsid w:val="007C0631"/>
    <w:rsid w:val="007C07AD"/>
    <w:rsid w:val="007C0820"/>
    <w:rsid w:val="007C1C3F"/>
    <w:rsid w:val="007C1DA3"/>
    <w:rsid w:val="007C2035"/>
    <w:rsid w:val="007C2583"/>
    <w:rsid w:val="007C2DE3"/>
    <w:rsid w:val="007C30F1"/>
    <w:rsid w:val="007C39CC"/>
    <w:rsid w:val="007C3EAD"/>
    <w:rsid w:val="007C4234"/>
    <w:rsid w:val="007C4510"/>
    <w:rsid w:val="007C4551"/>
    <w:rsid w:val="007C480B"/>
    <w:rsid w:val="007C4A25"/>
    <w:rsid w:val="007C4FF7"/>
    <w:rsid w:val="007C5A01"/>
    <w:rsid w:val="007C6F4A"/>
    <w:rsid w:val="007C79A0"/>
    <w:rsid w:val="007C7C6C"/>
    <w:rsid w:val="007D05BD"/>
    <w:rsid w:val="007D076E"/>
    <w:rsid w:val="007D1188"/>
    <w:rsid w:val="007D12B9"/>
    <w:rsid w:val="007D244D"/>
    <w:rsid w:val="007D3D9B"/>
    <w:rsid w:val="007D3F90"/>
    <w:rsid w:val="007D63ED"/>
    <w:rsid w:val="007D6538"/>
    <w:rsid w:val="007D6560"/>
    <w:rsid w:val="007D7127"/>
    <w:rsid w:val="007D7CE5"/>
    <w:rsid w:val="007E03D8"/>
    <w:rsid w:val="007E0BB6"/>
    <w:rsid w:val="007E0EF3"/>
    <w:rsid w:val="007E205E"/>
    <w:rsid w:val="007E233A"/>
    <w:rsid w:val="007E26B4"/>
    <w:rsid w:val="007E2E0C"/>
    <w:rsid w:val="007E3607"/>
    <w:rsid w:val="007E3C04"/>
    <w:rsid w:val="007E3E43"/>
    <w:rsid w:val="007E4E82"/>
    <w:rsid w:val="007E5FD4"/>
    <w:rsid w:val="007E67B9"/>
    <w:rsid w:val="007E68C8"/>
    <w:rsid w:val="007E6F18"/>
    <w:rsid w:val="007E71CD"/>
    <w:rsid w:val="007E7748"/>
    <w:rsid w:val="007F0319"/>
    <w:rsid w:val="007F0975"/>
    <w:rsid w:val="007F0BB1"/>
    <w:rsid w:val="007F13E7"/>
    <w:rsid w:val="007F1BDA"/>
    <w:rsid w:val="007F1FFD"/>
    <w:rsid w:val="007F279D"/>
    <w:rsid w:val="007F3533"/>
    <w:rsid w:val="007F3934"/>
    <w:rsid w:val="007F4348"/>
    <w:rsid w:val="007F446A"/>
    <w:rsid w:val="007F4544"/>
    <w:rsid w:val="007F48C3"/>
    <w:rsid w:val="007F52FE"/>
    <w:rsid w:val="007F5381"/>
    <w:rsid w:val="007F65DC"/>
    <w:rsid w:val="007F6B41"/>
    <w:rsid w:val="007F6F90"/>
    <w:rsid w:val="007F7618"/>
    <w:rsid w:val="007F7D85"/>
    <w:rsid w:val="00800342"/>
    <w:rsid w:val="0080096E"/>
    <w:rsid w:val="00800BA8"/>
    <w:rsid w:val="00801C62"/>
    <w:rsid w:val="00801D29"/>
    <w:rsid w:val="0080223D"/>
    <w:rsid w:val="00802FC1"/>
    <w:rsid w:val="0080575B"/>
    <w:rsid w:val="00807D23"/>
    <w:rsid w:val="008104F6"/>
    <w:rsid w:val="00811570"/>
    <w:rsid w:val="00811622"/>
    <w:rsid w:val="00812DFC"/>
    <w:rsid w:val="00813111"/>
    <w:rsid w:val="00813909"/>
    <w:rsid w:val="00814A6A"/>
    <w:rsid w:val="008151BA"/>
    <w:rsid w:val="00815F29"/>
    <w:rsid w:val="00816719"/>
    <w:rsid w:val="00817C31"/>
    <w:rsid w:val="00820011"/>
    <w:rsid w:val="0082006B"/>
    <w:rsid w:val="008206E5"/>
    <w:rsid w:val="00820762"/>
    <w:rsid w:val="00820E7A"/>
    <w:rsid w:val="00820F7B"/>
    <w:rsid w:val="00821022"/>
    <w:rsid w:val="0082119E"/>
    <w:rsid w:val="00821810"/>
    <w:rsid w:val="00821883"/>
    <w:rsid w:val="0082194F"/>
    <w:rsid w:val="00821989"/>
    <w:rsid w:val="00821B02"/>
    <w:rsid w:val="0082261B"/>
    <w:rsid w:val="008245BB"/>
    <w:rsid w:val="00824640"/>
    <w:rsid w:val="00824CDC"/>
    <w:rsid w:val="008255EC"/>
    <w:rsid w:val="008263BB"/>
    <w:rsid w:val="00826A0C"/>
    <w:rsid w:val="00826C0D"/>
    <w:rsid w:val="008274C0"/>
    <w:rsid w:val="008276CE"/>
    <w:rsid w:val="00827992"/>
    <w:rsid w:val="00827D25"/>
    <w:rsid w:val="008301B0"/>
    <w:rsid w:val="00830B0F"/>
    <w:rsid w:val="00831124"/>
    <w:rsid w:val="008312A0"/>
    <w:rsid w:val="008316D2"/>
    <w:rsid w:val="00832261"/>
    <w:rsid w:val="00832494"/>
    <w:rsid w:val="00832793"/>
    <w:rsid w:val="008342BB"/>
    <w:rsid w:val="008347E9"/>
    <w:rsid w:val="008357C8"/>
    <w:rsid w:val="00835ACC"/>
    <w:rsid w:val="00835F53"/>
    <w:rsid w:val="00836468"/>
    <w:rsid w:val="008405D8"/>
    <w:rsid w:val="008408A7"/>
    <w:rsid w:val="00840939"/>
    <w:rsid w:val="00840F8A"/>
    <w:rsid w:val="00841796"/>
    <w:rsid w:val="00842B22"/>
    <w:rsid w:val="0084485E"/>
    <w:rsid w:val="00844DE4"/>
    <w:rsid w:val="00845003"/>
    <w:rsid w:val="00851185"/>
    <w:rsid w:val="0085298A"/>
    <w:rsid w:val="008536C5"/>
    <w:rsid w:val="00853977"/>
    <w:rsid w:val="00853C52"/>
    <w:rsid w:val="00854275"/>
    <w:rsid w:val="00854335"/>
    <w:rsid w:val="008546DB"/>
    <w:rsid w:val="00855087"/>
    <w:rsid w:val="008559C1"/>
    <w:rsid w:val="00855D58"/>
    <w:rsid w:val="00855EC6"/>
    <w:rsid w:val="008565D2"/>
    <w:rsid w:val="008565F2"/>
    <w:rsid w:val="00856A2F"/>
    <w:rsid w:val="00857636"/>
    <w:rsid w:val="008602DF"/>
    <w:rsid w:val="00860538"/>
    <w:rsid w:val="008606BB"/>
    <w:rsid w:val="008608AD"/>
    <w:rsid w:val="00860E68"/>
    <w:rsid w:val="008611CB"/>
    <w:rsid w:val="00861F00"/>
    <w:rsid w:val="008629CF"/>
    <w:rsid w:val="00862B86"/>
    <w:rsid w:val="00863073"/>
    <w:rsid w:val="00864287"/>
    <w:rsid w:val="008648C9"/>
    <w:rsid w:val="00865790"/>
    <w:rsid w:val="0086647B"/>
    <w:rsid w:val="0086710C"/>
    <w:rsid w:val="00867B67"/>
    <w:rsid w:val="0087076B"/>
    <w:rsid w:val="00870BD9"/>
    <w:rsid w:val="008718CF"/>
    <w:rsid w:val="00871FB0"/>
    <w:rsid w:val="00871FD8"/>
    <w:rsid w:val="0087265D"/>
    <w:rsid w:val="00872670"/>
    <w:rsid w:val="00872F20"/>
    <w:rsid w:val="00873BF8"/>
    <w:rsid w:val="008746C6"/>
    <w:rsid w:val="00874878"/>
    <w:rsid w:val="00874BD2"/>
    <w:rsid w:val="00874DF2"/>
    <w:rsid w:val="00875429"/>
    <w:rsid w:val="0087553C"/>
    <w:rsid w:val="00875EA9"/>
    <w:rsid w:val="008760DC"/>
    <w:rsid w:val="0087648F"/>
    <w:rsid w:val="00876659"/>
    <w:rsid w:val="00876DD8"/>
    <w:rsid w:val="008771F0"/>
    <w:rsid w:val="0088101C"/>
    <w:rsid w:val="00881964"/>
    <w:rsid w:val="00881F5D"/>
    <w:rsid w:val="00881FB3"/>
    <w:rsid w:val="008826ED"/>
    <w:rsid w:val="00882DB6"/>
    <w:rsid w:val="0088384C"/>
    <w:rsid w:val="00884848"/>
    <w:rsid w:val="00885C92"/>
    <w:rsid w:val="00885DEE"/>
    <w:rsid w:val="00886A8D"/>
    <w:rsid w:val="008870B2"/>
    <w:rsid w:val="00887959"/>
    <w:rsid w:val="0089032A"/>
    <w:rsid w:val="00890B37"/>
    <w:rsid w:val="008911DD"/>
    <w:rsid w:val="008914C3"/>
    <w:rsid w:val="00891DC5"/>
    <w:rsid w:val="00893407"/>
    <w:rsid w:val="008944A9"/>
    <w:rsid w:val="00894B57"/>
    <w:rsid w:val="00894CA2"/>
    <w:rsid w:val="008951F8"/>
    <w:rsid w:val="0089559D"/>
    <w:rsid w:val="00895784"/>
    <w:rsid w:val="008975BF"/>
    <w:rsid w:val="008A0A5E"/>
    <w:rsid w:val="008A0D10"/>
    <w:rsid w:val="008A1212"/>
    <w:rsid w:val="008A15B4"/>
    <w:rsid w:val="008A21D2"/>
    <w:rsid w:val="008A2BCF"/>
    <w:rsid w:val="008A2E0B"/>
    <w:rsid w:val="008A3ADD"/>
    <w:rsid w:val="008A3D00"/>
    <w:rsid w:val="008A3F5A"/>
    <w:rsid w:val="008A435C"/>
    <w:rsid w:val="008A4801"/>
    <w:rsid w:val="008A4B17"/>
    <w:rsid w:val="008A4B9C"/>
    <w:rsid w:val="008A5303"/>
    <w:rsid w:val="008A5523"/>
    <w:rsid w:val="008A69CA"/>
    <w:rsid w:val="008A69E3"/>
    <w:rsid w:val="008A6A0D"/>
    <w:rsid w:val="008A7339"/>
    <w:rsid w:val="008A7744"/>
    <w:rsid w:val="008B035F"/>
    <w:rsid w:val="008B1431"/>
    <w:rsid w:val="008B1934"/>
    <w:rsid w:val="008B222A"/>
    <w:rsid w:val="008B25A8"/>
    <w:rsid w:val="008B2BAD"/>
    <w:rsid w:val="008B364F"/>
    <w:rsid w:val="008B38A6"/>
    <w:rsid w:val="008B40B2"/>
    <w:rsid w:val="008B40B4"/>
    <w:rsid w:val="008B4BA1"/>
    <w:rsid w:val="008B4D34"/>
    <w:rsid w:val="008B4FA8"/>
    <w:rsid w:val="008B5AE2"/>
    <w:rsid w:val="008B6E8A"/>
    <w:rsid w:val="008C0422"/>
    <w:rsid w:val="008C06DF"/>
    <w:rsid w:val="008C11B1"/>
    <w:rsid w:val="008C1815"/>
    <w:rsid w:val="008C2A34"/>
    <w:rsid w:val="008C3373"/>
    <w:rsid w:val="008C3B9E"/>
    <w:rsid w:val="008C56DD"/>
    <w:rsid w:val="008C5FC8"/>
    <w:rsid w:val="008D0C93"/>
    <w:rsid w:val="008D1119"/>
    <w:rsid w:val="008D1B1B"/>
    <w:rsid w:val="008D1DB8"/>
    <w:rsid w:val="008D1F06"/>
    <w:rsid w:val="008D2F8B"/>
    <w:rsid w:val="008D31B7"/>
    <w:rsid w:val="008D31DC"/>
    <w:rsid w:val="008D3458"/>
    <w:rsid w:val="008D366D"/>
    <w:rsid w:val="008D3CE9"/>
    <w:rsid w:val="008D4F0B"/>
    <w:rsid w:val="008D53CF"/>
    <w:rsid w:val="008D594A"/>
    <w:rsid w:val="008D5F52"/>
    <w:rsid w:val="008D6719"/>
    <w:rsid w:val="008D737C"/>
    <w:rsid w:val="008E0421"/>
    <w:rsid w:val="008E10D0"/>
    <w:rsid w:val="008E1B06"/>
    <w:rsid w:val="008E23E5"/>
    <w:rsid w:val="008E2BD8"/>
    <w:rsid w:val="008E2E8C"/>
    <w:rsid w:val="008E30A5"/>
    <w:rsid w:val="008E3965"/>
    <w:rsid w:val="008E3CED"/>
    <w:rsid w:val="008E5846"/>
    <w:rsid w:val="008E5E2A"/>
    <w:rsid w:val="008E6071"/>
    <w:rsid w:val="008E60F0"/>
    <w:rsid w:val="008E6DEF"/>
    <w:rsid w:val="008E6F36"/>
    <w:rsid w:val="008E7F3F"/>
    <w:rsid w:val="008F0222"/>
    <w:rsid w:val="008F0B0A"/>
    <w:rsid w:val="008F2583"/>
    <w:rsid w:val="008F285F"/>
    <w:rsid w:val="008F4E6B"/>
    <w:rsid w:val="008F4E7E"/>
    <w:rsid w:val="008F51E0"/>
    <w:rsid w:val="008F56B2"/>
    <w:rsid w:val="008F5DA4"/>
    <w:rsid w:val="008F77F3"/>
    <w:rsid w:val="00900A70"/>
    <w:rsid w:val="0090134A"/>
    <w:rsid w:val="00901388"/>
    <w:rsid w:val="00901449"/>
    <w:rsid w:val="00901A49"/>
    <w:rsid w:val="00901B17"/>
    <w:rsid w:val="00901B18"/>
    <w:rsid w:val="00902075"/>
    <w:rsid w:val="00902297"/>
    <w:rsid w:val="009027B8"/>
    <w:rsid w:val="009027DF"/>
    <w:rsid w:val="00902862"/>
    <w:rsid w:val="00902A52"/>
    <w:rsid w:val="0090307A"/>
    <w:rsid w:val="00903343"/>
    <w:rsid w:val="0090413D"/>
    <w:rsid w:val="0090421C"/>
    <w:rsid w:val="00904BE9"/>
    <w:rsid w:val="009051C9"/>
    <w:rsid w:val="009055CE"/>
    <w:rsid w:val="00905663"/>
    <w:rsid w:val="00906171"/>
    <w:rsid w:val="00906702"/>
    <w:rsid w:val="00907733"/>
    <w:rsid w:val="00907B05"/>
    <w:rsid w:val="00911E6A"/>
    <w:rsid w:val="00912D74"/>
    <w:rsid w:val="00913881"/>
    <w:rsid w:val="00914475"/>
    <w:rsid w:val="0091451A"/>
    <w:rsid w:val="00914DD8"/>
    <w:rsid w:val="00916538"/>
    <w:rsid w:val="009166ED"/>
    <w:rsid w:val="00916D19"/>
    <w:rsid w:val="00916DE7"/>
    <w:rsid w:val="009171EB"/>
    <w:rsid w:val="00917E4E"/>
    <w:rsid w:val="00921224"/>
    <w:rsid w:val="00921A99"/>
    <w:rsid w:val="009227E5"/>
    <w:rsid w:val="0092368D"/>
    <w:rsid w:val="00923DAE"/>
    <w:rsid w:val="0092507E"/>
    <w:rsid w:val="00925B35"/>
    <w:rsid w:val="00925D97"/>
    <w:rsid w:val="00925FDD"/>
    <w:rsid w:val="00926048"/>
    <w:rsid w:val="00927072"/>
    <w:rsid w:val="009276CF"/>
    <w:rsid w:val="0093147C"/>
    <w:rsid w:val="00931698"/>
    <w:rsid w:val="00931789"/>
    <w:rsid w:val="00931818"/>
    <w:rsid w:val="00931945"/>
    <w:rsid w:val="00931F51"/>
    <w:rsid w:val="00932B87"/>
    <w:rsid w:val="00932BFD"/>
    <w:rsid w:val="00932FD4"/>
    <w:rsid w:val="00934C24"/>
    <w:rsid w:val="0093549C"/>
    <w:rsid w:val="00936612"/>
    <w:rsid w:val="0093697B"/>
    <w:rsid w:val="00940CBB"/>
    <w:rsid w:val="00940F88"/>
    <w:rsid w:val="00941009"/>
    <w:rsid w:val="00941271"/>
    <w:rsid w:val="009415BA"/>
    <w:rsid w:val="0094214E"/>
    <w:rsid w:val="0094236C"/>
    <w:rsid w:val="00942A1B"/>
    <w:rsid w:val="00942A78"/>
    <w:rsid w:val="00943169"/>
    <w:rsid w:val="009436F5"/>
    <w:rsid w:val="00944004"/>
    <w:rsid w:val="009441D3"/>
    <w:rsid w:val="009446F2"/>
    <w:rsid w:val="00944F47"/>
    <w:rsid w:val="00945385"/>
    <w:rsid w:val="00946208"/>
    <w:rsid w:val="00946268"/>
    <w:rsid w:val="009470D0"/>
    <w:rsid w:val="00950CFB"/>
    <w:rsid w:val="00951A3A"/>
    <w:rsid w:val="00951F16"/>
    <w:rsid w:val="00952B12"/>
    <w:rsid w:val="00952E48"/>
    <w:rsid w:val="009530DD"/>
    <w:rsid w:val="009533F7"/>
    <w:rsid w:val="009535DF"/>
    <w:rsid w:val="00953780"/>
    <w:rsid w:val="00953953"/>
    <w:rsid w:val="00953958"/>
    <w:rsid w:val="00953D53"/>
    <w:rsid w:val="0095444A"/>
    <w:rsid w:val="00954B2F"/>
    <w:rsid w:val="00955105"/>
    <w:rsid w:val="0095572D"/>
    <w:rsid w:val="00955B65"/>
    <w:rsid w:val="00956362"/>
    <w:rsid w:val="009568C1"/>
    <w:rsid w:val="00956E66"/>
    <w:rsid w:val="0095752F"/>
    <w:rsid w:val="00957653"/>
    <w:rsid w:val="00960A87"/>
    <w:rsid w:val="00960E35"/>
    <w:rsid w:val="009613C6"/>
    <w:rsid w:val="009617C7"/>
    <w:rsid w:val="00961DB4"/>
    <w:rsid w:val="00962639"/>
    <w:rsid w:val="00962E15"/>
    <w:rsid w:val="00963F3E"/>
    <w:rsid w:val="009641A6"/>
    <w:rsid w:val="00965295"/>
    <w:rsid w:val="00965336"/>
    <w:rsid w:val="00965C3B"/>
    <w:rsid w:val="00965C45"/>
    <w:rsid w:val="00965F61"/>
    <w:rsid w:val="009660B7"/>
    <w:rsid w:val="0096669A"/>
    <w:rsid w:val="00966D77"/>
    <w:rsid w:val="009670F1"/>
    <w:rsid w:val="00970245"/>
    <w:rsid w:val="00970400"/>
    <w:rsid w:val="00971280"/>
    <w:rsid w:val="00971422"/>
    <w:rsid w:val="0097226B"/>
    <w:rsid w:val="009726E6"/>
    <w:rsid w:val="0097286A"/>
    <w:rsid w:val="00972B38"/>
    <w:rsid w:val="0097350C"/>
    <w:rsid w:val="0097477C"/>
    <w:rsid w:val="00976317"/>
    <w:rsid w:val="00976C14"/>
    <w:rsid w:val="00976CB7"/>
    <w:rsid w:val="00976D7D"/>
    <w:rsid w:val="00977226"/>
    <w:rsid w:val="00980114"/>
    <w:rsid w:val="009808E2"/>
    <w:rsid w:val="00981EA4"/>
    <w:rsid w:val="00983551"/>
    <w:rsid w:val="00983D78"/>
    <w:rsid w:val="00985596"/>
    <w:rsid w:val="00986C51"/>
    <w:rsid w:val="00986E8E"/>
    <w:rsid w:val="00987498"/>
    <w:rsid w:val="00987AB1"/>
    <w:rsid w:val="0099061C"/>
    <w:rsid w:val="00990C2C"/>
    <w:rsid w:val="00991508"/>
    <w:rsid w:val="00991928"/>
    <w:rsid w:val="0099267E"/>
    <w:rsid w:val="00993EEA"/>
    <w:rsid w:val="00993F2C"/>
    <w:rsid w:val="0099458F"/>
    <w:rsid w:val="00994C8D"/>
    <w:rsid w:val="00995223"/>
    <w:rsid w:val="00995DF6"/>
    <w:rsid w:val="00995EA4"/>
    <w:rsid w:val="00996272"/>
    <w:rsid w:val="00996AD8"/>
    <w:rsid w:val="0099775F"/>
    <w:rsid w:val="00997A45"/>
    <w:rsid w:val="00997B1E"/>
    <w:rsid w:val="009A006C"/>
    <w:rsid w:val="009A18E5"/>
    <w:rsid w:val="009A18F8"/>
    <w:rsid w:val="009A1E54"/>
    <w:rsid w:val="009A3BAB"/>
    <w:rsid w:val="009A461C"/>
    <w:rsid w:val="009A47E1"/>
    <w:rsid w:val="009A4F3F"/>
    <w:rsid w:val="009A5824"/>
    <w:rsid w:val="009A586C"/>
    <w:rsid w:val="009A5F09"/>
    <w:rsid w:val="009A5F28"/>
    <w:rsid w:val="009A679D"/>
    <w:rsid w:val="009A69A5"/>
    <w:rsid w:val="009A6DC4"/>
    <w:rsid w:val="009A7559"/>
    <w:rsid w:val="009A7F9A"/>
    <w:rsid w:val="009B055C"/>
    <w:rsid w:val="009B09E5"/>
    <w:rsid w:val="009B0CA6"/>
    <w:rsid w:val="009B253E"/>
    <w:rsid w:val="009B2643"/>
    <w:rsid w:val="009B27DE"/>
    <w:rsid w:val="009B285D"/>
    <w:rsid w:val="009B2BE4"/>
    <w:rsid w:val="009B2F92"/>
    <w:rsid w:val="009B4614"/>
    <w:rsid w:val="009B4A08"/>
    <w:rsid w:val="009B4F9B"/>
    <w:rsid w:val="009B50B7"/>
    <w:rsid w:val="009B51D1"/>
    <w:rsid w:val="009B5B62"/>
    <w:rsid w:val="009B6130"/>
    <w:rsid w:val="009B6187"/>
    <w:rsid w:val="009B6DCF"/>
    <w:rsid w:val="009B7A26"/>
    <w:rsid w:val="009C19AE"/>
    <w:rsid w:val="009C1D17"/>
    <w:rsid w:val="009C360A"/>
    <w:rsid w:val="009C43EC"/>
    <w:rsid w:val="009C4400"/>
    <w:rsid w:val="009C492E"/>
    <w:rsid w:val="009C4FA1"/>
    <w:rsid w:val="009C5047"/>
    <w:rsid w:val="009C5C59"/>
    <w:rsid w:val="009C5F64"/>
    <w:rsid w:val="009C61F3"/>
    <w:rsid w:val="009C6AEC"/>
    <w:rsid w:val="009C6E2D"/>
    <w:rsid w:val="009C74D8"/>
    <w:rsid w:val="009C78BD"/>
    <w:rsid w:val="009D194A"/>
    <w:rsid w:val="009D19C5"/>
    <w:rsid w:val="009D1D6F"/>
    <w:rsid w:val="009D1F80"/>
    <w:rsid w:val="009D2780"/>
    <w:rsid w:val="009D2D12"/>
    <w:rsid w:val="009D387B"/>
    <w:rsid w:val="009D3A41"/>
    <w:rsid w:val="009D4540"/>
    <w:rsid w:val="009D4637"/>
    <w:rsid w:val="009D4887"/>
    <w:rsid w:val="009D4B4B"/>
    <w:rsid w:val="009D4C8E"/>
    <w:rsid w:val="009D54DE"/>
    <w:rsid w:val="009D5686"/>
    <w:rsid w:val="009D575B"/>
    <w:rsid w:val="009D6162"/>
    <w:rsid w:val="009D663B"/>
    <w:rsid w:val="009D694D"/>
    <w:rsid w:val="009D6FD5"/>
    <w:rsid w:val="009D790C"/>
    <w:rsid w:val="009E006A"/>
    <w:rsid w:val="009E0A68"/>
    <w:rsid w:val="009E0D7C"/>
    <w:rsid w:val="009E106F"/>
    <w:rsid w:val="009E1630"/>
    <w:rsid w:val="009E2896"/>
    <w:rsid w:val="009E32B6"/>
    <w:rsid w:val="009E4F1C"/>
    <w:rsid w:val="009E5E06"/>
    <w:rsid w:val="009E6040"/>
    <w:rsid w:val="009E7584"/>
    <w:rsid w:val="009E7BD9"/>
    <w:rsid w:val="009F0DF1"/>
    <w:rsid w:val="009F27D6"/>
    <w:rsid w:val="009F349B"/>
    <w:rsid w:val="009F4775"/>
    <w:rsid w:val="009F4FA4"/>
    <w:rsid w:val="009F5266"/>
    <w:rsid w:val="009F6D16"/>
    <w:rsid w:val="009F750F"/>
    <w:rsid w:val="00A0022C"/>
    <w:rsid w:val="00A01844"/>
    <w:rsid w:val="00A01A64"/>
    <w:rsid w:val="00A02E0C"/>
    <w:rsid w:val="00A0350B"/>
    <w:rsid w:val="00A03840"/>
    <w:rsid w:val="00A045ED"/>
    <w:rsid w:val="00A04F84"/>
    <w:rsid w:val="00A053C8"/>
    <w:rsid w:val="00A057EE"/>
    <w:rsid w:val="00A0593E"/>
    <w:rsid w:val="00A06503"/>
    <w:rsid w:val="00A06E91"/>
    <w:rsid w:val="00A075B9"/>
    <w:rsid w:val="00A10119"/>
    <w:rsid w:val="00A1087C"/>
    <w:rsid w:val="00A10925"/>
    <w:rsid w:val="00A10F09"/>
    <w:rsid w:val="00A115D8"/>
    <w:rsid w:val="00A11AD0"/>
    <w:rsid w:val="00A124CC"/>
    <w:rsid w:val="00A1296A"/>
    <w:rsid w:val="00A12ABF"/>
    <w:rsid w:val="00A13B77"/>
    <w:rsid w:val="00A141E6"/>
    <w:rsid w:val="00A14D51"/>
    <w:rsid w:val="00A15A1F"/>
    <w:rsid w:val="00A15B1C"/>
    <w:rsid w:val="00A1651C"/>
    <w:rsid w:val="00A16CFC"/>
    <w:rsid w:val="00A178B9"/>
    <w:rsid w:val="00A17942"/>
    <w:rsid w:val="00A17E61"/>
    <w:rsid w:val="00A201E0"/>
    <w:rsid w:val="00A20567"/>
    <w:rsid w:val="00A21519"/>
    <w:rsid w:val="00A226EE"/>
    <w:rsid w:val="00A22882"/>
    <w:rsid w:val="00A229C1"/>
    <w:rsid w:val="00A22E14"/>
    <w:rsid w:val="00A23757"/>
    <w:rsid w:val="00A23CEA"/>
    <w:rsid w:val="00A248B6"/>
    <w:rsid w:val="00A24D25"/>
    <w:rsid w:val="00A266C1"/>
    <w:rsid w:val="00A266E6"/>
    <w:rsid w:val="00A273E6"/>
    <w:rsid w:val="00A27A22"/>
    <w:rsid w:val="00A30492"/>
    <w:rsid w:val="00A30BD3"/>
    <w:rsid w:val="00A30C1E"/>
    <w:rsid w:val="00A30E36"/>
    <w:rsid w:val="00A31543"/>
    <w:rsid w:val="00A31D40"/>
    <w:rsid w:val="00A31FB2"/>
    <w:rsid w:val="00A32101"/>
    <w:rsid w:val="00A333BC"/>
    <w:rsid w:val="00A33D69"/>
    <w:rsid w:val="00A34E31"/>
    <w:rsid w:val="00A35EB5"/>
    <w:rsid w:val="00A36C54"/>
    <w:rsid w:val="00A36CFE"/>
    <w:rsid w:val="00A36DDE"/>
    <w:rsid w:val="00A37396"/>
    <w:rsid w:val="00A379E0"/>
    <w:rsid w:val="00A403E6"/>
    <w:rsid w:val="00A407FE"/>
    <w:rsid w:val="00A41294"/>
    <w:rsid w:val="00A4151C"/>
    <w:rsid w:val="00A419C0"/>
    <w:rsid w:val="00A41A44"/>
    <w:rsid w:val="00A41C6E"/>
    <w:rsid w:val="00A41E99"/>
    <w:rsid w:val="00A42DE6"/>
    <w:rsid w:val="00A43294"/>
    <w:rsid w:val="00A432AD"/>
    <w:rsid w:val="00A43376"/>
    <w:rsid w:val="00A434F4"/>
    <w:rsid w:val="00A43D6B"/>
    <w:rsid w:val="00A43FE4"/>
    <w:rsid w:val="00A4433D"/>
    <w:rsid w:val="00A446D7"/>
    <w:rsid w:val="00A44B38"/>
    <w:rsid w:val="00A44C3B"/>
    <w:rsid w:val="00A45281"/>
    <w:rsid w:val="00A45CAC"/>
    <w:rsid w:val="00A468CB"/>
    <w:rsid w:val="00A501A2"/>
    <w:rsid w:val="00A50443"/>
    <w:rsid w:val="00A50795"/>
    <w:rsid w:val="00A512ED"/>
    <w:rsid w:val="00A519A2"/>
    <w:rsid w:val="00A51B88"/>
    <w:rsid w:val="00A53075"/>
    <w:rsid w:val="00A5340E"/>
    <w:rsid w:val="00A53A2B"/>
    <w:rsid w:val="00A54A62"/>
    <w:rsid w:val="00A5650C"/>
    <w:rsid w:val="00A576C6"/>
    <w:rsid w:val="00A57A4D"/>
    <w:rsid w:val="00A6135C"/>
    <w:rsid w:val="00A614F4"/>
    <w:rsid w:val="00A625F6"/>
    <w:rsid w:val="00A62695"/>
    <w:rsid w:val="00A62E06"/>
    <w:rsid w:val="00A62F5F"/>
    <w:rsid w:val="00A631D3"/>
    <w:rsid w:val="00A632B9"/>
    <w:rsid w:val="00A65371"/>
    <w:rsid w:val="00A660E7"/>
    <w:rsid w:val="00A66948"/>
    <w:rsid w:val="00A67C21"/>
    <w:rsid w:val="00A707A3"/>
    <w:rsid w:val="00A716DB"/>
    <w:rsid w:val="00A7268A"/>
    <w:rsid w:val="00A72794"/>
    <w:rsid w:val="00A72F21"/>
    <w:rsid w:val="00A7306B"/>
    <w:rsid w:val="00A734E5"/>
    <w:rsid w:val="00A749AC"/>
    <w:rsid w:val="00A74D14"/>
    <w:rsid w:val="00A753DE"/>
    <w:rsid w:val="00A756ED"/>
    <w:rsid w:val="00A758B7"/>
    <w:rsid w:val="00A75A04"/>
    <w:rsid w:val="00A769E6"/>
    <w:rsid w:val="00A7735B"/>
    <w:rsid w:val="00A7755E"/>
    <w:rsid w:val="00A7757E"/>
    <w:rsid w:val="00A7761F"/>
    <w:rsid w:val="00A77B66"/>
    <w:rsid w:val="00A77F1B"/>
    <w:rsid w:val="00A806AB"/>
    <w:rsid w:val="00A808E9"/>
    <w:rsid w:val="00A818A8"/>
    <w:rsid w:val="00A822EE"/>
    <w:rsid w:val="00A827D8"/>
    <w:rsid w:val="00A83265"/>
    <w:rsid w:val="00A83362"/>
    <w:rsid w:val="00A83466"/>
    <w:rsid w:val="00A83BC0"/>
    <w:rsid w:val="00A8452E"/>
    <w:rsid w:val="00A84896"/>
    <w:rsid w:val="00A84A93"/>
    <w:rsid w:val="00A84B94"/>
    <w:rsid w:val="00A85554"/>
    <w:rsid w:val="00A856DC"/>
    <w:rsid w:val="00A85D64"/>
    <w:rsid w:val="00A86A82"/>
    <w:rsid w:val="00A86D63"/>
    <w:rsid w:val="00A872DD"/>
    <w:rsid w:val="00A87810"/>
    <w:rsid w:val="00A904F7"/>
    <w:rsid w:val="00A922BE"/>
    <w:rsid w:val="00A939D7"/>
    <w:rsid w:val="00A93C8B"/>
    <w:rsid w:val="00A93DD5"/>
    <w:rsid w:val="00A944B7"/>
    <w:rsid w:val="00A94A70"/>
    <w:rsid w:val="00A94B44"/>
    <w:rsid w:val="00A94C49"/>
    <w:rsid w:val="00A94E94"/>
    <w:rsid w:val="00A95FE5"/>
    <w:rsid w:val="00A9710B"/>
    <w:rsid w:val="00A97191"/>
    <w:rsid w:val="00A97A0F"/>
    <w:rsid w:val="00AA0675"/>
    <w:rsid w:val="00AA0AA5"/>
    <w:rsid w:val="00AA0B37"/>
    <w:rsid w:val="00AA0D09"/>
    <w:rsid w:val="00AA1159"/>
    <w:rsid w:val="00AA1ED0"/>
    <w:rsid w:val="00AA2B6C"/>
    <w:rsid w:val="00AA2F79"/>
    <w:rsid w:val="00AA30C5"/>
    <w:rsid w:val="00AA33DA"/>
    <w:rsid w:val="00AA3D6A"/>
    <w:rsid w:val="00AA4855"/>
    <w:rsid w:val="00AA490A"/>
    <w:rsid w:val="00AA4960"/>
    <w:rsid w:val="00AA4E72"/>
    <w:rsid w:val="00AA5846"/>
    <w:rsid w:val="00AA749D"/>
    <w:rsid w:val="00AB094D"/>
    <w:rsid w:val="00AB15D8"/>
    <w:rsid w:val="00AB1694"/>
    <w:rsid w:val="00AB23E2"/>
    <w:rsid w:val="00AB28F2"/>
    <w:rsid w:val="00AB29DF"/>
    <w:rsid w:val="00AB372D"/>
    <w:rsid w:val="00AB3FBF"/>
    <w:rsid w:val="00AB41DC"/>
    <w:rsid w:val="00AB4ACE"/>
    <w:rsid w:val="00AB4ADA"/>
    <w:rsid w:val="00AB57AD"/>
    <w:rsid w:val="00AB67FA"/>
    <w:rsid w:val="00AB6AED"/>
    <w:rsid w:val="00AB6C4A"/>
    <w:rsid w:val="00AB6D6E"/>
    <w:rsid w:val="00AB6DF1"/>
    <w:rsid w:val="00AC0E95"/>
    <w:rsid w:val="00AC0EE4"/>
    <w:rsid w:val="00AC2559"/>
    <w:rsid w:val="00AC25B3"/>
    <w:rsid w:val="00AC2725"/>
    <w:rsid w:val="00AC4162"/>
    <w:rsid w:val="00AC57FE"/>
    <w:rsid w:val="00AC58FC"/>
    <w:rsid w:val="00AC67D7"/>
    <w:rsid w:val="00AC68A0"/>
    <w:rsid w:val="00AC712E"/>
    <w:rsid w:val="00AD0A27"/>
    <w:rsid w:val="00AD0E52"/>
    <w:rsid w:val="00AD153A"/>
    <w:rsid w:val="00AD19EB"/>
    <w:rsid w:val="00AD1D57"/>
    <w:rsid w:val="00AD20C5"/>
    <w:rsid w:val="00AD2405"/>
    <w:rsid w:val="00AD2CF8"/>
    <w:rsid w:val="00AD3578"/>
    <w:rsid w:val="00AD3863"/>
    <w:rsid w:val="00AD3B3F"/>
    <w:rsid w:val="00AD4056"/>
    <w:rsid w:val="00AD4EAA"/>
    <w:rsid w:val="00AD52E6"/>
    <w:rsid w:val="00AD67E4"/>
    <w:rsid w:val="00AD75BC"/>
    <w:rsid w:val="00AD7A44"/>
    <w:rsid w:val="00AE060D"/>
    <w:rsid w:val="00AE0FB5"/>
    <w:rsid w:val="00AE15DD"/>
    <w:rsid w:val="00AE2C37"/>
    <w:rsid w:val="00AE34D9"/>
    <w:rsid w:val="00AE3693"/>
    <w:rsid w:val="00AE4D8F"/>
    <w:rsid w:val="00AE5379"/>
    <w:rsid w:val="00AE5612"/>
    <w:rsid w:val="00AE5ABD"/>
    <w:rsid w:val="00AE5B7E"/>
    <w:rsid w:val="00AE628C"/>
    <w:rsid w:val="00AE656D"/>
    <w:rsid w:val="00AE6CD5"/>
    <w:rsid w:val="00AE6EE4"/>
    <w:rsid w:val="00AE7251"/>
    <w:rsid w:val="00AE7945"/>
    <w:rsid w:val="00AE7A05"/>
    <w:rsid w:val="00AE7EE8"/>
    <w:rsid w:val="00AF0013"/>
    <w:rsid w:val="00AF0321"/>
    <w:rsid w:val="00AF0D2F"/>
    <w:rsid w:val="00AF1763"/>
    <w:rsid w:val="00AF17D8"/>
    <w:rsid w:val="00AF1AD7"/>
    <w:rsid w:val="00AF1D9D"/>
    <w:rsid w:val="00AF2034"/>
    <w:rsid w:val="00AF2CC5"/>
    <w:rsid w:val="00AF3EF5"/>
    <w:rsid w:val="00AF407C"/>
    <w:rsid w:val="00AF580D"/>
    <w:rsid w:val="00AF5EB0"/>
    <w:rsid w:val="00AF7FE9"/>
    <w:rsid w:val="00B0009C"/>
    <w:rsid w:val="00B002BE"/>
    <w:rsid w:val="00B002DD"/>
    <w:rsid w:val="00B0174A"/>
    <w:rsid w:val="00B0198A"/>
    <w:rsid w:val="00B01BDE"/>
    <w:rsid w:val="00B01C84"/>
    <w:rsid w:val="00B01F99"/>
    <w:rsid w:val="00B02206"/>
    <w:rsid w:val="00B02528"/>
    <w:rsid w:val="00B03D3B"/>
    <w:rsid w:val="00B0443F"/>
    <w:rsid w:val="00B05C83"/>
    <w:rsid w:val="00B0629F"/>
    <w:rsid w:val="00B062B9"/>
    <w:rsid w:val="00B069F8"/>
    <w:rsid w:val="00B06E46"/>
    <w:rsid w:val="00B0778E"/>
    <w:rsid w:val="00B07D60"/>
    <w:rsid w:val="00B104C6"/>
    <w:rsid w:val="00B106DE"/>
    <w:rsid w:val="00B10A83"/>
    <w:rsid w:val="00B10C3A"/>
    <w:rsid w:val="00B10C55"/>
    <w:rsid w:val="00B11025"/>
    <w:rsid w:val="00B116EA"/>
    <w:rsid w:val="00B11E4C"/>
    <w:rsid w:val="00B11F95"/>
    <w:rsid w:val="00B122CF"/>
    <w:rsid w:val="00B1254A"/>
    <w:rsid w:val="00B126A8"/>
    <w:rsid w:val="00B12BFB"/>
    <w:rsid w:val="00B12E2C"/>
    <w:rsid w:val="00B13005"/>
    <w:rsid w:val="00B13762"/>
    <w:rsid w:val="00B13A8B"/>
    <w:rsid w:val="00B13BCD"/>
    <w:rsid w:val="00B141A4"/>
    <w:rsid w:val="00B1458A"/>
    <w:rsid w:val="00B14A12"/>
    <w:rsid w:val="00B14BD6"/>
    <w:rsid w:val="00B1547E"/>
    <w:rsid w:val="00B158DC"/>
    <w:rsid w:val="00B16307"/>
    <w:rsid w:val="00B169E5"/>
    <w:rsid w:val="00B17949"/>
    <w:rsid w:val="00B20509"/>
    <w:rsid w:val="00B20A24"/>
    <w:rsid w:val="00B217BB"/>
    <w:rsid w:val="00B22EAD"/>
    <w:rsid w:val="00B238A2"/>
    <w:rsid w:val="00B23EAD"/>
    <w:rsid w:val="00B24123"/>
    <w:rsid w:val="00B24329"/>
    <w:rsid w:val="00B245A1"/>
    <w:rsid w:val="00B24677"/>
    <w:rsid w:val="00B25569"/>
    <w:rsid w:val="00B258F6"/>
    <w:rsid w:val="00B26FC1"/>
    <w:rsid w:val="00B27E0E"/>
    <w:rsid w:val="00B30E8C"/>
    <w:rsid w:val="00B31604"/>
    <w:rsid w:val="00B317BE"/>
    <w:rsid w:val="00B32092"/>
    <w:rsid w:val="00B32106"/>
    <w:rsid w:val="00B327B7"/>
    <w:rsid w:val="00B32DD0"/>
    <w:rsid w:val="00B32FCA"/>
    <w:rsid w:val="00B33710"/>
    <w:rsid w:val="00B34428"/>
    <w:rsid w:val="00B3473A"/>
    <w:rsid w:val="00B348D5"/>
    <w:rsid w:val="00B3499E"/>
    <w:rsid w:val="00B34C8A"/>
    <w:rsid w:val="00B34D3B"/>
    <w:rsid w:val="00B34FC8"/>
    <w:rsid w:val="00B357F6"/>
    <w:rsid w:val="00B359E5"/>
    <w:rsid w:val="00B35A30"/>
    <w:rsid w:val="00B35D16"/>
    <w:rsid w:val="00B3664E"/>
    <w:rsid w:val="00B37409"/>
    <w:rsid w:val="00B403A3"/>
    <w:rsid w:val="00B4090F"/>
    <w:rsid w:val="00B40EA8"/>
    <w:rsid w:val="00B4115A"/>
    <w:rsid w:val="00B41924"/>
    <w:rsid w:val="00B41CFC"/>
    <w:rsid w:val="00B420CF"/>
    <w:rsid w:val="00B4295A"/>
    <w:rsid w:val="00B43D50"/>
    <w:rsid w:val="00B43E05"/>
    <w:rsid w:val="00B45F5B"/>
    <w:rsid w:val="00B472A6"/>
    <w:rsid w:val="00B47A6D"/>
    <w:rsid w:val="00B503F2"/>
    <w:rsid w:val="00B508A2"/>
    <w:rsid w:val="00B50FD7"/>
    <w:rsid w:val="00B53B9C"/>
    <w:rsid w:val="00B54147"/>
    <w:rsid w:val="00B5454E"/>
    <w:rsid w:val="00B555D7"/>
    <w:rsid w:val="00B55813"/>
    <w:rsid w:val="00B567CA"/>
    <w:rsid w:val="00B56A5D"/>
    <w:rsid w:val="00B578EA"/>
    <w:rsid w:val="00B603C6"/>
    <w:rsid w:val="00B6110E"/>
    <w:rsid w:val="00B61E17"/>
    <w:rsid w:val="00B630FB"/>
    <w:rsid w:val="00B63400"/>
    <w:rsid w:val="00B63A0C"/>
    <w:rsid w:val="00B63C69"/>
    <w:rsid w:val="00B64341"/>
    <w:rsid w:val="00B64605"/>
    <w:rsid w:val="00B648F5"/>
    <w:rsid w:val="00B65B9A"/>
    <w:rsid w:val="00B66234"/>
    <w:rsid w:val="00B668A2"/>
    <w:rsid w:val="00B673A1"/>
    <w:rsid w:val="00B70DCD"/>
    <w:rsid w:val="00B71582"/>
    <w:rsid w:val="00B7192A"/>
    <w:rsid w:val="00B71C48"/>
    <w:rsid w:val="00B72F70"/>
    <w:rsid w:val="00B73A64"/>
    <w:rsid w:val="00B74BFA"/>
    <w:rsid w:val="00B751AD"/>
    <w:rsid w:val="00B75671"/>
    <w:rsid w:val="00B759AC"/>
    <w:rsid w:val="00B75DEB"/>
    <w:rsid w:val="00B7687F"/>
    <w:rsid w:val="00B76EE9"/>
    <w:rsid w:val="00B775E6"/>
    <w:rsid w:val="00B77D7B"/>
    <w:rsid w:val="00B80765"/>
    <w:rsid w:val="00B80C0E"/>
    <w:rsid w:val="00B81646"/>
    <w:rsid w:val="00B816A8"/>
    <w:rsid w:val="00B8318D"/>
    <w:rsid w:val="00B83395"/>
    <w:rsid w:val="00B8381D"/>
    <w:rsid w:val="00B83F5E"/>
    <w:rsid w:val="00B83FAC"/>
    <w:rsid w:val="00B84CDC"/>
    <w:rsid w:val="00B84D8A"/>
    <w:rsid w:val="00B84E4E"/>
    <w:rsid w:val="00B84F2F"/>
    <w:rsid w:val="00B854B6"/>
    <w:rsid w:val="00B85F16"/>
    <w:rsid w:val="00B86C5F"/>
    <w:rsid w:val="00B87E60"/>
    <w:rsid w:val="00B909FD"/>
    <w:rsid w:val="00B90BEC"/>
    <w:rsid w:val="00B90C29"/>
    <w:rsid w:val="00B90D1D"/>
    <w:rsid w:val="00B920E6"/>
    <w:rsid w:val="00B93807"/>
    <w:rsid w:val="00B93C13"/>
    <w:rsid w:val="00B93D7F"/>
    <w:rsid w:val="00B94723"/>
    <w:rsid w:val="00B94C31"/>
    <w:rsid w:val="00B95470"/>
    <w:rsid w:val="00B95566"/>
    <w:rsid w:val="00B96DDD"/>
    <w:rsid w:val="00B970AA"/>
    <w:rsid w:val="00B97C1A"/>
    <w:rsid w:val="00BA00DD"/>
    <w:rsid w:val="00BA0460"/>
    <w:rsid w:val="00BA0C64"/>
    <w:rsid w:val="00BA15EA"/>
    <w:rsid w:val="00BA286D"/>
    <w:rsid w:val="00BA2DC6"/>
    <w:rsid w:val="00BA308B"/>
    <w:rsid w:val="00BA328F"/>
    <w:rsid w:val="00BA3462"/>
    <w:rsid w:val="00BA35B8"/>
    <w:rsid w:val="00BA376D"/>
    <w:rsid w:val="00BA37E0"/>
    <w:rsid w:val="00BA38AA"/>
    <w:rsid w:val="00BA3F73"/>
    <w:rsid w:val="00BA6462"/>
    <w:rsid w:val="00BA6D38"/>
    <w:rsid w:val="00BA708D"/>
    <w:rsid w:val="00BA785D"/>
    <w:rsid w:val="00BA7F44"/>
    <w:rsid w:val="00BB1343"/>
    <w:rsid w:val="00BB19A0"/>
    <w:rsid w:val="00BB1A87"/>
    <w:rsid w:val="00BB2A6E"/>
    <w:rsid w:val="00BB2E09"/>
    <w:rsid w:val="00BB2F01"/>
    <w:rsid w:val="00BB3238"/>
    <w:rsid w:val="00BB3430"/>
    <w:rsid w:val="00BB3DAD"/>
    <w:rsid w:val="00BB3E7A"/>
    <w:rsid w:val="00BB40A3"/>
    <w:rsid w:val="00BB57C9"/>
    <w:rsid w:val="00BB613F"/>
    <w:rsid w:val="00BB6B44"/>
    <w:rsid w:val="00BB6B8C"/>
    <w:rsid w:val="00BB7D8A"/>
    <w:rsid w:val="00BC07DA"/>
    <w:rsid w:val="00BC0B46"/>
    <w:rsid w:val="00BC1541"/>
    <w:rsid w:val="00BC20BF"/>
    <w:rsid w:val="00BC22FC"/>
    <w:rsid w:val="00BC2559"/>
    <w:rsid w:val="00BC3264"/>
    <w:rsid w:val="00BC33A6"/>
    <w:rsid w:val="00BC3785"/>
    <w:rsid w:val="00BC3B21"/>
    <w:rsid w:val="00BC3BD9"/>
    <w:rsid w:val="00BC5AEB"/>
    <w:rsid w:val="00BC5CB6"/>
    <w:rsid w:val="00BC5D48"/>
    <w:rsid w:val="00BC5D70"/>
    <w:rsid w:val="00BC64D4"/>
    <w:rsid w:val="00BC769B"/>
    <w:rsid w:val="00BC7801"/>
    <w:rsid w:val="00BC7F4A"/>
    <w:rsid w:val="00BD0F51"/>
    <w:rsid w:val="00BD100E"/>
    <w:rsid w:val="00BD1777"/>
    <w:rsid w:val="00BD28F5"/>
    <w:rsid w:val="00BD2B7D"/>
    <w:rsid w:val="00BD40F3"/>
    <w:rsid w:val="00BD4332"/>
    <w:rsid w:val="00BD43DE"/>
    <w:rsid w:val="00BD4AEA"/>
    <w:rsid w:val="00BD5A37"/>
    <w:rsid w:val="00BD6672"/>
    <w:rsid w:val="00BD6B8B"/>
    <w:rsid w:val="00BD70FC"/>
    <w:rsid w:val="00BD7495"/>
    <w:rsid w:val="00BD7AE5"/>
    <w:rsid w:val="00BE0141"/>
    <w:rsid w:val="00BE0E8A"/>
    <w:rsid w:val="00BE1C6B"/>
    <w:rsid w:val="00BE22F1"/>
    <w:rsid w:val="00BE2BF3"/>
    <w:rsid w:val="00BE326B"/>
    <w:rsid w:val="00BE3A77"/>
    <w:rsid w:val="00BE3CAF"/>
    <w:rsid w:val="00BE45DB"/>
    <w:rsid w:val="00BE4BFC"/>
    <w:rsid w:val="00BE4D56"/>
    <w:rsid w:val="00BE512E"/>
    <w:rsid w:val="00BE66E6"/>
    <w:rsid w:val="00BE73F3"/>
    <w:rsid w:val="00BE77F0"/>
    <w:rsid w:val="00BF0424"/>
    <w:rsid w:val="00BF1E5D"/>
    <w:rsid w:val="00BF3AA6"/>
    <w:rsid w:val="00BF3AC8"/>
    <w:rsid w:val="00BF43F1"/>
    <w:rsid w:val="00BF44CC"/>
    <w:rsid w:val="00BF502C"/>
    <w:rsid w:val="00BF5BF8"/>
    <w:rsid w:val="00BF629B"/>
    <w:rsid w:val="00BF6AE5"/>
    <w:rsid w:val="00BF7A0C"/>
    <w:rsid w:val="00C00599"/>
    <w:rsid w:val="00C01103"/>
    <w:rsid w:val="00C01679"/>
    <w:rsid w:val="00C023C0"/>
    <w:rsid w:val="00C031AF"/>
    <w:rsid w:val="00C03306"/>
    <w:rsid w:val="00C037FF"/>
    <w:rsid w:val="00C0392F"/>
    <w:rsid w:val="00C0398F"/>
    <w:rsid w:val="00C05041"/>
    <w:rsid w:val="00C06453"/>
    <w:rsid w:val="00C065BC"/>
    <w:rsid w:val="00C06871"/>
    <w:rsid w:val="00C06BA7"/>
    <w:rsid w:val="00C06D9C"/>
    <w:rsid w:val="00C1035D"/>
    <w:rsid w:val="00C13B26"/>
    <w:rsid w:val="00C14F88"/>
    <w:rsid w:val="00C1516B"/>
    <w:rsid w:val="00C153A2"/>
    <w:rsid w:val="00C153B9"/>
    <w:rsid w:val="00C16240"/>
    <w:rsid w:val="00C16682"/>
    <w:rsid w:val="00C16D4B"/>
    <w:rsid w:val="00C17275"/>
    <w:rsid w:val="00C20702"/>
    <w:rsid w:val="00C208C6"/>
    <w:rsid w:val="00C20DA1"/>
    <w:rsid w:val="00C217AA"/>
    <w:rsid w:val="00C222E5"/>
    <w:rsid w:val="00C23A68"/>
    <w:rsid w:val="00C24EFB"/>
    <w:rsid w:val="00C25BF7"/>
    <w:rsid w:val="00C263CC"/>
    <w:rsid w:val="00C264FB"/>
    <w:rsid w:val="00C266D8"/>
    <w:rsid w:val="00C27CEF"/>
    <w:rsid w:val="00C30017"/>
    <w:rsid w:val="00C305AD"/>
    <w:rsid w:val="00C3094A"/>
    <w:rsid w:val="00C31110"/>
    <w:rsid w:val="00C31373"/>
    <w:rsid w:val="00C31936"/>
    <w:rsid w:val="00C31FD7"/>
    <w:rsid w:val="00C3226A"/>
    <w:rsid w:val="00C3300E"/>
    <w:rsid w:val="00C33034"/>
    <w:rsid w:val="00C337EE"/>
    <w:rsid w:val="00C33A15"/>
    <w:rsid w:val="00C33CCE"/>
    <w:rsid w:val="00C33D4F"/>
    <w:rsid w:val="00C35D0E"/>
    <w:rsid w:val="00C36582"/>
    <w:rsid w:val="00C36FB3"/>
    <w:rsid w:val="00C40074"/>
    <w:rsid w:val="00C409A6"/>
    <w:rsid w:val="00C40A7D"/>
    <w:rsid w:val="00C419F3"/>
    <w:rsid w:val="00C41CC0"/>
    <w:rsid w:val="00C41CC2"/>
    <w:rsid w:val="00C42C7F"/>
    <w:rsid w:val="00C43057"/>
    <w:rsid w:val="00C4364F"/>
    <w:rsid w:val="00C43783"/>
    <w:rsid w:val="00C43AB0"/>
    <w:rsid w:val="00C43F11"/>
    <w:rsid w:val="00C46ED0"/>
    <w:rsid w:val="00C471E4"/>
    <w:rsid w:val="00C5038C"/>
    <w:rsid w:val="00C5040A"/>
    <w:rsid w:val="00C5081E"/>
    <w:rsid w:val="00C50B76"/>
    <w:rsid w:val="00C50D2F"/>
    <w:rsid w:val="00C52575"/>
    <w:rsid w:val="00C5298D"/>
    <w:rsid w:val="00C53449"/>
    <w:rsid w:val="00C53B65"/>
    <w:rsid w:val="00C54278"/>
    <w:rsid w:val="00C54669"/>
    <w:rsid w:val="00C55DF9"/>
    <w:rsid w:val="00C56934"/>
    <w:rsid w:val="00C5709D"/>
    <w:rsid w:val="00C57ED9"/>
    <w:rsid w:val="00C60F10"/>
    <w:rsid w:val="00C6116D"/>
    <w:rsid w:val="00C615CD"/>
    <w:rsid w:val="00C619B6"/>
    <w:rsid w:val="00C61C8D"/>
    <w:rsid w:val="00C61D52"/>
    <w:rsid w:val="00C62125"/>
    <w:rsid w:val="00C626E4"/>
    <w:rsid w:val="00C628D2"/>
    <w:rsid w:val="00C628E7"/>
    <w:rsid w:val="00C62B51"/>
    <w:rsid w:val="00C637D4"/>
    <w:rsid w:val="00C63A7A"/>
    <w:rsid w:val="00C6425A"/>
    <w:rsid w:val="00C657ED"/>
    <w:rsid w:val="00C6618B"/>
    <w:rsid w:val="00C66DFB"/>
    <w:rsid w:val="00C67715"/>
    <w:rsid w:val="00C67956"/>
    <w:rsid w:val="00C70307"/>
    <w:rsid w:val="00C71042"/>
    <w:rsid w:val="00C71312"/>
    <w:rsid w:val="00C7161C"/>
    <w:rsid w:val="00C71AF6"/>
    <w:rsid w:val="00C72025"/>
    <w:rsid w:val="00C72329"/>
    <w:rsid w:val="00C72655"/>
    <w:rsid w:val="00C7333D"/>
    <w:rsid w:val="00C73438"/>
    <w:rsid w:val="00C74AEC"/>
    <w:rsid w:val="00C76839"/>
    <w:rsid w:val="00C76971"/>
    <w:rsid w:val="00C772DB"/>
    <w:rsid w:val="00C77A76"/>
    <w:rsid w:val="00C8094B"/>
    <w:rsid w:val="00C810BD"/>
    <w:rsid w:val="00C81EDC"/>
    <w:rsid w:val="00C82659"/>
    <w:rsid w:val="00C827E3"/>
    <w:rsid w:val="00C8311D"/>
    <w:rsid w:val="00C833DC"/>
    <w:rsid w:val="00C83D54"/>
    <w:rsid w:val="00C84035"/>
    <w:rsid w:val="00C840FF"/>
    <w:rsid w:val="00C84379"/>
    <w:rsid w:val="00C8556E"/>
    <w:rsid w:val="00C85F1C"/>
    <w:rsid w:val="00C86115"/>
    <w:rsid w:val="00C86239"/>
    <w:rsid w:val="00C86853"/>
    <w:rsid w:val="00C86874"/>
    <w:rsid w:val="00C86A5C"/>
    <w:rsid w:val="00C87244"/>
    <w:rsid w:val="00C907FC"/>
    <w:rsid w:val="00C90B3B"/>
    <w:rsid w:val="00C90CD7"/>
    <w:rsid w:val="00C90F10"/>
    <w:rsid w:val="00C90F9F"/>
    <w:rsid w:val="00C912BF"/>
    <w:rsid w:val="00C91394"/>
    <w:rsid w:val="00C91CE6"/>
    <w:rsid w:val="00C93543"/>
    <w:rsid w:val="00C93CFC"/>
    <w:rsid w:val="00C9403C"/>
    <w:rsid w:val="00C94D0B"/>
    <w:rsid w:val="00C951E7"/>
    <w:rsid w:val="00C95568"/>
    <w:rsid w:val="00C95A4C"/>
    <w:rsid w:val="00C95F45"/>
    <w:rsid w:val="00C967AA"/>
    <w:rsid w:val="00C9739A"/>
    <w:rsid w:val="00C97749"/>
    <w:rsid w:val="00C977F8"/>
    <w:rsid w:val="00CA0779"/>
    <w:rsid w:val="00CA07C7"/>
    <w:rsid w:val="00CA1074"/>
    <w:rsid w:val="00CA1328"/>
    <w:rsid w:val="00CA1911"/>
    <w:rsid w:val="00CA28DE"/>
    <w:rsid w:val="00CA2D35"/>
    <w:rsid w:val="00CA3A58"/>
    <w:rsid w:val="00CA3ACC"/>
    <w:rsid w:val="00CA49E1"/>
    <w:rsid w:val="00CA60AE"/>
    <w:rsid w:val="00CA7FB9"/>
    <w:rsid w:val="00CB0D20"/>
    <w:rsid w:val="00CB130D"/>
    <w:rsid w:val="00CB242D"/>
    <w:rsid w:val="00CB304C"/>
    <w:rsid w:val="00CB344B"/>
    <w:rsid w:val="00CB3C86"/>
    <w:rsid w:val="00CB3F6C"/>
    <w:rsid w:val="00CB51BA"/>
    <w:rsid w:val="00CB5B66"/>
    <w:rsid w:val="00CB63CB"/>
    <w:rsid w:val="00CB70D1"/>
    <w:rsid w:val="00CC0FAD"/>
    <w:rsid w:val="00CC136C"/>
    <w:rsid w:val="00CC1532"/>
    <w:rsid w:val="00CC1BCD"/>
    <w:rsid w:val="00CC267B"/>
    <w:rsid w:val="00CC3073"/>
    <w:rsid w:val="00CC3240"/>
    <w:rsid w:val="00CC4FA7"/>
    <w:rsid w:val="00CC56FD"/>
    <w:rsid w:val="00CC5F3E"/>
    <w:rsid w:val="00CC64C5"/>
    <w:rsid w:val="00CC7098"/>
    <w:rsid w:val="00CC7BC2"/>
    <w:rsid w:val="00CC7DBE"/>
    <w:rsid w:val="00CC7F9D"/>
    <w:rsid w:val="00CD029D"/>
    <w:rsid w:val="00CD0427"/>
    <w:rsid w:val="00CD04E1"/>
    <w:rsid w:val="00CD0F42"/>
    <w:rsid w:val="00CD18EA"/>
    <w:rsid w:val="00CD235F"/>
    <w:rsid w:val="00CD2760"/>
    <w:rsid w:val="00CD29B8"/>
    <w:rsid w:val="00CD32FE"/>
    <w:rsid w:val="00CD330C"/>
    <w:rsid w:val="00CD46FF"/>
    <w:rsid w:val="00CD5B68"/>
    <w:rsid w:val="00CD660F"/>
    <w:rsid w:val="00CD6C46"/>
    <w:rsid w:val="00CD7F39"/>
    <w:rsid w:val="00CE084F"/>
    <w:rsid w:val="00CE1A11"/>
    <w:rsid w:val="00CE26BA"/>
    <w:rsid w:val="00CE30D5"/>
    <w:rsid w:val="00CE45D0"/>
    <w:rsid w:val="00CE497E"/>
    <w:rsid w:val="00CE4E43"/>
    <w:rsid w:val="00CE53C0"/>
    <w:rsid w:val="00CE59B6"/>
    <w:rsid w:val="00CE6763"/>
    <w:rsid w:val="00CE70B4"/>
    <w:rsid w:val="00CE7199"/>
    <w:rsid w:val="00CF0709"/>
    <w:rsid w:val="00CF1657"/>
    <w:rsid w:val="00CF1927"/>
    <w:rsid w:val="00CF23EB"/>
    <w:rsid w:val="00CF2891"/>
    <w:rsid w:val="00CF2F59"/>
    <w:rsid w:val="00CF40F3"/>
    <w:rsid w:val="00CF42D1"/>
    <w:rsid w:val="00CF51CF"/>
    <w:rsid w:val="00CF5286"/>
    <w:rsid w:val="00CF55D9"/>
    <w:rsid w:val="00CF5B67"/>
    <w:rsid w:val="00CF6382"/>
    <w:rsid w:val="00CF6C35"/>
    <w:rsid w:val="00D00B7E"/>
    <w:rsid w:val="00D0175B"/>
    <w:rsid w:val="00D01B22"/>
    <w:rsid w:val="00D01C46"/>
    <w:rsid w:val="00D028C6"/>
    <w:rsid w:val="00D03E40"/>
    <w:rsid w:val="00D055C8"/>
    <w:rsid w:val="00D056AF"/>
    <w:rsid w:val="00D06C27"/>
    <w:rsid w:val="00D06C68"/>
    <w:rsid w:val="00D070F5"/>
    <w:rsid w:val="00D07833"/>
    <w:rsid w:val="00D0788E"/>
    <w:rsid w:val="00D10317"/>
    <w:rsid w:val="00D127A4"/>
    <w:rsid w:val="00D12FAB"/>
    <w:rsid w:val="00D131E3"/>
    <w:rsid w:val="00D138E5"/>
    <w:rsid w:val="00D13F31"/>
    <w:rsid w:val="00D141FF"/>
    <w:rsid w:val="00D149B2"/>
    <w:rsid w:val="00D14A15"/>
    <w:rsid w:val="00D150FB"/>
    <w:rsid w:val="00D16E55"/>
    <w:rsid w:val="00D16F1A"/>
    <w:rsid w:val="00D21BF9"/>
    <w:rsid w:val="00D22098"/>
    <w:rsid w:val="00D22782"/>
    <w:rsid w:val="00D22A59"/>
    <w:rsid w:val="00D22EA9"/>
    <w:rsid w:val="00D2345E"/>
    <w:rsid w:val="00D236D8"/>
    <w:rsid w:val="00D23F72"/>
    <w:rsid w:val="00D2500F"/>
    <w:rsid w:val="00D258BB"/>
    <w:rsid w:val="00D25ACA"/>
    <w:rsid w:val="00D26554"/>
    <w:rsid w:val="00D26CA7"/>
    <w:rsid w:val="00D26FDC"/>
    <w:rsid w:val="00D30026"/>
    <w:rsid w:val="00D3114D"/>
    <w:rsid w:val="00D3189F"/>
    <w:rsid w:val="00D31904"/>
    <w:rsid w:val="00D31FF0"/>
    <w:rsid w:val="00D32438"/>
    <w:rsid w:val="00D3358D"/>
    <w:rsid w:val="00D33A9F"/>
    <w:rsid w:val="00D33ACE"/>
    <w:rsid w:val="00D33C48"/>
    <w:rsid w:val="00D33C6D"/>
    <w:rsid w:val="00D3408D"/>
    <w:rsid w:val="00D3421F"/>
    <w:rsid w:val="00D34840"/>
    <w:rsid w:val="00D35012"/>
    <w:rsid w:val="00D352A5"/>
    <w:rsid w:val="00D35324"/>
    <w:rsid w:val="00D37737"/>
    <w:rsid w:val="00D3792B"/>
    <w:rsid w:val="00D401CE"/>
    <w:rsid w:val="00D40476"/>
    <w:rsid w:val="00D414A9"/>
    <w:rsid w:val="00D41660"/>
    <w:rsid w:val="00D422AB"/>
    <w:rsid w:val="00D42A84"/>
    <w:rsid w:val="00D4325F"/>
    <w:rsid w:val="00D43381"/>
    <w:rsid w:val="00D43DF5"/>
    <w:rsid w:val="00D447FE"/>
    <w:rsid w:val="00D44E90"/>
    <w:rsid w:val="00D46E79"/>
    <w:rsid w:val="00D4719E"/>
    <w:rsid w:val="00D4789C"/>
    <w:rsid w:val="00D47939"/>
    <w:rsid w:val="00D47AC5"/>
    <w:rsid w:val="00D47B63"/>
    <w:rsid w:val="00D5091C"/>
    <w:rsid w:val="00D50AB6"/>
    <w:rsid w:val="00D51EDB"/>
    <w:rsid w:val="00D5226B"/>
    <w:rsid w:val="00D524C3"/>
    <w:rsid w:val="00D524D0"/>
    <w:rsid w:val="00D52747"/>
    <w:rsid w:val="00D52D6B"/>
    <w:rsid w:val="00D53D60"/>
    <w:rsid w:val="00D54254"/>
    <w:rsid w:val="00D544D2"/>
    <w:rsid w:val="00D544E1"/>
    <w:rsid w:val="00D54744"/>
    <w:rsid w:val="00D553E1"/>
    <w:rsid w:val="00D5540D"/>
    <w:rsid w:val="00D558B2"/>
    <w:rsid w:val="00D56103"/>
    <w:rsid w:val="00D56A4D"/>
    <w:rsid w:val="00D57160"/>
    <w:rsid w:val="00D578C2"/>
    <w:rsid w:val="00D57EB4"/>
    <w:rsid w:val="00D607AC"/>
    <w:rsid w:val="00D6090E"/>
    <w:rsid w:val="00D619AA"/>
    <w:rsid w:val="00D629A6"/>
    <w:rsid w:val="00D62E4E"/>
    <w:rsid w:val="00D638F9"/>
    <w:rsid w:val="00D63B46"/>
    <w:rsid w:val="00D6564D"/>
    <w:rsid w:val="00D66422"/>
    <w:rsid w:val="00D664F5"/>
    <w:rsid w:val="00D66980"/>
    <w:rsid w:val="00D6699C"/>
    <w:rsid w:val="00D67CE9"/>
    <w:rsid w:val="00D70A5D"/>
    <w:rsid w:val="00D70B5E"/>
    <w:rsid w:val="00D70D4E"/>
    <w:rsid w:val="00D7149D"/>
    <w:rsid w:val="00D71614"/>
    <w:rsid w:val="00D72CED"/>
    <w:rsid w:val="00D72F59"/>
    <w:rsid w:val="00D73F53"/>
    <w:rsid w:val="00D74611"/>
    <w:rsid w:val="00D7480F"/>
    <w:rsid w:val="00D75CC9"/>
    <w:rsid w:val="00D76A71"/>
    <w:rsid w:val="00D77F29"/>
    <w:rsid w:val="00D808AA"/>
    <w:rsid w:val="00D80A5B"/>
    <w:rsid w:val="00D80A5C"/>
    <w:rsid w:val="00D8190A"/>
    <w:rsid w:val="00D833EB"/>
    <w:rsid w:val="00D84AD7"/>
    <w:rsid w:val="00D855A7"/>
    <w:rsid w:val="00D86684"/>
    <w:rsid w:val="00D86CC2"/>
    <w:rsid w:val="00D87248"/>
    <w:rsid w:val="00D90565"/>
    <w:rsid w:val="00D918D1"/>
    <w:rsid w:val="00D9195E"/>
    <w:rsid w:val="00D92012"/>
    <w:rsid w:val="00D921B9"/>
    <w:rsid w:val="00D921F1"/>
    <w:rsid w:val="00D9229C"/>
    <w:rsid w:val="00D92404"/>
    <w:rsid w:val="00D928DD"/>
    <w:rsid w:val="00D92B42"/>
    <w:rsid w:val="00D931D9"/>
    <w:rsid w:val="00D93688"/>
    <w:rsid w:val="00D93829"/>
    <w:rsid w:val="00D93AFF"/>
    <w:rsid w:val="00D93F37"/>
    <w:rsid w:val="00D94DD3"/>
    <w:rsid w:val="00D97667"/>
    <w:rsid w:val="00D97B71"/>
    <w:rsid w:val="00DA018E"/>
    <w:rsid w:val="00DA0895"/>
    <w:rsid w:val="00DA1AB4"/>
    <w:rsid w:val="00DA1D7C"/>
    <w:rsid w:val="00DA1F39"/>
    <w:rsid w:val="00DA213B"/>
    <w:rsid w:val="00DA2F47"/>
    <w:rsid w:val="00DA413B"/>
    <w:rsid w:val="00DA44C6"/>
    <w:rsid w:val="00DA53C1"/>
    <w:rsid w:val="00DA5CD9"/>
    <w:rsid w:val="00DA5E7F"/>
    <w:rsid w:val="00DA66F3"/>
    <w:rsid w:val="00DA6CF9"/>
    <w:rsid w:val="00DA6F7F"/>
    <w:rsid w:val="00DA7673"/>
    <w:rsid w:val="00DB1E8D"/>
    <w:rsid w:val="00DB255F"/>
    <w:rsid w:val="00DB4D33"/>
    <w:rsid w:val="00DB61D2"/>
    <w:rsid w:val="00DB630D"/>
    <w:rsid w:val="00DB643A"/>
    <w:rsid w:val="00DB66AC"/>
    <w:rsid w:val="00DB71CC"/>
    <w:rsid w:val="00DB7257"/>
    <w:rsid w:val="00DB7812"/>
    <w:rsid w:val="00DB79EC"/>
    <w:rsid w:val="00DB7D4C"/>
    <w:rsid w:val="00DB7F40"/>
    <w:rsid w:val="00DB7FAE"/>
    <w:rsid w:val="00DC0581"/>
    <w:rsid w:val="00DC0648"/>
    <w:rsid w:val="00DC0B82"/>
    <w:rsid w:val="00DC11CD"/>
    <w:rsid w:val="00DC1C90"/>
    <w:rsid w:val="00DC3941"/>
    <w:rsid w:val="00DC3A1D"/>
    <w:rsid w:val="00DC3B54"/>
    <w:rsid w:val="00DC3D6D"/>
    <w:rsid w:val="00DC562E"/>
    <w:rsid w:val="00DC65B7"/>
    <w:rsid w:val="00DC6775"/>
    <w:rsid w:val="00DC6C2B"/>
    <w:rsid w:val="00DC6E93"/>
    <w:rsid w:val="00DC76FE"/>
    <w:rsid w:val="00DC7BB0"/>
    <w:rsid w:val="00DD02D1"/>
    <w:rsid w:val="00DD04BC"/>
    <w:rsid w:val="00DD0B3A"/>
    <w:rsid w:val="00DD1151"/>
    <w:rsid w:val="00DD2675"/>
    <w:rsid w:val="00DD27C4"/>
    <w:rsid w:val="00DD27C7"/>
    <w:rsid w:val="00DD2B17"/>
    <w:rsid w:val="00DD2D18"/>
    <w:rsid w:val="00DD2D9A"/>
    <w:rsid w:val="00DD3A10"/>
    <w:rsid w:val="00DD3F26"/>
    <w:rsid w:val="00DD4267"/>
    <w:rsid w:val="00DD4313"/>
    <w:rsid w:val="00DD4FC0"/>
    <w:rsid w:val="00DD532E"/>
    <w:rsid w:val="00DD58CF"/>
    <w:rsid w:val="00DD5ED0"/>
    <w:rsid w:val="00DD5FD7"/>
    <w:rsid w:val="00DD702A"/>
    <w:rsid w:val="00DD7482"/>
    <w:rsid w:val="00DD7598"/>
    <w:rsid w:val="00DD77F8"/>
    <w:rsid w:val="00DE04EB"/>
    <w:rsid w:val="00DE08B3"/>
    <w:rsid w:val="00DE11F7"/>
    <w:rsid w:val="00DE15EB"/>
    <w:rsid w:val="00DE1AD9"/>
    <w:rsid w:val="00DE301E"/>
    <w:rsid w:val="00DE38AF"/>
    <w:rsid w:val="00DE4673"/>
    <w:rsid w:val="00DE5DEE"/>
    <w:rsid w:val="00DE5EE4"/>
    <w:rsid w:val="00DE5F0B"/>
    <w:rsid w:val="00DE6F0D"/>
    <w:rsid w:val="00DE7780"/>
    <w:rsid w:val="00DF001F"/>
    <w:rsid w:val="00DF0C8D"/>
    <w:rsid w:val="00DF100B"/>
    <w:rsid w:val="00DF1625"/>
    <w:rsid w:val="00DF16EF"/>
    <w:rsid w:val="00DF17C4"/>
    <w:rsid w:val="00DF2642"/>
    <w:rsid w:val="00DF2B22"/>
    <w:rsid w:val="00DF3467"/>
    <w:rsid w:val="00DF442D"/>
    <w:rsid w:val="00DF4AB3"/>
    <w:rsid w:val="00DF54E1"/>
    <w:rsid w:val="00DF56E9"/>
    <w:rsid w:val="00DF5707"/>
    <w:rsid w:val="00DF6532"/>
    <w:rsid w:val="00DF7E92"/>
    <w:rsid w:val="00E00257"/>
    <w:rsid w:val="00E0156B"/>
    <w:rsid w:val="00E01A7E"/>
    <w:rsid w:val="00E033BD"/>
    <w:rsid w:val="00E03DE8"/>
    <w:rsid w:val="00E03F9B"/>
    <w:rsid w:val="00E04DFC"/>
    <w:rsid w:val="00E0547B"/>
    <w:rsid w:val="00E05B6D"/>
    <w:rsid w:val="00E062CE"/>
    <w:rsid w:val="00E06CBD"/>
    <w:rsid w:val="00E06D2A"/>
    <w:rsid w:val="00E07403"/>
    <w:rsid w:val="00E0791E"/>
    <w:rsid w:val="00E07A83"/>
    <w:rsid w:val="00E11960"/>
    <w:rsid w:val="00E119D8"/>
    <w:rsid w:val="00E12102"/>
    <w:rsid w:val="00E12431"/>
    <w:rsid w:val="00E12529"/>
    <w:rsid w:val="00E125CC"/>
    <w:rsid w:val="00E128FB"/>
    <w:rsid w:val="00E13D6A"/>
    <w:rsid w:val="00E14574"/>
    <w:rsid w:val="00E148D8"/>
    <w:rsid w:val="00E14B11"/>
    <w:rsid w:val="00E14FB3"/>
    <w:rsid w:val="00E164B3"/>
    <w:rsid w:val="00E16C66"/>
    <w:rsid w:val="00E1745A"/>
    <w:rsid w:val="00E20409"/>
    <w:rsid w:val="00E21859"/>
    <w:rsid w:val="00E22892"/>
    <w:rsid w:val="00E229DA"/>
    <w:rsid w:val="00E22B33"/>
    <w:rsid w:val="00E2425F"/>
    <w:rsid w:val="00E24737"/>
    <w:rsid w:val="00E254CB"/>
    <w:rsid w:val="00E25867"/>
    <w:rsid w:val="00E25BD0"/>
    <w:rsid w:val="00E26393"/>
    <w:rsid w:val="00E26C31"/>
    <w:rsid w:val="00E2746A"/>
    <w:rsid w:val="00E275DB"/>
    <w:rsid w:val="00E2761D"/>
    <w:rsid w:val="00E27675"/>
    <w:rsid w:val="00E27EF3"/>
    <w:rsid w:val="00E31503"/>
    <w:rsid w:val="00E3156A"/>
    <w:rsid w:val="00E322A1"/>
    <w:rsid w:val="00E32DBC"/>
    <w:rsid w:val="00E3384D"/>
    <w:rsid w:val="00E33D38"/>
    <w:rsid w:val="00E34A64"/>
    <w:rsid w:val="00E35365"/>
    <w:rsid w:val="00E35574"/>
    <w:rsid w:val="00E35C4C"/>
    <w:rsid w:val="00E36775"/>
    <w:rsid w:val="00E374FF"/>
    <w:rsid w:val="00E37933"/>
    <w:rsid w:val="00E37A5F"/>
    <w:rsid w:val="00E37E3B"/>
    <w:rsid w:val="00E4012C"/>
    <w:rsid w:val="00E4177C"/>
    <w:rsid w:val="00E4212B"/>
    <w:rsid w:val="00E4270D"/>
    <w:rsid w:val="00E4274E"/>
    <w:rsid w:val="00E42E2C"/>
    <w:rsid w:val="00E44ACB"/>
    <w:rsid w:val="00E44D74"/>
    <w:rsid w:val="00E44E73"/>
    <w:rsid w:val="00E450D3"/>
    <w:rsid w:val="00E452AE"/>
    <w:rsid w:val="00E45C38"/>
    <w:rsid w:val="00E46375"/>
    <w:rsid w:val="00E466D9"/>
    <w:rsid w:val="00E47F23"/>
    <w:rsid w:val="00E512EF"/>
    <w:rsid w:val="00E5282E"/>
    <w:rsid w:val="00E529AA"/>
    <w:rsid w:val="00E52ABF"/>
    <w:rsid w:val="00E533B0"/>
    <w:rsid w:val="00E537BE"/>
    <w:rsid w:val="00E53FCD"/>
    <w:rsid w:val="00E55E01"/>
    <w:rsid w:val="00E56457"/>
    <w:rsid w:val="00E56580"/>
    <w:rsid w:val="00E56E3F"/>
    <w:rsid w:val="00E57A88"/>
    <w:rsid w:val="00E57DFD"/>
    <w:rsid w:val="00E60319"/>
    <w:rsid w:val="00E60DBA"/>
    <w:rsid w:val="00E60F8C"/>
    <w:rsid w:val="00E61CA8"/>
    <w:rsid w:val="00E62892"/>
    <w:rsid w:val="00E63603"/>
    <w:rsid w:val="00E637DA"/>
    <w:rsid w:val="00E644CB"/>
    <w:rsid w:val="00E64E38"/>
    <w:rsid w:val="00E64ED9"/>
    <w:rsid w:val="00E652EE"/>
    <w:rsid w:val="00E657A6"/>
    <w:rsid w:val="00E65E62"/>
    <w:rsid w:val="00E6631B"/>
    <w:rsid w:val="00E66823"/>
    <w:rsid w:val="00E674A9"/>
    <w:rsid w:val="00E67B53"/>
    <w:rsid w:val="00E7030A"/>
    <w:rsid w:val="00E710A1"/>
    <w:rsid w:val="00E7124C"/>
    <w:rsid w:val="00E7157D"/>
    <w:rsid w:val="00E72794"/>
    <w:rsid w:val="00E72C90"/>
    <w:rsid w:val="00E73A8D"/>
    <w:rsid w:val="00E73B9D"/>
    <w:rsid w:val="00E75418"/>
    <w:rsid w:val="00E754BB"/>
    <w:rsid w:val="00E754E2"/>
    <w:rsid w:val="00E75C12"/>
    <w:rsid w:val="00E76489"/>
    <w:rsid w:val="00E765B6"/>
    <w:rsid w:val="00E76B6B"/>
    <w:rsid w:val="00E77013"/>
    <w:rsid w:val="00E7796F"/>
    <w:rsid w:val="00E77A31"/>
    <w:rsid w:val="00E80312"/>
    <w:rsid w:val="00E80393"/>
    <w:rsid w:val="00E811BB"/>
    <w:rsid w:val="00E81CCA"/>
    <w:rsid w:val="00E81E70"/>
    <w:rsid w:val="00E823C2"/>
    <w:rsid w:val="00E83169"/>
    <w:rsid w:val="00E8434D"/>
    <w:rsid w:val="00E84641"/>
    <w:rsid w:val="00E849AE"/>
    <w:rsid w:val="00E854AB"/>
    <w:rsid w:val="00E855ED"/>
    <w:rsid w:val="00E860F2"/>
    <w:rsid w:val="00E86246"/>
    <w:rsid w:val="00E862CB"/>
    <w:rsid w:val="00E901F2"/>
    <w:rsid w:val="00E903C1"/>
    <w:rsid w:val="00E90EA2"/>
    <w:rsid w:val="00E91191"/>
    <w:rsid w:val="00E91FB6"/>
    <w:rsid w:val="00E92313"/>
    <w:rsid w:val="00E92878"/>
    <w:rsid w:val="00E9296B"/>
    <w:rsid w:val="00E92F2F"/>
    <w:rsid w:val="00E93967"/>
    <w:rsid w:val="00E93BA8"/>
    <w:rsid w:val="00E9492E"/>
    <w:rsid w:val="00E96121"/>
    <w:rsid w:val="00E96B96"/>
    <w:rsid w:val="00E9732D"/>
    <w:rsid w:val="00E97631"/>
    <w:rsid w:val="00E97756"/>
    <w:rsid w:val="00E978E8"/>
    <w:rsid w:val="00EA0ACF"/>
    <w:rsid w:val="00EA0C8E"/>
    <w:rsid w:val="00EA13E5"/>
    <w:rsid w:val="00EA1AB9"/>
    <w:rsid w:val="00EA1DD0"/>
    <w:rsid w:val="00EA1FC6"/>
    <w:rsid w:val="00EA2880"/>
    <w:rsid w:val="00EA3008"/>
    <w:rsid w:val="00EA3106"/>
    <w:rsid w:val="00EA37CD"/>
    <w:rsid w:val="00EA3DA4"/>
    <w:rsid w:val="00EA48F9"/>
    <w:rsid w:val="00EA4E78"/>
    <w:rsid w:val="00EA4F0E"/>
    <w:rsid w:val="00EA5431"/>
    <w:rsid w:val="00EA5E6A"/>
    <w:rsid w:val="00EA64FA"/>
    <w:rsid w:val="00EA67E8"/>
    <w:rsid w:val="00EA7455"/>
    <w:rsid w:val="00EA75AE"/>
    <w:rsid w:val="00EA7FE4"/>
    <w:rsid w:val="00EB01A9"/>
    <w:rsid w:val="00EB10FD"/>
    <w:rsid w:val="00EB1111"/>
    <w:rsid w:val="00EB1F06"/>
    <w:rsid w:val="00EB1F88"/>
    <w:rsid w:val="00EB276B"/>
    <w:rsid w:val="00EB2898"/>
    <w:rsid w:val="00EB3ACC"/>
    <w:rsid w:val="00EB426F"/>
    <w:rsid w:val="00EB4337"/>
    <w:rsid w:val="00EB4DEE"/>
    <w:rsid w:val="00EB6628"/>
    <w:rsid w:val="00EB67A8"/>
    <w:rsid w:val="00EB76CA"/>
    <w:rsid w:val="00EB7C7B"/>
    <w:rsid w:val="00EC0A78"/>
    <w:rsid w:val="00EC0A7D"/>
    <w:rsid w:val="00EC1965"/>
    <w:rsid w:val="00EC1E31"/>
    <w:rsid w:val="00EC2334"/>
    <w:rsid w:val="00EC35C1"/>
    <w:rsid w:val="00EC38DD"/>
    <w:rsid w:val="00EC3FFF"/>
    <w:rsid w:val="00EC47DF"/>
    <w:rsid w:val="00EC5014"/>
    <w:rsid w:val="00EC596E"/>
    <w:rsid w:val="00EC5D36"/>
    <w:rsid w:val="00EC6B02"/>
    <w:rsid w:val="00ED01DF"/>
    <w:rsid w:val="00ED0E29"/>
    <w:rsid w:val="00ED0EA1"/>
    <w:rsid w:val="00ED1483"/>
    <w:rsid w:val="00ED1647"/>
    <w:rsid w:val="00ED1748"/>
    <w:rsid w:val="00ED26E2"/>
    <w:rsid w:val="00ED27A9"/>
    <w:rsid w:val="00ED2CEB"/>
    <w:rsid w:val="00ED2D86"/>
    <w:rsid w:val="00ED3263"/>
    <w:rsid w:val="00ED38B6"/>
    <w:rsid w:val="00ED5C5D"/>
    <w:rsid w:val="00ED66B9"/>
    <w:rsid w:val="00ED672C"/>
    <w:rsid w:val="00ED6B9A"/>
    <w:rsid w:val="00ED7068"/>
    <w:rsid w:val="00ED7FF7"/>
    <w:rsid w:val="00EE05EE"/>
    <w:rsid w:val="00EE1028"/>
    <w:rsid w:val="00EE107D"/>
    <w:rsid w:val="00EE178B"/>
    <w:rsid w:val="00EE1D7D"/>
    <w:rsid w:val="00EE361D"/>
    <w:rsid w:val="00EE4921"/>
    <w:rsid w:val="00EE57DC"/>
    <w:rsid w:val="00EE5A23"/>
    <w:rsid w:val="00EE5DC2"/>
    <w:rsid w:val="00EF01DA"/>
    <w:rsid w:val="00EF038F"/>
    <w:rsid w:val="00EF0E0C"/>
    <w:rsid w:val="00EF122B"/>
    <w:rsid w:val="00EF16C1"/>
    <w:rsid w:val="00EF2037"/>
    <w:rsid w:val="00EF27AB"/>
    <w:rsid w:val="00EF33ED"/>
    <w:rsid w:val="00EF46B8"/>
    <w:rsid w:val="00EF50B9"/>
    <w:rsid w:val="00EF5137"/>
    <w:rsid w:val="00EF5687"/>
    <w:rsid w:val="00EF59DE"/>
    <w:rsid w:val="00EF6AA6"/>
    <w:rsid w:val="00EF6BAC"/>
    <w:rsid w:val="00F001CD"/>
    <w:rsid w:val="00F006AD"/>
    <w:rsid w:val="00F00722"/>
    <w:rsid w:val="00F00ED0"/>
    <w:rsid w:val="00F01136"/>
    <w:rsid w:val="00F022EF"/>
    <w:rsid w:val="00F053F6"/>
    <w:rsid w:val="00F05519"/>
    <w:rsid w:val="00F056B6"/>
    <w:rsid w:val="00F05E2D"/>
    <w:rsid w:val="00F0614C"/>
    <w:rsid w:val="00F064B9"/>
    <w:rsid w:val="00F0723F"/>
    <w:rsid w:val="00F07AD4"/>
    <w:rsid w:val="00F07B41"/>
    <w:rsid w:val="00F100BB"/>
    <w:rsid w:val="00F101F0"/>
    <w:rsid w:val="00F119F8"/>
    <w:rsid w:val="00F11A80"/>
    <w:rsid w:val="00F122F1"/>
    <w:rsid w:val="00F132EB"/>
    <w:rsid w:val="00F14132"/>
    <w:rsid w:val="00F145ED"/>
    <w:rsid w:val="00F15228"/>
    <w:rsid w:val="00F1531F"/>
    <w:rsid w:val="00F15B03"/>
    <w:rsid w:val="00F16101"/>
    <w:rsid w:val="00F16C1A"/>
    <w:rsid w:val="00F16F5E"/>
    <w:rsid w:val="00F17AA6"/>
    <w:rsid w:val="00F17AE9"/>
    <w:rsid w:val="00F202F1"/>
    <w:rsid w:val="00F20983"/>
    <w:rsid w:val="00F20EAB"/>
    <w:rsid w:val="00F2221D"/>
    <w:rsid w:val="00F2323C"/>
    <w:rsid w:val="00F235D0"/>
    <w:rsid w:val="00F23DF6"/>
    <w:rsid w:val="00F24172"/>
    <w:rsid w:val="00F242B7"/>
    <w:rsid w:val="00F24583"/>
    <w:rsid w:val="00F247FE"/>
    <w:rsid w:val="00F2554B"/>
    <w:rsid w:val="00F30072"/>
    <w:rsid w:val="00F300FB"/>
    <w:rsid w:val="00F309ED"/>
    <w:rsid w:val="00F31870"/>
    <w:rsid w:val="00F31D08"/>
    <w:rsid w:val="00F32841"/>
    <w:rsid w:val="00F3422D"/>
    <w:rsid w:val="00F34248"/>
    <w:rsid w:val="00F345B7"/>
    <w:rsid w:val="00F35503"/>
    <w:rsid w:val="00F35BC6"/>
    <w:rsid w:val="00F36197"/>
    <w:rsid w:val="00F36B8B"/>
    <w:rsid w:val="00F3757F"/>
    <w:rsid w:val="00F377EF"/>
    <w:rsid w:val="00F379FB"/>
    <w:rsid w:val="00F37BCB"/>
    <w:rsid w:val="00F40F21"/>
    <w:rsid w:val="00F410CB"/>
    <w:rsid w:val="00F413A2"/>
    <w:rsid w:val="00F41993"/>
    <w:rsid w:val="00F43CC3"/>
    <w:rsid w:val="00F43D90"/>
    <w:rsid w:val="00F43FE6"/>
    <w:rsid w:val="00F441F5"/>
    <w:rsid w:val="00F4435C"/>
    <w:rsid w:val="00F47CE2"/>
    <w:rsid w:val="00F47F50"/>
    <w:rsid w:val="00F50568"/>
    <w:rsid w:val="00F5135E"/>
    <w:rsid w:val="00F51B83"/>
    <w:rsid w:val="00F5208B"/>
    <w:rsid w:val="00F5267A"/>
    <w:rsid w:val="00F537B5"/>
    <w:rsid w:val="00F53C6B"/>
    <w:rsid w:val="00F54239"/>
    <w:rsid w:val="00F5433F"/>
    <w:rsid w:val="00F54A6F"/>
    <w:rsid w:val="00F54BA4"/>
    <w:rsid w:val="00F555FB"/>
    <w:rsid w:val="00F55713"/>
    <w:rsid w:val="00F55B7B"/>
    <w:rsid w:val="00F561CC"/>
    <w:rsid w:val="00F57263"/>
    <w:rsid w:val="00F576DE"/>
    <w:rsid w:val="00F5771B"/>
    <w:rsid w:val="00F57A84"/>
    <w:rsid w:val="00F57AD2"/>
    <w:rsid w:val="00F57F51"/>
    <w:rsid w:val="00F60E9C"/>
    <w:rsid w:val="00F61193"/>
    <w:rsid w:val="00F614DC"/>
    <w:rsid w:val="00F61890"/>
    <w:rsid w:val="00F61A8A"/>
    <w:rsid w:val="00F63194"/>
    <w:rsid w:val="00F631F9"/>
    <w:rsid w:val="00F64953"/>
    <w:rsid w:val="00F668E9"/>
    <w:rsid w:val="00F67D00"/>
    <w:rsid w:val="00F67EC2"/>
    <w:rsid w:val="00F70050"/>
    <w:rsid w:val="00F705E7"/>
    <w:rsid w:val="00F70DEA"/>
    <w:rsid w:val="00F71906"/>
    <w:rsid w:val="00F71A11"/>
    <w:rsid w:val="00F7281F"/>
    <w:rsid w:val="00F72FCE"/>
    <w:rsid w:val="00F736A3"/>
    <w:rsid w:val="00F73A60"/>
    <w:rsid w:val="00F73AC5"/>
    <w:rsid w:val="00F74ADC"/>
    <w:rsid w:val="00F75AFB"/>
    <w:rsid w:val="00F75C60"/>
    <w:rsid w:val="00F768B7"/>
    <w:rsid w:val="00F77166"/>
    <w:rsid w:val="00F771BD"/>
    <w:rsid w:val="00F779DF"/>
    <w:rsid w:val="00F77D0D"/>
    <w:rsid w:val="00F80004"/>
    <w:rsid w:val="00F8053A"/>
    <w:rsid w:val="00F807B9"/>
    <w:rsid w:val="00F8150B"/>
    <w:rsid w:val="00F8259F"/>
    <w:rsid w:val="00F83007"/>
    <w:rsid w:val="00F83E5A"/>
    <w:rsid w:val="00F86982"/>
    <w:rsid w:val="00F878D1"/>
    <w:rsid w:val="00F87AAC"/>
    <w:rsid w:val="00F87EB9"/>
    <w:rsid w:val="00F87EC5"/>
    <w:rsid w:val="00F90995"/>
    <w:rsid w:val="00F91DAE"/>
    <w:rsid w:val="00F91E63"/>
    <w:rsid w:val="00F927C9"/>
    <w:rsid w:val="00F92CAE"/>
    <w:rsid w:val="00F92E1C"/>
    <w:rsid w:val="00F95510"/>
    <w:rsid w:val="00F96C57"/>
    <w:rsid w:val="00F97784"/>
    <w:rsid w:val="00F978D4"/>
    <w:rsid w:val="00FA000D"/>
    <w:rsid w:val="00FA1D1D"/>
    <w:rsid w:val="00FA2239"/>
    <w:rsid w:val="00FA2B30"/>
    <w:rsid w:val="00FA2DED"/>
    <w:rsid w:val="00FA3FAB"/>
    <w:rsid w:val="00FA40E5"/>
    <w:rsid w:val="00FA53B8"/>
    <w:rsid w:val="00FA657B"/>
    <w:rsid w:val="00FA78EB"/>
    <w:rsid w:val="00FA7FFD"/>
    <w:rsid w:val="00FB0095"/>
    <w:rsid w:val="00FB0258"/>
    <w:rsid w:val="00FB0997"/>
    <w:rsid w:val="00FB0EB8"/>
    <w:rsid w:val="00FB2C18"/>
    <w:rsid w:val="00FB2C43"/>
    <w:rsid w:val="00FB35C5"/>
    <w:rsid w:val="00FB35D7"/>
    <w:rsid w:val="00FB40A8"/>
    <w:rsid w:val="00FB4B3C"/>
    <w:rsid w:val="00FB51FE"/>
    <w:rsid w:val="00FB5575"/>
    <w:rsid w:val="00FB56D9"/>
    <w:rsid w:val="00FB6F9B"/>
    <w:rsid w:val="00FB7000"/>
    <w:rsid w:val="00FB7531"/>
    <w:rsid w:val="00FB774A"/>
    <w:rsid w:val="00FB79E8"/>
    <w:rsid w:val="00FC0356"/>
    <w:rsid w:val="00FC037F"/>
    <w:rsid w:val="00FC0B31"/>
    <w:rsid w:val="00FC0BE7"/>
    <w:rsid w:val="00FC123B"/>
    <w:rsid w:val="00FC1D20"/>
    <w:rsid w:val="00FC215B"/>
    <w:rsid w:val="00FC2529"/>
    <w:rsid w:val="00FC2CAD"/>
    <w:rsid w:val="00FC33DA"/>
    <w:rsid w:val="00FC3782"/>
    <w:rsid w:val="00FC425C"/>
    <w:rsid w:val="00FC4686"/>
    <w:rsid w:val="00FC664F"/>
    <w:rsid w:val="00FC6A21"/>
    <w:rsid w:val="00FC6AC1"/>
    <w:rsid w:val="00FC7008"/>
    <w:rsid w:val="00FC72DC"/>
    <w:rsid w:val="00FC792E"/>
    <w:rsid w:val="00FD1036"/>
    <w:rsid w:val="00FD14B3"/>
    <w:rsid w:val="00FD2003"/>
    <w:rsid w:val="00FD2DC6"/>
    <w:rsid w:val="00FD3C19"/>
    <w:rsid w:val="00FD41BF"/>
    <w:rsid w:val="00FD44F6"/>
    <w:rsid w:val="00FD4D01"/>
    <w:rsid w:val="00FD67D9"/>
    <w:rsid w:val="00FD6CEF"/>
    <w:rsid w:val="00FD70A3"/>
    <w:rsid w:val="00FD7678"/>
    <w:rsid w:val="00FD7681"/>
    <w:rsid w:val="00FE03D7"/>
    <w:rsid w:val="00FE0505"/>
    <w:rsid w:val="00FE0740"/>
    <w:rsid w:val="00FE2AB4"/>
    <w:rsid w:val="00FE31FA"/>
    <w:rsid w:val="00FE35E1"/>
    <w:rsid w:val="00FE362A"/>
    <w:rsid w:val="00FE370E"/>
    <w:rsid w:val="00FE37BA"/>
    <w:rsid w:val="00FE42AD"/>
    <w:rsid w:val="00FE4A37"/>
    <w:rsid w:val="00FE5485"/>
    <w:rsid w:val="00FE55E3"/>
    <w:rsid w:val="00FE6588"/>
    <w:rsid w:val="00FE72BD"/>
    <w:rsid w:val="00FE797E"/>
    <w:rsid w:val="00FF0C26"/>
    <w:rsid w:val="00FF1454"/>
    <w:rsid w:val="00FF1F12"/>
    <w:rsid w:val="00FF2EDA"/>
    <w:rsid w:val="00FF2EEF"/>
    <w:rsid w:val="00FF376B"/>
    <w:rsid w:val="00FF3A31"/>
    <w:rsid w:val="00FF3D99"/>
    <w:rsid w:val="00FF47B5"/>
    <w:rsid w:val="00FF49B3"/>
    <w:rsid w:val="00FF6DAC"/>
    <w:rsid w:val="00FF721F"/>
    <w:rsid w:val="00FF7C1A"/>
    <w:rsid w:val="01701F18"/>
    <w:rsid w:val="01C20BC1"/>
    <w:rsid w:val="01F6653F"/>
    <w:rsid w:val="020F782E"/>
    <w:rsid w:val="026A7EEC"/>
    <w:rsid w:val="028F54F4"/>
    <w:rsid w:val="02E06D98"/>
    <w:rsid w:val="03174F3D"/>
    <w:rsid w:val="0334323D"/>
    <w:rsid w:val="03465822"/>
    <w:rsid w:val="04877EA0"/>
    <w:rsid w:val="04AC2D3A"/>
    <w:rsid w:val="04C77723"/>
    <w:rsid w:val="05085485"/>
    <w:rsid w:val="05115F3A"/>
    <w:rsid w:val="05793C8D"/>
    <w:rsid w:val="06020730"/>
    <w:rsid w:val="06093262"/>
    <w:rsid w:val="06441908"/>
    <w:rsid w:val="067F3DDE"/>
    <w:rsid w:val="06927C02"/>
    <w:rsid w:val="06C54CB0"/>
    <w:rsid w:val="06E11AE9"/>
    <w:rsid w:val="06E268CF"/>
    <w:rsid w:val="072E6CE4"/>
    <w:rsid w:val="07391CB1"/>
    <w:rsid w:val="073E50EC"/>
    <w:rsid w:val="07565430"/>
    <w:rsid w:val="077B5195"/>
    <w:rsid w:val="07986620"/>
    <w:rsid w:val="07F143ED"/>
    <w:rsid w:val="081F5702"/>
    <w:rsid w:val="08AD7403"/>
    <w:rsid w:val="08D0083D"/>
    <w:rsid w:val="08F70716"/>
    <w:rsid w:val="09604EF4"/>
    <w:rsid w:val="097462F3"/>
    <w:rsid w:val="097F0815"/>
    <w:rsid w:val="09CB6A81"/>
    <w:rsid w:val="09E518F1"/>
    <w:rsid w:val="09F410FD"/>
    <w:rsid w:val="0A735943"/>
    <w:rsid w:val="0A9D14CD"/>
    <w:rsid w:val="0AEC1921"/>
    <w:rsid w:val="0B163614"/>
    <w:rsid w:val="0B644C98"/>
    <w:rsid w:val="0BE83002"/>
    <w:rsid w:val="0C2D6B6B"/>
    <w:rsid w:val="0C4E7492"/>
    <w:rsid w:val="0C725932"/>
    <w:rsid w:val="0C836167"/>
    <w:rsid w:val="0CBD71FF"/>
    <w:rsid w:val="0CD632F4"/>
    <w:rsid w:val="0CF518AC"/>
    <w:rsid w:val="0CFE7E31"/>
    <w:rsid w:val="0D1B1BBB"/>
    <w:rsid w:val="0D1C3B8F"/>
    <w:rsid w:val="0D757075"/>
    <w:rsid w:val="0DD259E2"/>
    <w:rsid w:val="0DD62ABF"/>
    <w:rsid w:val="0DE23E65"/>
    <w:rsid w:val="0E107E34"/>
    <w:rsid w:val="0E9E1C0B"/>
    <w:rsid w:val="0ED90A97"/>
    <w:rsid w:val="0EEE5F58"/>
    <w:rsid w:val="0F685FDA"/>
    <w:rsid w:val="0F8C4629"/>
    <w:rsid w:val="0FA2418C"/>
    <w:rsid w:val="0FC70995"/>
    <w:rsid w:val="10140E61"/>
    <w:rsid w:val="10C4629D"/>
    <w:rsid w:val="111D0BCD"/>
    <w:rsid w:val="11AA3EEC"/>
    <w:rsid w:val="11ED76C2"/>
    <w:rsid w:val="11FD79F3"/>
    <w:rsid w:val="122836A5"/>
    <w:rsid w:val="1259028C"/>
    <w:rsid w:val="12B07741"/>
    <w:rsid w:val="12BB6505"/>
    <w:rsid w:val="12C70529"/>
    <w:rsid w:val="12DC70FB"/>
    <w:rsid w:val="12E62FB1"/>
    <w:rsid w:val="12FA3A74"/>
    <w:rsid w:val="1336140F"/>
    <w:rsid w:val="138973B6"/>
    <w:rsid w:val="13904FC3"/>
    <w:rsid w:val="13985C26"/>
    <w:rsid w:val="13AE5F39"/>
    <w:rsid w:val="13BB4547"/>
    <w:rsid w:val="13C97896"/>
    <w:rsid w:val="13CF2BC3"/>
    <w:rsid w:val="13D5245E"/>
    <w:rsid w:val="13D73472"/>
    <w:rsid w:val="13D753E8"/>
    <w:rsid w:val="143D1F5C"/>
    <w:rsid w:val="146E4BD8"/>
    <w:rsid w:val="14CA62B3"/>
    <w:rsid w:val="15072475"/>
    <w:rsid w:val="15123A9A"/>
    <w:rsid w:val="152E4809"/>
    <w:rsid w:val="15483721"/>
    <w:rsid w:val="15491E75"/>
    <w:rsid w:val="154B4432"/>
    <w:rsid w:val="154F08EE"/>
    <w:rsid w:val="155C4B18"/>
    <w:rsid w:val="158C3E49"/>
    <w:rsid w:val="15D85A34"/>
    <w:rsid w:val="16480E80"/>
    <w:rsid w:val="16673868"/>
    <w:rsid w:val="166A5DDC"/>
    <w:rsid w:val="16A52ACB"/>
    <w:rsid w:val="16AB312D"/>
    <w:rsid w:val="16AD6501"/>
    <w:rsid w:val="16C365C3"/>
    <w:rsid w:val="16CE049D"/>
    <w:rsid w:val="17070393"/>
    <w:rsid w:val="178E0E48"/>
    <w:rsid w:val="17BB2FE4"/>
    <w:rsid w:val="17BF6A13"/>
    <w:rsid w:val="18295EA0"/>
    <w:rsid w:val="18351C95"/>
    <w:rsid w:val="185F6D12"/>
    <w:rsid w:val="186B0542"/>
    <w:rsid w:val="18A87BA8"/>
    <w:rsid w:val="18BF78F4"/>
    <w:rsid w:val="19141B51"/>
    <w:rsid w:val="19171BE7"/>
    <w:rsid w:val="19382CF5"/>
    <w:rsid w:val="197F070C"/>
    <w:rsid w:val="198509FA"/>
    <w:rsid w:val="19EE4639"/>
    <w:rsid w:val="1A0D378F"/>
    <w:rsid w:val="1A4107E9"/>
    <w:rsid w:val="1A463538"/>
    <w:rsid w:val="1A4B4973"/>
    <w:rsid w:val="1ABF2E5C"/>
    <w:rsid w:val="1AE30AF9"/>
    <w:rsid w:val="1B46240B"/>
    <w:rsid w:val="1B515E62"/>
    <w:rsid w:val="1B6E2228"/>
    <w:rsid w:val="1B743DF9"/>
    <w:rsid w:val="1B951019"/>
    <w:rsid w:val="1BF8561A"/>
    <w:rsid w:val="1C097220"/>
    <w:rsid w:val="1C0A54E1"/>
    <w:rsid w:val="1C761AAF"/>
    <w:rsid w:val="1CB605D5"/>
    <w:rsid w:val="1CFE2A8A"/>
    <w:rsid w:val="1D1226B4"/>
    <w:rsid w:val="1D1F2402"/>
    <w:rsid w:val="1D8E7226"/>
    <w:rsid w:val="1D902173"/>
    <w:rsid w:val="1DB17B6A"/>
    <w:rsid w:val="1DB5000E"/>
    <w:rsid w:val="1E5E702F"/>
    <w:rsid w:val="1E6255F0"/>
    <w:rsid w:val="1E7672EE"/>
    <w:rsid w:val="1F01141E"/>
    <w:rsid w:val="1FA71066"/>
    <w:rsid w:val="1FA912F6"/>
    <w:rsid w:val="1FB64836"/>
    <w:rsid w:val="1FFA7152"/>
    <w:rsid w:val="20106F09"/>
    <w:rsid w:val="20441817"/>
    <w:rsid w:val="20721520"/>
    <w:rsid w:val="209D0D1F"/>
    <w:rsid w:val="20C91B14"/>
    <w:rsid w:val="210655AB"/>
    <w:rsid w:val="21106D89"/>
    <w:rsid w:val="212A6B52"/>
    <w:rsid w:val="219E443C"/>
    <w:rsid w:val="21AE4BE2"/>
    <w:rsid w:val="21F12319"/>
    <w:rsid w:val="224D1582"/>
    <w:rsid w:val="225849C3"/>
    <w:rsid w:val="229333D1"/>
    <w:rsid w:val="22CE78A7"/>
    <w:rsid w:val="23250D84"/>
    <w:rsid w:val="233518BC"/>
    <w:rsid w:val="238B4E5F"/>
    <w:rsid w:val="23B50CB7"/>
    <w:rsid w:val="23FA6623"/>
    <w:rsid w:val="241F1D6A"/>
    <w:rsid w:val="245F611A"/>
    <w:rsid w:val="246740D5"/>
    <w:rsid w:val="246B3E51"/>
    <w:rsid w:val="24A60494"/>
    <w:rsid w:val="24A72FC8"/>
    <w:rsid w:val="24D50F03"/>
    <w:rsid w:val="24F155B1"/>
    <w:rsid w:val="251A74D7"/>
    <w:rsid w:val="251B499B"/>
    <w:rsid w:val="25395D8D"/>
    <w:rsid w:val="2561612C"/>
    <w:rsid w:val="25D770AE"/>
    <w:rsid w:val="25F5515A"/>
    <w:rsid w:val="26175E37"/>
    <w:rsid w:val="265E6B41"/>
    <w:rsid w:val="2670658E"/>
    <w:rsid w:val="26BB6D55"/>
    <w:rsid w:val="26BF66B8"/>
    <w:rsid w:val="26C568DA"/>
    <w:rsid w:val="26D74630"/>
    <w:rsid w:val="27400656"/>
    <w:rsid w:val="275544FE"/>
    <w:rsid w:val="27774C86"/>
    <w:rsid w:val="277A23F7"/>
    <w:rsid w:val="278C2585"/>
    <w:rsid w:val="279C7AC7"/>
    <w:rsid w:val="27BC7E5F"/>
    <w:rsid w:val="283F4B97"/>
    <w:rsid w:val="289F799E"/>
    <w:rsid w:val="28A61D53"/>
    <w:rsid w:val="28B409B4"/>
    <w:rsid w:val="28CF13F3"/>
    <w:rsid w:val="28D70E70"/>
    <w:rsid w:val="28E91615"/>
    <w:rsid w:val="29177D1D"/>
    <w:rsid w:val="295F5ADB"/>
    <w:rsid w:val="29A22F02"/>
    <w:rsid w:val="29B60C6F"/>
    <w:rsid w:val="2A2D32DD"/>
    <w:rsid w:val="2AE43DA8"/>
    <w:rsid w:val="2B312790"/>
    <w:rsid w:val="2BA1515B"/>
    <w:rsid w:val="2BC90C1A"/>
    <w:rsid w:val="2BEF2912"/>
    <w:rsid w:val="2BFC6FEA"/>
    <w:rsid w:val="2C124428"/>
    <w:rsid w:val="2C357BB5"/>
    <w:rsid w:val="2C583D4C"/>
    <w:rsid w:val="2C837765"/>
    <w:rsid w:val="2C944D65"/>
    <w:rsid w:val="2CA76AA1"/>
    <w:rsid w:val="2D3A6161"/>
    <w:rsid w:val="2D5D1615"/>
    <w:rsid w:val="2D755C92"/>
    <w:rsid w:val="2D8C253E"/>
    <w:rsid w:val="2DAA140B"/>
    <w:rsid w:val="2E01453C"/>
    <w:rsid w:val="2E033B70"/>
    <w:rsid w:val="2E146672"/>
    <w:rsid w:val="2E453E4A"/>
    <w:rsid w:val="2EC658E5"/>
    <w:rsid w:val="2ED066EF"/>
    <w:rsid w:val="2EFF0321"/>
    <w:rsid w:val="2F00249E"/>
    <w:rsid w:val="2F076C46"/>
    <w:rsid w:val="2F2C7CAE"/>
    <w:rsid w:val="2F3141B4"/>
    <w:rsid w:val="2F613A9E"/>
    <w:rsid w:val="2F6B6364"/>
    <w:rsid w:val="2FDF211B"/>
    <w:rsid w:val="30103BF6"/>
    <w:rsid w:val="30113600"/>
    <w:rsid w:val="301952D5"/>
    <w:rsid w:val="30217E87"/>
    <w:rsid w:val="303D5733"/>
    <w:rsid w:val="30727AFF"/>
    <w:rsid w:val="309A433D"/>
    <w:rsid w:val="30EC1396"/>
    <w:rsid w:val="312301AA"/>
    <w:rsid w:val="313D5764"/>
    <w:rsid w:val="31681848"/>
    <w:rsid w:val="31BB0B63"/>
    <w:rsid w:val="32CA3645"/>
    <w:rsid w:val="32D27F79"/>
    <w:rsid w:val="32D76FD0"/>
    <w:rsid w:val="32EE2ED6"/>
    <w:rsid w:val="33056AFF"/>
    <w:rsid w:val="331434BF"/>
    <w:rsid w:val="331C3D26"/>
    <w:rsid w:val="33304F93"/>
    <w:rsid w:val="335E5826"/>
    <w:rsid w:val="336F14D3"/>
    <w:rsid w:val="33B24CC9"/>
    <w:rsid w:val="33B97DD3"/>
    <w:rsid w:val="33C14AFF"/>
    <w:rsid w:val="34073BB8"/>
    <w:rsid w:val="34307763"/>
    <w:rsid w:val="34406731"/>
    <w:rsid w:val="34707D4D"/>
    <w:rsid w:val="34791414"/>
    <w:rsid w:val="347A556A"/>
    <w:rsid w:val="34A67B3B"/>
    <w:rsid w:val="34D959A3"/>
    <w:rsid w:val="35112F76"/>
    <w:rsid w:val="35452AE8"/>
    <w:rsid w:val="35574B92"/>
    <w:rsid w:val="359611AB"/>
    <w:rsid w:val="35B84990"/>
    <w:rsid w:val="35C91425"/>
    <w:rsid w:val="35E12F67"/>
    <w:rsid w:val="36995E1C"/>
    <w:rsid w:val="36D33310"/>
    <w:rsid w:val="36D75D96"/>
    <w:rsid w:val="36DD620C"/>
    <w:rsid w:val="375A1575"/>
    <w:rsid w:val="379C2F1B"/>
    <w:rsid w:val="37BD0462"/>
    <w:rsid w:val="37FE7BE5"/>
    <w:rsid w:val="380425E0"/>
    <w:rsid w:val="380B60AB"/>
    <w:rsid w:val="38373634"/>
    <w:rsid w:val="385363F2"/>
    <w:rsid w:val="38C435DA"/>
    <w:rsid w:val="38DE1C89"/>
    <w:rsid w:val="38EC31BA"/>
    <w:rsid w:val="38EC46EA"/>
    <w:rsid w:val="3974268E"/>
    <w:rsid w:val="397C56AC"/>
    <w:rsid w:val="399A5C09"/>
    <w:rsid w:val="39B06F76"/>
    <w:rsid w:val="39E17C09"/>
    <w:rsid w:val="39E27483"/>
    <w:rsid w:val="39F96F74"/>
    <w:rsid w:val="3A1C0DBF"/>
    <w:rsid w:val="3AFB4452"/>
    <w:rsid w:val="3B030309"/>
    <w:rsid w:val="3B4D12FD"/>
    <w:rsid w:val="3B691AD2"/>
    <w:rsid w:val="3B897774"/>
    <w:rsid w:val="3BBF3728"/>
    <w:rsid w:val="3BE15B0C"/>
    <w:rsid w:val="3BFF4B97"/>
    <w:rsid w:val="3C1A3A6F"/>
    <w:rsid w:val="3C3D495D"/>
    <w:rsid w:val="3C6649B8"/>
    <w:rsid w:val="3CAF1767"/>
    <w:rsid w:val="3CD7096F"/>
    <w:rsid w:val="3CDB1050"/>
    <w:rsid w:val="3D2362EC"/>
    <w:rsid w:val="3D49529F"/>
    <w:rsid w:val="3D5050F0"/>
    <w:rsid w:val="3D7D2249"/>
    <w:rsid w:val="3DE36C65"/>
    <w:rsid w:val="3E1B6CB2"/>
    <w:rsid w:val="3E257275"/>
    <w:rsid w:val="3E3357DF"/>
    <w:rsid w:val="3E351FBC"/>
    <w:rsid w:val="3EA93925"/>
    <w:rsid w:val="3ED53549"/>
    <w:rsid w:val="3F283A52"/>
    <w:rsid w:val="3F55447C"/>
    <w:rsid w:val="3F9D072A"/>
    <w:rsid w:val="3FC3793E"/>
    <w:rsid w:val="3FDA4D4C"/>
    <w:rsid w:val="40084EE3"/>
    <w:rsid w:val="40385AB3"/>
    <w:rsid w:val="40705DFF"/>
    <w:rsid w:val="4076620F"/>
    <w:rsid w:val="407C3B23"/>
    <w:rsid w:val="40B17389"/>
    <w:rsid w:val="40CE7D7B"/>
    <w:rsid w:val="4119275B"/>
    <w:rsid w:val="411F4EE1"/>
    <w:rsid w:val="4121448B"/>
    <w:rsid w:val="413F7549"/>
    <w:rsid w:val="4165047F"/>
    <w:rsid w:val="41EE4CFD"/>
    <w:rsid w:val="41F45E6E"/>
    <w:rsid w:val="42694CF5"/>
    <w:rsid w:val="42786F0A"/>
    <w:rsid w:val="42A6445F"/>
    <w:rsid w:val="43035A4C"/>
    <w:rsid w:val="433A4C90"/>
    <w:rsid w:val="436D27D1"/>
    <w:rsid w:val="438137E5"/>
    <w:rsid w:val="44DB4469"/>
    <w:rsid w:val="44E81CBA"/>
    <w:rsid w:val="45011D2A"/>
    <w:rsid w:val="45552068"/>
    <w:rsid w:val="45816943"/>
    <w:rsid w:val="45B222C8"/>
    <w:rsid w:val="45BE2A1A"/>
    <w:rsid w:val="45BE546E"/>
    <w:rsid w:val="45C03FD2"/>
    <w:rsid w:val="4607227B"/>
    <w:rsid w:val="462D1AF7"/>
    <w:rsid w:val="46403CAC"/>
    <w:rsid w:val="46875EC0"/>
    <w:rsid w:val="46AB458F"/>
    <w:rsid w:val="46E61D22"/>
    <w:rsid w:val="47C87B80"/>
    <w:rsid w:val="47CF4F15"/>
    <w:rsid w:val="48545C43"/>
    <w:rsid w:val="485D66EE"/>
    <w:rsid w:val="48B2087A"/>
    <w:rsid w:val="493A0D1C"/>
    <w:rsid w:val="49695110"/>
    <w:rsid w:val="49852BFE"/>
    <w:rsid w:val="49951E87"/>
    <w:rsid w:val="49B96599"/>
    <w:rsid w:val="49C814F2"/>
    <w:rsid w:val="4A413D70"/>
    <w:rsid w:val="4A670929"/>
    <w:rsid w:val="4A803898"/>
    <w:rsid w:val="4A88403E"/>
    <w:rsid w:val="4AB36025"/>
    <w:rsid w:val="4AE83C5B"/>
    <w:rsid w:val="4B103D18"/>
    <w:rsid w:val="4B46285C"/>
    <w:rsid w:val="4B6416C5"/>
    <w:rsid w:val="4B661D68"/>
    <w:rsid w:val="4BAE5C60"/>
    <w:rsid w:val="4C1E175F"/>
    <w:rsid w:val="4D18675F"/>
    <w:rsid w:val="4D297151"/>
    <w:rsid w:val="4D341EB2"/>
    <w:rsid w:val="4D564A01"/>
    <w:rsid w:val="4DC51AFC"/>
    <w:rsid w:val="4DEB45C9"/>
    <w:rsid w:val="4E23352A"/>
    <w:rsid w:val="4E263853"/>
    <w:rsid w:val="4E3964AF"/>
    <w:rsid w:val="4E472389"/>
    <w:rsid w:val="4E516F0D"/>
    <w:rsid w:val="4E540DA6"/>
    <w:rsid w:val="4E7260D9"/>
    <w:rsid w:val="4EAF703B"/>
    <w:rsid w:val="4F055CDE"/>
    <w:rsid w:val="4F0E61D4"/>
    <w:rsid w:val="4F6927D5"/>
    <w:rsid w:val="4F6B3C13"/>
    <w:rsid w:val="501573C4"/>
    <w:rsid w:val="5032028D"/>
    <w:rsid w:val="50574197"/>
    <w:rsid w:val="506028AD"/>
    <w:rsid w:val="50AB5FE3"/>
    <w:rsid w:val="50B306D4"/>
    <w:rsid w:val="50C1117F"/>
    <w:rsid w:val="51146C2B"/>
    <w:rsid w:val="51322C16"/>
    <w:rsid w:val="51960F81"/>
    <w:rsid w:val="51AF18D8"/>
    <w:rsid w:val="5205202F"/>
    <w:rsid w:val="52472BE9"/>
    <w:rsid w:val="525F0B81"/>
    <w:rsid w:val="52850EAD"/>
    <w:rsid w:val="52D72C57"/>
    <w:rsid w:val="52FF05D6"/>
    <w:rsid w:val="537D39F0"/>
    <w:rsid w:val="53BE1EF3"/>
    <w:rsid w:val="54065CB8"/>
    <w:rsid w:val="545E7D77"/>
    <w:rsid w:val="546D5592"/>
    <w:rsid w:val="548B7B21"/>
    <w:rsid w:val="549938AF"/>
    <w:rsid w:val="54F925B7"/>
    <w:rsid w:val="55154F33"/>
    <w:rsid w:val="55331501"/>
    <w:rsid w:val="555C4BF0"/>
    <w:rsid w:val="555E7D76"/>
    <w:rsid w:val="556233C2"/>
    <w:rsid w:val="558D6295"/>
    <w:rsid w:val="55DC2FA8"/>
    <w:rsid w:val="562D40C6"/>
    <w:rsid w:val="563F76F7"/>
    <w:rsid w:val="56AC4FED"/>
    <w:rsid w:val="56B21768"/>
    <w:rsid w:val="56DC3645"/>
    <w:rsid w:val="56E83D9B"/>
    <w:rsid w:val="57430FD1"/>
    <w:rsid w:val="5761526A"/>
    <w:rsid w:val="577E2D08"/>
    <w:rsid w:val="5808679A"/>
    <w:rsid w:val="58403960"/>
    <w:rsid w:val="586B6C99"/>
    <w:rsid w:val="58F63137"/>
    <w:rsid w:val="596F60AE"/>
    <w:rsid w:val="59745BB7"/>
    <w:rsid w:val="597F7D83"/>
    <w:rsid w:val="59FD1893"/>
    <w:rsid w:val="5A0D7F99"/>
    <w:rsid w:val="5A2D3F91"/>
    <w:rsid w:val="5A5B7123"/>
    <w:rsid w:val="5ACE6FC0"/>
    <w:rsid w:val="5AED7BD2"/>
    <w:rsid w:val="5B6339F0"/>
    <w:rsid w:val="5B7815A3"/>
    <w:rsid w:val="5B7C19A6"/>
    <w:rsid w:val="5BE1787A"/>
    <w:rsid w:val="5C1B4A3B"/>
    <w:rsid w:val="5C2F3627"/>
    <w:rsid w:val="5C7D56B9"/>
    <w:rsid w:val="5C8527C8"/>
    <w:rsid w:val="5CB069F4"/>
    <w:rsid w:val="5CF147C0"/>
    <w:rsid w:val="5D094839"/>
    <w:rsid w:val="5D0F73F4"/>
    <w:rsid w:val="5D216A78"/>
    <w:rsid w:val="5D2D7770"/>
    <w:rsid w:val="5D7D6BC5"/>
    <w:rsid w:val="5DFC2878"/>
    <w:rsid w:val="5DFF75FD"/>
    <w:rsid w:val="5E0A43A7"/>
    <w:rsid w:val="5E560A80"/>
    <w:rsid w:val="5EAF06C4"/>
    <w:rsid w:val="5F006F80"/>
    <w:rsid w:val="5F0B79F6"/>
    <w:rsid w:val="5F1119B5"/>
    <w:rsid w:val="5F1F5D47"/>
    <w:rsid w:val="5F2D2664"/>
    <w:rsid w:val="5F365583"/>
    <w:rsid w:val="5F430A91"/>
    <w:rsid w:val="5FCC5E3A"/>
    <w:rsid w:val="5FFE2FFE"/>
    <w:rsid w:val="60584853"/>
    <w:rsid w:val="606F5A62"/>
    <w:rsid w:val="60766B4D"/>
    <w:rsid w:val="608C26E8"/>
    <w:rsid w:val="60A17B22"/>
    <w:rsid w:val="60B365A0"/>
    <w:rsid w:val="610E40E0"/>
    <w:rsid w:val="6118637F"/>
    <w:rsid w:val="61435689"/>
    <w:rsid w:val="617C6FF6"/>
    <w:rsid w:val="619C75BF"/>
    <w:rsid w:val="61AF6FDF"/>
    <w:rsid w:val="61C64645"/>
    <w:rsid w:val="61FE5743"/>
    <w:rsid w:val="6246450E"/>
    <w:rsid w:val="625D5EDB"/>
    <w:rsid w:val="62AB6078"/>
    <w:rsid w:val="62E611F4"/>
    <w:rsid w:val="62FA2262"/>
    <w:rsid w:val="635664D3"/>
    <w:rsid w:val="63671AF8"/>
    <w:rsid w:val="63AB687C"/>
    <w:rsid w:val="63EB4ECB"/>
    <w:rsid w:val="64244860"/>
    <w:rsid w:val="644840EA"/>
    <w:rsid w:val="649D04BE"/>
    <w:rsid w:val="652D7AB2"/>
    <w:rsid w:val="655820EC"/>
    <w:rsid w:val="655D44F7"/>
    <w:rsid w:val="65652664"/>
    <w:rsid w:val="65681C83"/>
    <w:rsid w:val="656F4510"/>
    <w:rsid w:val="65891097"/>
    <w:rsid w:val="65B26349"/>
    <w:rsid w:val="660C7E95"/>
    <w:rsid w:val="66AC3530"/>
    <w:rsid w:val="66F521D0"/>
    <w:rsid w:val="67E36AB5"/>
    <w:rsid w:val="67F06E77"/>
    <w:rsid w:val="68042F0E"/>
    <w:rsid w:val="68052C79"/>
    <w:rsid w:val="68192FD0"/>
    <w:rsid w:val="68752FB5"/>
    <w:rsid w:val="68833724"/>
    <w:rsid w:val="68A434E4"/>
    <w:rsid w:val="68D023DF"/>
    <w:rsid w:val="69023BC4"/>
    <w:rsid w:val="69107B7A"/>
    <w:rsid w:val="694F14B1"/>
    <w:rsid w:val="696C43B8"/>
    <w:rsid w:val="69702BA5"/>
    <w:rsid w:val="69884F6B"/>
    <w:rsid w:val="69C2490D"/>
    <w:rsid w:val="6A471681"/>
    <w:rsid w:val="6A4D234D"/>
    <w:rsid w:val="6A635D6D"/>
    <w:rsid w:val="6A640772"/>
    <w:rsid w:val="6A862CA1"/>
    <w:rsid w:val="6B5D7EC9"/>
    <w:rsid w:val="6B6712DB"/>
    <w:rsid w:val="6BBB13D5"/>
    <w:rsid w:val="6BC74F0A"/>
    <w:rsid w:val="6BCC1F86"/>
    <w:rsid w:val="6BD22461"/>
    <w:rsid w:val="6C187D7E"/>
    <w:rsid w:val="6C7812C6"/>
    <w:rsid w:val="6C7922AB"/>
    <w:rsid w:val="6C90639F"/>
    <w:rsid w:val="6CBE1499"/>
    <w:rsid w:val="6CC9270B"/>
    <w:rsid w:val="6CD823A6"/>
    <w:rsid w:val="6D427A6B"/>
    <w:rsid w:val="6D49671E"/>
    <w:rsid w:val="6D6D4B48"/>
    <w:rsid w:val="6D92742B"/>
    <w:rsid w:val="6DB1683D"/>
    <w:rsid w:val="6DBC4580"/>
    <w:rsid w:val="6DC94FAE"/>
    <w:rsid w:val="6E3178D2"/>
    <w:rsid w:val="6E9143E5"/>
    <w:rsid w:val="6ECB392F"/>
    <w:rsid w:val="6EF7409F"/>
    <w:rsid w:val="6EFC0FFA"/>
    <w:rsid w:val="6EFC6E02"/>
    <w:rsid w:val="6F1E7F02"/>
    <w:rsid w:val="6F3D6E7D"/>
    <w:rsid w:val="6F974452"/>
    <w:rsid w:val="6F9804C0"/>
    <w:rsid w:val="6FD67962"/>
    <w:rsid w:val="6FF17922"/>
    <w:rsid w:val="6FFC153C"/>
    <w:rsid w:val="70384EAD"/>
    <w:rsid w:val="70423FE7"/>
    <w:rsid w:val="704716DD"/>
    <w:rsid w:val="706E3CCB"/>
    <w:rsid w:val="70A64653"/>
    <w:rsid w:val="70B11CEE"/>
    <w:rsid w:val="70E231B1"/>
    <w:rsid w:val="71390EFA"/>
    <w:rsid w:val="715E79BB"/>
    <w:rsid w:val="718A1B80"/>
    <w:rsid w:val="71C11BF7"/>
    <w:rsid w:val="71D05F54"/>
    <w:rsid w:val="71D82609"/>
    <w:rsid w:val="71DE1ACA"/>
    <w:rsid w:val="71F907C2"/>
    <w:rsid w:val="7258608E"/>
    <w:rsid w:val="72C94629"/>
    <w:rsid w:val="72D0051E"/>
    <w:rsid w:val="72E04F19"/>
    <w:rsid w:val="730C72D1"/>
    <w:rsid w:val="73476DAD"/>
    <w:rsid w:val="73B57502"/>
    <w:rsid w:val="73B74995"/>
    <w:rsid w:val="73CA1951"/>
    <w:rsid w:val="74AB7B69"/>
    <w:rsid w:val="74B47BCC"/>
    <w:rsid w:val="750705C0"/>
    <w:rsid w:val="75134281"/>
    <w:rsid w:val="753C4C7F"/>
    <w:rsid w:val="758D42AC"/>
    <w:rsid w:val="75B90231"/>
    <w:rsid w:val="75DA1C35"/>
    <w:rsid w:val="75EA1AA2"/>
    <w:rsid w:val="76200A04"/>
    <w:rsid w:val="762737D5"/>
    <w:rsid w:val="766905FD"/>
    <w:rsid w:val="774B17E9"/>
    <w:rsid w:val="779A3713"/>
    <w:rsid w:val="78045059"/>
    <w:rsid w:val="78615EC6"/>
    <w:rsid w:val="7874032F"/>
    <w:rsid w:val="78A14D50"/>
    <w:rsid w:val="78B67DF9"/>
    <w:rsid w:val="79240D60"/>
    <w:rsid w:val="793654A6"/>
    <w:rsid w:val="796210A7"/>
    <w:rsid w:val="796D0F2B"/>
    <w:rsid w:val="79757658"/>
    <w:rsid w:val="797B119D"/>
    <w:rsid w:val="79CE01EA"/>
    <w:rsid w:val="7A4428B2"/>
    <w:rsid w:val="7A4B3DB6"/>
    <w:rsid w:val="7A6E650B"/>
    <w:rsid w:val="7ADC6EC3"/>
    <w:rsid w:val="7B5F4F9B"/>
    <w:rsid w:val="7C601C75"/>
    <w:rsid w:val="7C607F1C"/>
    <w:rsid w:val="7C780833"/>
    <w:rsid w:val="7CB1090D"/>
    <w:rsid w:val="7D064796"/>
    <w:rsid w:val="7D385835"/>
    <w:rsid w:val="7D4122AB"/>
    <w:rsid w:val="7DBC02EB"/>
    <w:rsid w:val="7DD5466D"/>
    <w:rsid w:val="7DF01061"/>
    <w:rsid w:val="7DF87567"/>
    <w:rsid w:val="7DFA4F8D"/>
    <w:rsid w:val="7E191217"/>
    <w:rsid w:val="7E536360"/>
    <w:rsid w:val="7EA66BB1"/>
    <w:rsid w:val="7F191C68"/>
    <w:rsid w:val="7F3E05D3"/>
    <w:rsid w:val="7F475253"/>
    <w:rsid w:val="7F760E0E"/>
    <w:rsid w:val="7F776062"/>
    <w:rsid w:val="7FB62B7C"/>
    <w:rsid w:val="7FB7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nhideWhenUsed="0" w:uiPriority="0"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styleId="4">
    <w:name w:val="heading 1"/>
    <w:basedOn w:val="1"/>
    <w:next w:val="1"/>
    <w:link w:val="51"/>
    <w:qFormat/>
    <w:uiPriority w:val="0"/>
    <w:pPr>
      <w:keepNext/>
      <w:keepLines/>
      <w:tabs>
        <w:tab w:val="left" w:pos="1440"/>
      </w:tabs>
      <w:spacing w:before="340" w:after="330" w:line="578" w:lineRule="atLeast"/>
      <w:outlineLvl w:val="0"/>
    </w:pPr>
    <w:rPr>
      <w:b/>
      <w:bCs/>
      <w:kern w:val="44"/>
      <w:sz w:val="44"/>
      <w:szCs w:val="44"/>
    </w:rPr>
  </w:style>
  <w:style w:type="paragraph" w:styleId="5">
    <w:name w:val="heading 2"/>
    <w:basedOn w:val="1"/>
    <w:next w:val="1"/>
    <w:link w:val="52"/>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6">
    <w:name w:val="heading 3"/>
    <w:basedOn w:val="1"/>
    <w:next w:val="1"/>
    <w:link w:val="53"/>
    <w:qFormat/>
    <w:uiPriority w:val="0"/>
    <w:pPr>
      <w:keepNext/>
      <w:keepLines/>
      <w:spacing w:before="260" w:after="260" w:line="416" w:lineRule="atLeast"/>
      <w:outlineLvl w:val="2"/>
    </w:pPr>
    <w:rPr>
      <w:b/>
      <w:bCs/>
      <w:sz w:val="32"/>
      <w:szCs w:val="32"/>
    </w:rPr>
  </w:style>
  <w:style w:type="paragraph" w:styleId="7">
    <w:name w:val="heading 4"/>
    <w:basedOn w:val="1"/>
    <w:next w:val="1"/>
    <w:link w:val="54"/>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link w:val="55"/>
    <w:unhideWhenUsed/>
    <w:qFormat/>
    <w:uiPriority w:val="0"/>
    <w:pPr>
      <w:keepNext/>
      <w:keepLines/>
      <w:spacing w:before="280" w:after="290" w:line="376" w:lineRule="atLeast"/>
      <w:outlineLvl w:val="4"/>
    </w:pPr>
    <w:rPr>
      <w:b/>
      <w:bCs/>
      <w:sz w:val="28"/>
      <w:szCs w:val="28"/>
    </w:rPr>
  </w:style>
  <w:style w:type="paragraph" w:styleId="9">
    <w:name w:val="heading 6"/>
    <w:basedOn w:val="1"/>
    <w:next w:val="1"/>
    <w:link w:val="72"/>
    <w:qFormat/>
    <w:uiPriority w:val="0"/>
    <w:pPr>
      <w:keepNext/>
      <w:keepLines/>
      <w:adjustRightInd/>
      <w:spacing w:before="240" w:after="64" w:line="317" w:lineRule="auto"/>
      <w:textAlignment w:val="auto"/>
      <w:outlineLvl w:val="5"/>
    </w:pPr>
    <w:rPr>
      <w:rFonts w:ascii="Cambria" w:hAnsi="Cambria"/>
      <w:b/>
      <w:bCs/>
      <w:kern w:val="2"/>
      <w:sz w:val="24"/>
      <w:szCs w:val="24"/>
    </w:rPr>
  </w:style>
  <w:style w:type="paragraph" w:styleId="10">
    <w:name w:val="heading 7"/>
    <w:basedOn w:val="1"/>
    <w:next w:val="1"/>
    <w:link w:val="73"/>
    <w:qFormat/>
    <w:uiPriority w:val="0"/>
    <w:pPr>
      <w:keepNext/>
      <w:keepLines/>
      <w:adjustRightInd/>
      <w:spacing w:before="240" w:after="64" w:line="317" w:lineRule="auto"/>
      <w:textAlignment w:val="auto"/>
      <w:outlineLvl w:val="6"/>
    </w:pPr>
    <w:rPr>
      <w:b/>
      <w:bCs/>
      <w:kern w:val="2"/>
      <w:sz w:val="24"/>
      <w:szCs w:val="24"/>
    </w:rPr>
  </w:style>
  <w:style w:type="paragraph" w:styleId="11">
    <w:name w:val="heading 8"/>
    <w:basedOn w:val="1"/>
    <w:next w:val="1"/>
    <w:link w:val="74"/>
    <w:qFormat/>
    <w:uiPriority w:val="0"/>
    <w:pPr>
      <w:keepNext/>
      <w:keepLines/>
      <w:adjustRightInd/>
      <w:spacing w:before="240" w:after="64" w:line="317" w:lineRule="auto"/>
      <w:textAlignment w:val="auto"/>
      <w:outlineLvl w:val="7"/>
    </w:pPr>
    <w:rPr>
      <w:rFonts w:ascii="Cambria" w:hAnsi="Cambria"/>
      <w:kern w:val="2"/>
      <w:sz w:val="24"/>
      <w:szCs w:val="24"/>
    </w:rPr>
  </w:style>
  <w:style w:type="paragraph" w:styleId="12">
    <w:name w:val="heading 9"/>
    <w:basedOn w:val="1"/>
    <w:next w:val="1"/>
    <w:link w:val="75"/>
    <w:qFormat/>
    <w:uiPriority w:val="0"/>
    <w:pPr>
      <w:keepNext/>
      <w:keepLines/>
      <w:adjustRightInd/>
      <w:spacing w:before="240" w:after="64" w:line="317" w:lineRule="auto"/>
      <w:textAlignment w:val="auto"/>
      <w:outlineLvl w:val="8"/>
    </w:pPr>
    <w:rPr>
      <w:rFonts w:ascii="Cambria" w:hAnsi="Cambria"/>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25"/>
    <w:unhideWhenUsed/>
    <w:qFormat/>
    <w:uiPriority w:val="99"/>
    <w:pPr>
      <w:ind w:firstLine="420" w:firstLineChars="200"/>
    </w:pPr>
  </w:style>
  <w:style w:type="paragraph" w:styleId="3">
    <w:name w:val="Body Text Indent"/>
    <w:basedOn w:val="1"/>
    <w:next w:val="1"/>
    <w:link w:val="64"/>
    <w:semiHidden/>
    <w:unhideWhenUsed/>
    <w:qFormat/>
    <w:uiPriority w:val="99"/>
    <w:pPr>
      <w:spacing w:after="120"/>
      <w:ind w:left="420" w:leftChars="200"/>
    </w:pPr>
  </w:style>
  <w:style w:type="paragraph" w:styleId="13">
    <w:name w:val="toc 7"/>
    <w:basedOn w:val="1"/>
    <w:next w:val="1"/>
    <w:qFormat/>
    <w:uiPriority w:val="39"/>
    <w:pPr>
      <w:adjustRightInd/>
      <w:spacing w:line="240" w:lineRule="auto"/>
      <w:ind w:left="2520" w:leftChars="1200"/>
      <w:textAlignment w:val="auto"/>
    </w:pPr>
    <w:rPr>
      <w:kern w:val="2"/>
      <w:sz w:val="21"/>
      <w:szCs w:val="22"/>
    </w:rPr>
  </w:style>
  <w:style w:type="paragraph" w:styleId="14">
    <w:name w:val="Note Heading"/>
    <w:basedOn w:val="1"/>
    <w:next w:val="1"/>
    <w:link w:val="104"/>
    <w:semiHidden/>
    <w:qFormat/>
    <w:uiPriority w:val="0"/>
    <w:pPr>
      <w:adjustRightInd/>
      <w:spacing w:line="240" w:lineRule="auto"/>
      <w:jc w:val="center"/>
      <w:textAlignment w:val="auto"/>
    </w:pPr>
    <w:rPr>
      <w:rFonts w:ascii="Times New Roman" w:hAnsi="Times New Roman"/>
      <w:kern w:val="2"/>
      <w:sz w:val="21"/>
      <w:szCs w:val="24"/>
    </w:rPr>
  </w:style>
  <w:style w:type="paragraph" w:styleId="15">
    <w:name w:val="Normal Indent"/>
    <w:basedOn w:val="1"/>
    <w:link w:val="56"/>
    <w:qFormat/>
    <w:uiPriority w:val="0"/>
    <w:pPr>
      <w:ind w:firstLine="420"/>
    </w:pPr>
    <w:rPr>
      <w:rFonts w:asciiTheme="minorHAnsi" w:hAnsiTheme="minorHAnsi" w:eastAsiaTheme="minorEastAsia" w:cstheme="minorBidi"/>
      <w:kern w:val="2"/>
      <w:sz w:val="21"/>
      <w:szCs w:val="22"/>
    </w:rPr>
  </w:style>
  <w:style w:type="paragraph" w:styleId="16">
    <w:name w:val="caption"/>
    <w:basedOn w:val="1"/>
    <w:next w:val="1"/>
    <w:qFormat/>
    <w:uiPriority w:val="0"/>
    <w:pPr>
      <w:adjustRightInd/>
      <w:spacing w:line="240" w:lineRule="auto"/>
      <w:textAlignment w:val="auto"/>
    </w:pPr>
    <w:rPr>
      <w:rFonts w:ascii="Cambria" w:hAnsi="Cambria" w:eastAsia="黑体"/>
      <w:kern w:val="2"/>
    </w:rPr>
  </w:style>
  <w:style w:type="paragraph" w:styleId="17">
    <w:name w:val="Document Map"/>
    <w:basedOn w:val="1"/>
    <w:link w:val="94"/>
    <w:qFormat/>
    <w:uiPriority w:val="0"/>
    <w:pPr>
      <w:shd w:val="clear" w:color="auto" w:fill="000080"/>
      <w:adjustRightInd/>
      <w:spacing w:line="240" w:lineRule="auto"/>
      <w:textAlignment w:val="auto"/>
    </w:pPr>
    <w:rPr>
      <w:rFonts w:ascii="Times New Roman" w:hAnsi="Times New Roman" w:eastAsiaTheme="minorEastAsia" w:cstheme="minorBidi"/>
      <w:kern w:val="2"/>
      <w:sz w:val="21"/>
      <w:szCs w:val="24"/>
      <w:shd w:val="clear" w:color="auto" w:fill="000080"/>
    </w:rPr>
  </w:style>
  <w:style w:type="paragraph" w:styleId="18">
    <w:name w:val="annotation text"/>
    <w:basedOn w:val="1"/>
    <w:link w:val="97"/>
    <w:qFormat/>
    <w:uiPriority w:val="0"/>
    <w:pPr>
      <w:adjustRightInd/>
      <w:spacing w:line="240" w:lineRule="auto"/>
      <w:jc w:val="left"/>
      <w:textAlignment w:val="auto"/>
    </w:pPr>
    <w:rPr>
      <w:rFonts w:asciiTheme="minorHAnsi" w:hAnsiTheme="minorHAnsi" w:eastAsiaTheme="minorEastAsia" w:cstheme="minorBidi"/>
      <w:kern w:val="2"/>
      <w:sz w:val="21"/>
      <w:szCs w:val="22"/>
    </w:rPr>
  </w:style>
  <w:style w:type="paragraph" w:styleId="19">
    <w:name w:val="Body Text"/>
    <w:basedOn w:val="1"/>
    <w:link w:val="63"/>
    <w:qFormat/>
    <w:uiPriority w:val="0"/>
    <w:pPr>
      <w:spacing w:after="120"/>
    </w:pPr>
  </w:style>
  <w:style w:type="paragraph" w:styleId="20">
    <w:name w:val="index 4"/>
    <w:basedOn w:val="1"/>
    <w:next w:val="1"/>
    <w:qFormat/>
    <w:uiPriority w:val="0"/>
    <w:pPr>
      <w:adjustRightInd/>
      <w:spacing w:line="240" w:lineRule="auto"/>
      <w:ind w:left="600" w:leftChars="600"/>
      <w:textAlignment w:val="auto"/>
    </w:pPr>
    <w:rPr>
      <w:rFonts w:ascii="Times New Roman" w:hAnsi="Times New Roman"/>
      <w:kern w:val="2"/>
      <w:sz w:val="21"/>
      <w:szCs w:val="24"/>
    </w:rPr>
  </w:style>
  <w:style w:type="paragraph" w:styleId="21">
    <w:name w:val="toc 5"/>
    <w:basedOn w:val="1"/>
    <w:next w:val="1"/>
    <w:qFormat/>
    <w:uiPriority w:val="39"/>
    <w:pPr>
      <w:adjustRightInd/>
      <w:spacing w:line="240" w:lineRule="auto"/>
      <w:ind w:left="800" w:leftChars="800"/>
      <w:textAlignment w:val="auto"/>
    </w:pPr>
    <w:rPr>
      <w:kern w:val="2"/>
      <w:sz w:val="21"/>
      <w:szCs w:val="24"/>
    </w:rPr>
  </w:style>
  <w:style w:type="paragraph" w:styleId="22">
    <w:name w:val="toc 3"/>
    <w:basedOn w:val="1"/>
    <w:next w:val="1"/>
    <w:qFormat/>
    <w:uiPriority w:val="39"/>
    <w:pPr>
      <w:ind w:left="400" w:leftChars="400"/>
    </w:pPr>
    <w:rPr>
      <w:sz w:val="21"/>
    </w:rPr>
  </w:style>
  <w:style w:type="paragraph" w:styleId="23">
    <w:name w:val="Plain Text"/>
    <w:basedOn w:val="1"/>
    <w:link w:val="100"/>
    <w:qFormat/>
    <w:uiPriority w:val="0"/>
    <w:pPr>
      <w:adjustRightInd/>
      <w:spacing w:line="240" w:lineRule="auto"/>
      <w:textAlignment w:val="auto"/>
    </w:pPr>
    <w:rPr>
      <w:rFonts w:ascii="宋体" w:hAnsi="Courier New" w:cs="Courier New"/>
      <w:kern w:val="2"/>
      <w:sz w:val="21"/>
      <w:szCs w:val="21"/>
    </w:rPr>
  </w:style>
  <w:style w:type="paragraph" w:styleId="24">
    <w:name w:val="toc 8"/>
    <w:basedOn w:val="1"/>
    <w:next w:val="1"/>
    <w:qFormat/>
    <w:uiPriority w:val="39"/>
    <w:pPr>
      <w:adjustRightInd/>
      <w:spacing w:line="240" w:lineRule="auto"/>
      <w:ind w:left="2940" w:leftChars="1400"/>
      <w:textAlignment w:val="auto"/>
    </w:pPr>
    <w:rPr>
      <w:kern w:val="2"/>
      <w:sz w:val="21"/>
      <w:szCs w:val="22"/>
    </w:rPr>
  </w:style>
  <w:style w:type="paragraph" w:styleId="25">
    <w:name w:val="Date"/>
    <w:basedOn w:val="1"/>
    <w:next w:val="1"/>
    <w:link w:val="95"/>
    <w:qFormat/>
    <w:uiPriority w:val="0"/>
    <w:pPr>
      <w:adjustRightInd/>
      <w:spacing w:line="240" w:lineRule="auto"/>
      <w:ind w:left="100" w:leftChars="2500"/>
      <w:textAlignment w:val="auto"/>
    </w:pPr>
    <w:rPr>
      <w:rFonts w:ascii="宋体" w:hAnsi="Times New Roman" w:eastAsiaTheme="minorEastAsia" w:cstheme="minorBidi"/>
      <w:kern w:val="2"/>
      <w:sz w:val="28"/>
      <w:szCs w:val="22"/>
    </w:rPr>
  </w:style>
  <w:style w:type="paragraph" w:styleId="26">
    <w:name w:val="Body Text Indent 2"/>
    <w:basedOn w:val="1"/>
    <w:link w:val="71"/>
    <w:unhideWhenUsed/>
    <w:qFormat/>
    <w:uiPriority w:val="0"/>
    <w:pPr>
      <w:spacing w:after="120" w:line="480" w:lineRule="auto"/>
      <w:ind w:left="420" w:leftChars="200"/>
    </w:pPr>
  </w:style>
  <w:style w:type="paragraph" w:styleId="27">
    <w:name w:val="Balloon Text"/>
    <w:basedOn w:val="1"/>
    <w:link w:val="99"/>
    <w:qFormat/>
    <w:uiPriority w:val="0"/>
    <w:pPr>
      <w:adjustRightInd/>
      <w:spacing w:line="240" w:lineRule="auto"/>
      <w:textAlignment w:val="auto"/>
    </w:pPr>
    <w:rPr>
      <w:rFonts w:ascii="宋体" w:hAnsi="Times New Roman" w:eastAsiaTheme="minorEastAsia" w:cstheme="minorBidi"/>
      <w:kern w:val="2"/>
      <w:sz w:val="18"/>
      <w:szCs w:val="18"/>
    </w:rPr>
  </w:style>
  <w:style w:type="paragraph" w:styleId="28">
    <w:name w:val="footer"/>
    <w:basedOn w:val="1"/>
    <w:link w:val="60"/>
    <w:unhideWhenUsed/>
    <w:qFormat/>
    <w:uiPriority w:val="99"/>
    <w:pPr>
      <w:tabs>
        <w:tab w:val="center" w:pos="4153"/>
        <w:tab w:val="right" w:pos="8306"/>
      </w:tabs>
      <w:snapToGrid w:val="0"/>
      <w:spacing w:line="240" w:lineRule="atLeast"/>
      <w:jc w:val="left"/>
    </w:pPr>
    <w:rPr>
      <w:sz w:val="18"/>
      <w:szCs w:val="18"/>
    </w:rPr>
  </w:style>
  <w:style w:type="paragraph" w:styleId="29">
    <w:name w:val="header"/>
    <w:basedOn w:val="1"/>
    <w:link w:val="5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0">
    <w:name w:val="toc 1"/>
    <w:basedOn w:val="1"/>
    <w:next w:val="1"/>
    <w:qFormat/>
    <w:uiPriority w:val="39"/>
    <w:pPr>
      <w:spacing w:line="360" w:lineRule="auto"/>
    </w:pPr>
    <w:rPr>
      <w:b/>
      <w:sz w:val="24"/>
    </w:rPr>
  </w:style>
  <w:style w:type="paragraph" w:styleId="31">
    <w:name w:val="toc 4"/>
    <w:basedOn w:val="1"/>
    <w:next w:val="1"/>
    <w:qFormat/>
    <w:uiPriority w:val="39"/>
    <w:pPr>
      <w:tabs>
        <w:tab w:val="left" w:pos="1890"/>
        <w:tab w:val="right" w:leader="dot" w:pos="8296"/>
      </w:tabs>
      <w:adjustRightInd/>
      <w:spacing w:line="240" w:lineRule="auto"/>
      <w:ind w:left="630" w:leftChars="300"/>
      <w:textAlignment w:val="auto"/>
    </w:pPr>
    <w:rPr>
      <w:kern w:val="2"/>
      <w:sz w:val="21"/>
      <w:szCs w:val="22"/>
    </w:rPr>
  </w:style>
  <w:style w:type="paragraph" w:styleId="32">
    <w:name w:val="Subtitle"/>
    <w:basedOn w:val="1"/>
    <w:next w:val="1"/>
    <w:link w:val="93"/>
    <w:qFormat/>
    <w:uiPriority w:val="0"/>
    <w:pPr>
      <w:adjustRightInd/>
      <w:spacing w:before="240" w:after="60" w:line="312" w:lineRule="auto"/>
      <w:jc w:val="center"/>
      <w:textAlignment w:val="auto"/>
      <w:outlineLvl w:val="1"/>
    </w:pPr>
    <w:rPr>
      <w:rFonts w:ascii="Cambria" w:hAnsi="Cambria" w:eastAsiaTheme="minorEastAsia"/>
      <w:b/>
      <w:bCs/>
      <w:kern w:val="28"/>
      <w:sz w:val="32"/>
      <w:szCs w:val="32"/>
    </w:rPr>
  </w:style>
  <w:style w:type="paragraph" w:styleId="33">
    <w:name w:val="footnote text"/>
    <w:basedOn w:val="1"/>
    <w:link w:val="103"/>
    <w:unhideWhenUsed/>
    <w:qFormat/>
    <w:uiPriority w:val="0"/>
    <w:pPr>
      <w:snapToGrid w:val="0"/>
      <w:jc w:val="left"/>
    </w:pPr>
    <w:rPr>
      <w:sz w:val="18"/>
      <w:szCs w:val="18"/>
    </w:rPr>
  </w:style>
  <w:style w:type="paragraph" w:styleId="34">
    <w:name w:val="toc 6"/>
    <w:basedOn w:val="1"/>
    <w:next w:val="1"/>
    <w:qFormat/>
    <w:uiPriority w:val="39"/>
    <w:pPr>
      <w:adjustRightInd/>
      <w:spacing w:line="240" w:lineRule="auto"/>
      <w:ind w:left="2100" w:leftChars="1000"/>
      <w:textAlignment w:val="auto"/>
    </w:pPr>
    <w:rPr>
      <w:kern w:val="2"/>
      <w:sz w:val="21"/>
      <w:szCs w:val="22"/>
    </w:rPr>
  </w:style>
  <w:style w:type="paragraph" w:styleId="35">
    <w:name w:val="toc 2"/>
    <w:basedOn w:val="1"/>
    <w:next w:val="1"/>
    <w:qFormat/>
    <w:uiPriority w:val="39"/>
    <w:pPr>
      <w:spacing w:line="240" w:lineRule="auto"/>
      <w:ind w:left="200" w:leftChars="200"/>
    </w:pPr>
    <w:rPr>
      <w:b/>
      <w:sz w:val="21"/>
    </w:rPr>
  </w:style>
  <w:style w:type="paragraph" w:styleId="36">
    <w:name w:val="toc 9"/>
    <w:basedOn w:val="1"/>
    <w:next w:val="1"/>
    <w:qFormat/>
    <w:uiPriority w:val="39"/>
    <w:pPr>
      <w:adjustRightInd/>
      <w:spacing w:line="240" w:lineRule="auto"/>
      <w:ind w:left="3360" w:leftChars="1600"/>
      <w:textAlignment w:val="auto"/>
    </w:pPr>
    <w:rPr>
      <w:kern w:val="2"/>
      <w:sz w:val="21"/>
      <w:szCs w:val="22"/>
    </w:rPr>
  </w:style>
  <w:style w:type="paragraph" w:styleId="37">
    <w:name w:val="Normal (Web)"/>
    <w:basedOn w:val="1"/>
    <w:qFormat/>
    <w:uiPriority w:val="99"/>
    <w:pPr>
      <w:widowControl/>
      <w:adjustRightInd/>
      <w:spacing w:before="100" w:beforeAutospacing="1" w:after="100" w:afterAutospacing="1" w:line="320" w:lineRule="atLeast"/>
      <w:jc w:val="left"/>
      <w:textAlignment w:val="auto"/>
    </w:pPr>
    <w:rPr>
      <w:rFonts w:ascii="宋体" w:hAnsi="宋体"/>
      <w:sz w:val="18"/>
      <w:szCs w:val="18"/>
    </w:rPr>
  </w:style>
  <w:style w:type="paragraph" w:styleId="38">
    <w:name w:val="Title"/>
    <w:basedOn w:val="1"/>
    <w:next w:val="1"/>
    <w:link w:val="96"/>
    <w:qFormat/>
    <w:uiPriority w:val="0"/>
    <w:pPr>
      <w:adjustRightInd/>
      <w:spacing w:before="240" w:after="60" w:line="240" w:lineRule="auto"/>
      <w:jc w:val="center"/>
      <w:textAlignment w:val="auto"/>
      <w:outlineLvl w:val="0"/>
    </w:pPr>
    <w:rPr>
      <w:rFonts w:ascii="Cambria" w:hAnsi="Cambria" w:eastAsiaTheme="minorEastAsia"/>
      <w:b/>
      <w:bCs/>
      <w:kern w:val="2"/>
      <w:sz w:val="32"/>
      <w:szCs w:val="32"/>
    </w:rPr>
  </w:style>
  <w:style w:type="paragraph" w:styleId="39">
    <w:name w:val="annotation subject"/>
    <w:basedOn w:val="18"/>
    <w:next w:val="18"/>
    <w:link w:val="98"/>
    <w:qFormat/>
    <w:uiPriority w:val="0"/>
    <w:rPr>
      <w:rFonts w:ascii="宋体" w:hAnsi="Times New Roman"/>
      <w:b/>
      <w:bCs/>
      <w:sz w:val="28"/>
    </w:rPr>
  </w:style>
  <w:style w:type="paragraph" w:styleId="40">
    <w:name w:val="Body Text First Indent"/>
    <w:basedOn w:val="19"/>
    <w:link w:val="128"/>
    <w:semiHidden/>
    <w:unhideWhenUsed/>
    <w:qFormat/>
    <w:uiPriority w:val="99"/>
    <w:pPr>
      <w:ind w:firstLine="420" w:firstLineChars="100"/>
    </w:p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qFormat/>
    <w:uiPriority w:val="0"/>
    <w:rPr>
      <w:rFonts w:cs="Times New Roman"/>
      <w:sz w:val="21"/>
      <w:szCs w:val="21"/>
      <w:lang w:bidi="ar-SA"/>
    </w:rPr>
  </w:style>
  <w:style w:type="character" w:styleId="49">
    <w:name w:val="footnote reference"/>
    <w:basedOn w:val="43"/>
    <w:unhideWhenUsed/>
    <w:qFormat/>
    <w:uiPriority w:val="0"/>
    <w:rPr>
      <w:vertAlign w:val="superscript"/>
    </w:rPr>
  </w:style>
  <w:style w:type="paragraph" w:customStyle="1" w:styleId="50">
    <w:name w:val="1.正文"/>
    <w:qFormat/>
    <w:uiPriority w:val="99"/>
    <w:pPr>
      <w:widowControl w:val="0"/>
      <w:jc w:val="both"/>
    </w:pPr>
    <w:rPr>
      <w:rFonts w:ascii="仿宋_GB2312" w:hAnsi="Calibri" w:eastAsia="仿宋_GB2312" w:cs="仿宋_GB2312"/>
      <w:color w:val="000000"/>
      <w:sz w:val="34"/>
      <w:szCs w:val="22"/>
      <w:lang w:val="en-US" w:eastAsia="zh-CN" w:bidi="ar-SA"/>
    </w:rPr>
  </w:style>
  <w:style w:type="character" w:customStyle="1" w:styleId="51">
    <w:name w:val="标题 1 Char"/>
    <w:basedOn w:val="43"/>
    <w:link w:val="4"/>
    <w:qFormat/>
    <w:uiPriority w:val="0"/>
    <w:rPr>
      <w:rFonts w:ascii="Calibri" w:hAnsi="Calibri" w:eastAsia="宋体" w:cs="Times New Roman"/>
      <w:b/>
      <w:bCs/>
      <w:kern w:val="44"/>
      <w:sz w:val="44"/>
      <w:szCs w:val="44"/>
    </w:rPr>
  </w:style>
  <w:style w:type="character" w:customStyle="1" w:styleId="52">
    <w:name w:val="标题 2 Char"/>
    <w:basedOn w:val="43"/>
    <w:link w:val="5"/>
    <w:qFormat/>
    <w:uiPriority w:val="0"/>
    <w:rPr>
      <w:rFonts w:asciiTheme="majorHAnsi" w:hAnsiTheme="majorHAnsi" w:eastAsiaTheme="majorEastAsia" w:cstheme="majorBidi"/>
      <w:b/>
      <w:bCs/>
      <w:kern w:val="0"/>
      <w:sz w:val="32"/>
      <w:szCs w:val="32"/>
    </w:rPr>
  </w:style>
  <w:style w:type="character" w:customStyle="1" w:styleId="53">
    <w:name w:val="标题 3 Char"/>
    <w:basedOn w:val="43"/>
    <w:link w:val="6"/>
    <w:qFormat/>
    <w:uiPriority w:val="0"/>
    <w:rPr>
      <w:rFonts w:ascii="Calibri" w:hAnsi="Calibri" w:eastAsia="宋体" w:cs="Times New Roman"/>
      <w:b/>
      <w:bCs/>
      <w:kern w:val="0"/>
      <w:sz w:val="32"/>
      <w:szCs w:val="32"/>
    </w:rPr>
  </w:style>
  <w:style w:type="character" w:customStyle="1" w:styleId="54">
    <w:name w:val="标题 4 Char"/>
    <w:basedOn w:val="43"/>
    <w:link w:val="7"/>
    <w:qFormat/>
    <w:uiPriority w:val="0"/>
    <w:rPr>
      <w:rFonts w:asciiTheme="majorHAnsi" w:hAnsiTheme="majorHAnsi" w:eastAsiaTheme="majorEastAsia" w:cstheme="majorBidi"/>
      <w:b/>
      <w:bCs/>
      <w:kern w:val="0"/>
      <w:sz w:val="28"/>
      <w:szCs w:val="28"/>
    </w:rPr>
  </w:style>
  <w:style w:type="character" w:customStyle="1" w:styleId="55">
    <w:name w:val="标题 5 Char"/>
    <w:basedOn w:val="43"/>
    <w:link w:val="8"/>
    <w:qFormat/>
    <w:uiPriority w:val="11"/>
    <w:rPr>
      <w:rFonts w:ascii="Calibri" w:hAnsi="Calibri" w:eastAsia="宋体" w:cs="Times New Roman"/>
      <w:b/>
      <w:bCs/>
      <w:kern w:val="0"/>
      <w:sz w:val="28"/>
      <w:szCs w:val="28"/>
    </w:rPr>
  </w:style>
  <w:style w:type="character" w:customStyle="1" w:styleId="56">
    <w:name w:val="正文缩进 Char"/>
    <w:link w:val="15"/>
    <w:qFormat/>
    <w:uiPriority w:val="0"/>
  </w:style>
  <w:style w:type="paragraph" w:customStyle="1" w:styleId="5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8">
    <w:name w:val="标题 2 Char Char"/>
    <w:basedOn w:val="43"/>
    <w:qFormat/>
    <w:uiPriority w:val="0"/>
    <w:rPr>
      <w:rFonts w:hint="default" w:ascii="Arial" w:hAnsi="Arial"/>
      <w:b/>
      <w:bCs/>
    </w:rPr>
  </w:style>
  <w:style w:type="character" w:customStyle="1" w:styleId="59">
    <w:name w:val="页眉 Char"/>
    <w:basedOn w:val="43"/>
    <w:link w:val="29"/>
    <w:qFormat/>
    <w:uiPriority w:val="99"/>
    <w:rPr>
      <w:rFonts w:ascii="Calibri" w:hAnsi="Calibri" w:eastAsia="宋体" w:cs="Times New Roman"/>
      <w:kern w:val="0"/>
      <w:sz w:val="18"/>
      <w:szCs w:val="18"/>
    </w:rPr>
  </w:style>
  <w:style w:type="character" w:customStyle="1" w:styleId="60">
    <w:name w:val="页脚 Char"/>
    <w:basedOn w:val="43"/>
    <w:link w:val="28"/>
    <w:qFormat/>
    <w:uiPriority w:val="99"/>
    <w:rPr>
      <w:rFonts w:ascii="Calibri" w:hAnsi="Calibri" w:eastAsia="宋体" w:cs="Times New Roman"/>
      <w:kern w:val="0"/>
      <w:sz w:val="18"/>
      <w:szCs w:val="18"/>
    </w:rPr>
  </w:style>
  <w:style w:type="character" w:customStyle="1" w:styleId="61">
    <w:name w:val="正文文本 Char"/>
    <w:basedOn w:val="43"/>
    <w:link w:val="19"/>
    <w:qFormat/>
    <w:uiPriority w:val="0"/>
    <w:rPr>
      <w:rFonts w:ascii="Calibri" w:hAnsi="Calibri" w:eastAsia="宋体" w:cs="Times New Roman"/>
      <w:kern w:val="0"/>
      <w:sz w:val="20"/>
      <w:szCs w:val="20"/>
    </w:rPr>
  </w:style>
  <w:style w:type="paragraph" w:customStyle="1" w:styleId="62">
    <w:name w:val="列出段落3"/>
    <w:basedOn w:val="1"/>
    <w:qFormat/>
    <w:uiPriority w:val="99"/>
    <w:pPr>
      <w:ind w:firstLine="420" w:firstLineChars="200"/>
    </w:pPr>
  </w:style>
  <w:style w:type="character" w:customStyle="1" w:styleId="63">
    <w:name w:val="正文文本 Char1"/>
    <w:basedOn w:val="43"/>
    <w:link w:val="19"/>
    <w:qFormat/>
    <w:uiPriority w:val="99"/>
    <w:rPr>
      <w:rFonts w:ascii="Calibri" w:hAnsi="Calibri" w:eastAsia="宋体" w:cs="Times New Roman"/>
      <w:kern w:val="0"/>
      <w:sz w:val="20"/>
      <w:szCs w:val="20"/>
    </w:rPr>
  </w:style>
  <w:style w:type="character" w:customStyle="1" w:styleId="64">
    <w:name w:val="正文文本缩进 Char"/>
    <w:basedOn w:val="43"/>
    <w:link w:val="3"/>
    <w:semiHidden/>
    <w:qFormat/>
    <w:uiPriority w:val="99"/>
    <w:rPr>
      <w:rFonts w:ascii="Calibri" w:hAnsi="Calibri" w:eastAsia="宋体" w:cs="Times New Roman"/>
      <w:kern w:val="0"/>
      <w:sz w:val="20"/>
      <w:szCs w:val="20"/>
    </w:rPr>
  </w:style>
  <w:style w:type="paragraph" w:customStyle="1" w:styleId="65">
    <w:name w:val="CM91"/>
    <w:basedOn w:val="57"/>
    <w:next w:val="57"/>
    <w:qFormat/>
    <w:uiPriority w:val="0"/>
    <w:pPr>
      <w:spacing w:after="160"/>
    </w:pPr>
    <w:rPr>
      <w:rFonts w:ascii="宋体" w:hAnsi="Calibri" w:eastAsia="宋体" w:cs="Times New Roman"/>
      <w:color w:val="auto"/>
      <w:szCs w:val="20"/>
    </w:rPr>
  </w:style>
  <w:style w:type="paragraph" w:customStyle="1" w:styleId="66">
    <w:name w:val="CM99"/>
    <w:basedOn w:val="57"/>
    <w:next w:val="57"/>
    <w:qFormat/>
    <w:uiPriority w:val="0"/>
    <w:pPr>
      <w:spacing w:after="443"/>
    </w:pPr>
    <w:rPr>
      <w:rFonts w:ascii="宋体" w:hAnsi="Calibri" w:eastAsia="宋体" w:cs="Times New Roman"/>
      <w:color w:val="auto"/>
      <w:szCs w:val="20"/>
    </w:rPr>
  </w:style>
  <w:style w:type="character" w:customStyle="1" w:styleId="67">
    <w:name w:val="unnamed11"/>
    <w:qFormat/>
    <w:uiPriority w:val="0"/>
    <w:rPr>
      <w:sz w:val="21"/>
    </w:rPr>
  </w:style>
  <w:style w:type="paragraph" w:customStyle="1" w:styleId="68">
    <w:name w:val="列出段落1"/>
    <w:basedOn w:val="1"/>
    <w:qFormat/>
    <w:uiPriority w:val="0"/>
    <w:pPr>
      <w:autoSpaceDE w:val="0"/>
      <w:autoSpaceDN w:val="0"/>
      <w:adjustRightInd/>
      <w:spacing w:line="240" w:lineRule="auto"/>
      <w:ind w:left="240" w:firstLine="420"/>
      <w:jc w:val="left"/>
      <w:textAlignment w:val="auto"/>
    </w:pPr>
    <w:rPr>
      <w:rFonts w:ascii="宋体" w:hAnsi="Times New Roman" w:cs="宋体"/>
      <w:sz w:val="22"/>
      <w:szCs w:val="22"/>
      <w:lang w:val="zh-CN" w:bidi="zh-CN"/>
    </w:rPr>
  </w:style>
  <w:style w:type="paragraph" w:customStyle="1" w:styleId="69">
    <w:name w:val="_Style 3"/>
    <w:basedOn w:val="1"/>
    <w:qFormat/>
    <w:uiPriority w:val="99"/>
    <w:pPr>
      <w:adjustRightInd/>
      <w:spacing w:line="240" w:lineRule="auto"/>
      <w:ind w:firstLine="420" w:firstLineChars="200"/>
      <w:textAlignment w:val="auto"/>
    </w:pPr>
    <w:rPr>
      <w:kern w:val="2"/>
      <w:sz w:val="21"/>
      <w:szCs w:val="24"/>
    </w:rPr>
  </w:style>
  <w:style w:type="paragraph" w:styleId="70">
    <w:name w:val="List Paragraph"/>
    <w:basedOn w:val="1"/>
    <w:qFormat/>
    <w:uiPriority w:val="0"/>
    <w:pPr>
      <w:ind w:firstLine="420" w:firstLineChars="200"/>
    </w:pPr>
  </w:style>
  <w:style w:type="character" w:customStyle="1" w:styleId="71">
    <w:name w:val="正文文本缩进 2 Char"/>
    <w:basedOn w:val="43"/>
    <w:link w:val="26"/>
    <w:semiHidden/>
    <w:qFormat/>
    <w:uiPriority w:val="99"/>
    <w:rPr>
      <w:rFonts w:ascii="Calibri" w:hAnsi="Calibri" w:eastAsia="宋体" w:cs="Times New Roman"/>
      <w:kern w:val="0"/>
      <w:sz w:val="20"/>
      <w:szCs w:val="20"/>
    </w:rPr>
  </w:style>
  <w:style w:type="character" w:customStyle="1" w:styleId="72">
    <w:name w:val="标题 6 Char"/>
    <w:basedOn w:val="43"/>
    <w:link w:val="9"/>
    <w:qFormat/>
    <w:uiPriority w:val="0"/>
    <w:rPr>
      <w:rFonts w:ascii="Cambria" w:hAnsi="Cambria" w:eastAsia="宋体" w:cs="Times New Roman"/>
      <w:b/>
      <w:bCs/>
      <w:sz w:val="24"/>
      <w:szCs w:val="24"/>
    </w:rPr>
  </w:style>
  <w:style w:type="character" w:customStyle="1" w:styleId="73">
    <w:name w:val="标题 7 Char"/>
    <w:basedOn w:val="43"/>
    <w:link w:val="10"/>
    <w:qFormat/>
    <w:uiPriority w:val="0"/>
    <w:rPr>
      <w:rFonts w:ascii="Calibri" w:hAnsi="Calibri" w:eastAsia="宋体" w:cs="Times New Roman"/>
      <w:b/>
      <w:bCs/>
      <w:sz w:val="24"/>
      <w:szCs w:val="24"/>
    </w:rPr>
  </w:style>
  <w:style w:type="character" w:customStyle="1" w:styleId="74">
    <w:name w:val="标题 8 Char"/>
    <w:basedOn w:val="43"/>
    <w:link w:val="11"/>
    <w:qFormat/>
    <w:uiPriority w:val="0"/>
    <w:rPr>
      <w:rFonts w:ascii="Cambria" w:hAnsi="Cambria" w:eastAsia="宋体" w:cs="Times New Roman"/>
      <w:sz w:val="24"/>
      <w:szCs w:val="24"/>
    </w:rPr>
  </w:style>
  <w:style w:type="character" w:customStyle="1" w:styleId="75">
    <w:name w:val="标题 9 Char"/>
    <w:basedOn w:val="43"/>
    <w:link w:val="12"/>
    <w:qFormat/>
    <w:uiPriority w:val="0"/>
    <w:rPr>
      <w:rFonts w:ascii="Cambria" w:hAnsi="Cambria" w:eastAsia="宋体" w:cs="Times New Roman"/>
      <w:szCs w:val="21"/>
    </w:rPr>
  </w:style>
  <w:style w:type="character" w:customStyle="1" w:styleId="76">
    <w:name w:val="标题5 Char Char"/>
    <w:link w:val="77"/>
    <w:qFormat/>
    <w:uiPriority w:val="0"/>
    <w:rPr>
      <w:rFonts w:ascii="Arial" w:hAnsi="Arial"/>
      <w:b/>
      <w:bCs/>
      <w:sz w:val="24"/>
      <w:szCs w:val="32"/>
    </w:rPr>
  </w:style>
  <w:style w:type="paragraph" w:customStyle="1" w:styleId="77">
    <w:name w:val="标题5"/>
    <w:basedOn w:val="6"/>
    <w:link w:val="76"/>
    <w:qFormat/>
    <w:uiPriority w:val="0"/>
    <w:pPr>
      <w:adjustRightInd/>
      <w:spacing w:line="413" w:lineRule="auto"/>
      <w:textAlignment w:val="auto"/>
    </w:pPr>
    <w:rPr>
      <w:rFonts w:ascii="Arial" w:hAnsi="Arial" w:eastAsiaTheme="minorEastAsia" w:cstheme="minorBidi"/>
      <w:kern w:val="2"/>
      <w:sz w:val="24"/>
    </w:rPr>
  </w:style>
  <w:style w:type="character" w:customStyle="1" w:styleId="78">
    <w:name w:val="标题 Char"/>
    <w:link w:val="38"/>
    <w:qFormat/>
    <w:uiPriority w:val="0"/>
    <w:rPr>
      <w:rFonts w:ascii="Cambria" w:hAnsi="Cambria" w:cs="Times New Roman"/>
      <w:b/>
      <w:bCs/>
      <w:sz w:val="32"/>
      <w:szCs w:val="32"/>
    </w:rPr>
  </w:style>
  <w:style w:type="character" w:customStyle="1" w:styleId="79">
    <w:name w:val="标题4 Char Char"/>
    <w:link w:val="80"/>
    <w:qFormat/>
    <w:uiPriority w:val="0"/>
    <w:rPr>
      <w:rFonts w:ascii="Arial" w:hAnsi="Arial"/>
      <w:b/>
      <w:bCs/>
      <w:sz w:val="24"/>
      <w:szCs w:val="32"/>
    </w:rPr>
  </w:style>
  <w:style w:type="paragraph" w:customStyle="1" w:styleId="80">
    <w:name w:val="标题4"/>
    <w:basedOn w:val="5"/>
    <w:next w:val="20"/>
    <w:link w:val="79"/>
    <w:qFormat/>
    <w:uiPriority w:val="0"/>
    <w:pPr>
      <w:adjustRightInd/>
      <w:spacing w:line="413" w:lineRule="auto"/>
      <w:textAlignment w:val="auto"/>
    </w:pPr>
    <w:rPr>
      <w:rFonts w:ascii="Arial" w:hAnsi="Arial" w:eastAsiaTheme="minorEastAsia" w:cstheme="minorBidi"/>
      <w:kern w:val="2"/>
      <w:sz w:val="24"/>
    </w:rPr>
  </w:style>
  <w:style w:type="character" w:customStyle="1" w:styleId="81">
    <w:name w:val="日期 Char"/>
    <w:link w:val="25"/>
    <w:qFormat/>
    <w:uiPriority w:val="0"/>
    <w:rPr>
      <w:rFonts w:ascii="宋体" w:hAnsi="Times New Roman"/>
      <w:sz w:val="28"/>
    </w:rPr>
  </w:style>
  <w:style w:type="character" w:customStyle="1" w:styleId="82">
    <w:name w:val="明显引用 Char"/>
    <w:qFormat/>
    <w:uiPriority w:val="0"/>
    <w:rPr>
      <w:b/>
      <w:bCs/>
      <w:i/>
      <w:iCs/>
      <w:color w:val="4F81BD"/>
    </w:rPr>
  </w:style>
  <w:style w:type="paragraph" w:styleId="83">
    <w:name w:val="Intense Quote"/>
    <w:basedOn w:val="1"/>
    <w:next w:val="1"/>
    <w:link w:val="92"/>
    <w:qFormat/>
    <w:uiPriority w:val="0"/>
    <w:pPr>
      <w:pBdr>
        <w:bottom w:val="single" w:color="4F81BD" w:sz="4" w:space="4"/>
      </w:pBdr>
      <w:adjustRightInd/>
      <w:spacing w:before="200" w:after="280" w:line="240" w:lineRule="auto"/>
      <w:ind w:left="936" w:right="936"/>
      <w:textAlignment w:val="auto"/>
    </w:pPr>
    <w:rPr>
      <w:rFonts w:asciiTheme="minorHAnsi" w:hAnsiTheme="minorHAnsi" w:eastAsiaTheme="minorEastAsia" w:cstheme="minorBidi"/>
      <w:b/>
      <w:bCs/>
      <w:i/>
      <w:iCs/>
      <w:color w:val="4F81BD"/>
      <w:kern w:val="2"/>
      <w:sz w:val="21"/>
      <w:szCs w:val="22"/>
    </w:rPr>
  </w:style>
  <w:style w:type="character" w:customStyle="1" w:styleId="84">
    <w:name w:val="文档结构图 Char"/>
    <w:link w:val="17"/>
    <w:qFormat/>
    <w:uiPriority w:val="0"/>
    <w:rPr>
      <w:rFonts w:ascii="Times New Roman" w:hAnsi="Times New Roman"/>
      <w:szCs w:val="24"/>
      <w:shd w:val="clear" w:color="auto" w:fill="000080"/>
    </w:rPr>
  </w:style>
  <w:style w:type="character" w:customStyle="1" w:styleId="85">
    <w:name w:val="批注框文本 Char"/>
    <w:link w:val="27"/>
    <w:qFormat/>
    <w:uiPriority w:val="0"/>
    <w:rPr>
      <w:rFonts w:ascii="宋体" w:hAnsi="Times New Roman"/>
      <w:sz w:val="18"/>
      <w:szCs w:val="18"/>
    </w:rPr>
  </w:style>
  <w:style w:type="character" w:customStyle="1" w:styleId="86">
    <w:name w:val="副标题 Char"/>
    <w:link w:val="32"/>
    <w:qFormat/>
    <w:uiPriority w:val="0"/>
    <w:rPr>
      <w:rFonts w:ascii="Cambria" w:hAnsi="Cambria" w:cs="Times New Roman"/>
      <w:b/>
      <w:bCs/>
      <w:kern w:val="28"/>
      <w:sz w:val="32"/>
      <w:szCs w:val="32"/>
    </w:rPr>
  </w:style>
  <w:style w:type="character" w:customStyle="1" w:styleId="87">
    <w:name w:val="批注主题 Char"/>
    <w:link w:val="39"/>
    <w:qFormat/>
    <w:uiPriority w:val="0"/>
    <w:rPr>
      <w:rFonts w:ascii="宋体" w:hAnsi="Times New Roman"/>
      <w:b/>
      <w:bCs/>
      <w:sz w:val="28"/>
    </w:rPr>
  </w:style>
  <w:style w:type="character" w:customStyle="1" w:styleId="88">
    <w:name w:val="批注文字 Char"/>
    <w:link w:val="18"/>
    <w:qFormat/>
    <w:uiPriority w:val="0"/>
  </w:style>
  <w:style w:type="character" w:customStyle="1" w:styleId="89">
    <w:name w:val="引用 Char"/>
    <w:qFormat/>
    <w:uiPriority w:val="0"/>
    <w:rPr>
      <w:i/>
      <w:iCs/>
      <w:color w:val="000000"/>
    </w:rPr>
  </w:style>
  <w:style w:type="paragraph" w:styleId="90">
    <w:name w:val="Quote"/>
    <w:basedOn w:val="1"/>
    <w:next w:val="1"/>
    <w:link w:val="91"/>
    <w:qFormat/>
    <w:uiPriority w:val="0"/>
    <w:pPr>
      <w:adjustRightInd/>
      <w:spacing w:line="240" w:lineRule="auto"/>
      <w:textAlignment w:val="auto"/>
    </w:pPr>
    <w:rPr>
      <w:rFonts w:asciiTheme="minorHAnsi" w:hAnsiTheme="minorHAnsi" w:eastAsiaTheme="minorEastAsia" w:cstheme="minorBidi"/>
      <w:i/>
      <w:iCs/>
      <w:color w:val="000000"/>
      <w:kern w:val="2"/>
      <w:sz w:val="21"/>
      <w:szCs w:val="22"/>
    </w:rPr>
  </w:style>
  <w:style w:type="character" w:customStyle="1" w:styleId="91">
    <w:name w:val="引用 Char1"/>
    <w:basedOn w:val="43"/>
    <w:link w:val="90"/>
    <w:qFormat/>
    <w:uiPriority w:val="29"/>
    <w:rPr>
      <w:rFonts w:ascii="Calibri" w:hAnsi="Calibri" w:eastAsia="宋体" w:cs="Times New Roman"/>
      <w:i/>
      <w:iCs/>
      <w:color w:val="000000" w:themeColor="text1"/>
      <w:kern w:val="0"/>
      <w:sz w:val="20"/>
      <w:szCs w:val="20"/>
      <w14:textFill>
        <w14:solidFill>
          <w14:schemeClr w14:val="tx1"/>
        </w14:solidFill>
      </w14:textFill>
    </w:rPr>
  </w:style>
  <w:style w:type="character" w:customStyle="1" w:styleId="92">
    <w:name w:val="明显引用 Char1"/>
    <w:basedOn w:val="43"/>
    <w:link w:val="83"/>
    <w:qFormat/>
    <w:uiPriority w:val="30"/>
    <w:rPr>
      <w:rFonts w:ascii="Calibri" w:hAnsi="Calibri" w:eastAsia="宋体" w:cs="Times New Roman"/>
      <w:b/>
      <w:bCs/>
      <w:i/>
      <w:iCs/>
      <w:color w:val="4F81BD" w:themeColor="accent1"/>
      <w:kern w:val="0"/>
      <w:sz w:val="20"/>
      <w:szCs w:val="20"/>
      <w14:textFill>
        <w14:solidFill>
          <w14:schemeClr w14:val="accent1"/>
        </w14:solidFill>
      </w14:textFill>
    </w:rPr>
  </w:style>
  <w:style w:type="character" w:customStyle="1" w:styleId="93">
    <w:name w:val="副标题 Char1"/>
    <w:basedOn w:val="43"/>
    <w:link w:val="32"/>
    <w:qFormat/>
    <w:uiPriority w:val="0"/>
    <w:rPr>
      <w:rFonts w:eastAsia="宋体" w:asciiTheme="majorHAnsi" w:hAnsiTheme="majorHAnsi" w:cstheme="majorBidi"/>
      <w:b/>
      <w:bCs/>
      <w:kern w:val="28"/>
      <w:sz w:val="32"/>
      <w:szCs w:val="32"/>
    </w:rPr>
  </w:style>
  <w:style w:type="character" w:customStyle="1" w:styleId="94">
    <w:name w:val="文档结构图 Char2"/>
    <w:basedOn w:val="43"/>
    <w:link w:val="17"/>
    <w:semiHidden/>
    <w:qFormat/>
    <w:uiPriority w:val="99"/>
    <w:rPr>
      <w:rFonts w:ascii="宋体" w:hAnsi="Calibri" w:eastAsia="宋体" w:cs="Times New Roman"/>
      <w:kern w:val="0"/>
      <w:sz w:val="18"/>
      <w:szCs w:val="18"/>
    </w:rPr>
  </w:style>
  <w:style w:type="character" w:customStyle="1" w:styleId="95">
    <w:name w:val="日期 Char2"/>
    <w:basedOn w:val="43"/>
    <w:link w:val="25"/>
    <w:semiHidden/>
    <w:qFormat/>
    <w:uiPriority w:val="99"/>
    <w:rPr>
      <w:rFonts w:ascii="Calibri" w:hAnsi="Calibri" w:eastAsia="宋体" w:cs="Times New Roman"/>
      <w:kern w:val="0"/>
      <w:sz w:val="20"/>
      <w:szCs w:val="20"/>
    </w:rPr>
  </w:style>
  <w:style w:type="character" w:customStyle="1" w:styleId="96">
    <w:name w:val="标题 Char1"/>
    <w:basedOn w:val="43"/>
    <w:link w:val="38"/>
    <w:qFormat/>
    <w:uiPriority w:val="10"/>
    <w:rPr>
      <w:rFonts w:eastAsia="宋体" w:asciiTheme="majorHAnsi" w:hAnsiTheme="majorHAnsi" w:cstheme="majorBidi"/>
      <w:b/>
      <w:bCs/>
      <w:kern w:val="0"/>
      <w:sz w:val="32"/>
      <w:szCs w:val="32"/>
    </w:rPr>
  </w:style>
  <w:style w:type="character" w:customStyle="1" w:styleId="97">
    <w:name w:val="批注文字 Char1"/>
    <w:basedOn w:val="43"/>
    <w:link w:val="18"/>
    <w:semiHidden/>
    <w:qFormat/>
    <w:uiPriority w:val="99"/>
    <w:rPr>
      <w:rFonts w:ascii="Calibri" w:hAnsi="Calibri" w:eastAsia="宋体" w:cs="Times New Roman"/>
      <w:kern w:val="0"/>
      <w:sz w:val="20"/>
      <w:szCs w:val="20"/>
    </w:rPr>
  </w:style>
  <w:style w:type="character" w:customStyle="1" w:styleId="98">
    <w:name w:val="批注主题 Char2"/>
    <w:basedOn w:val="97"/>
    <w:link w:val="39"/>
    <w:semiHidden/>
    <w:qFormat/>
    <w:uiPriority w:val="99"/>
    <w:rPr>
      <w:b/>
      <w:bCs/>
    </w:rPr>
  </w:style>
  <w:style w:type="character" w:customStyle="1" w:styleId="99">
    <w:name w:val="批注框文本 Char2"/>
    <w:basedOn w:val="43"/>
    <w:link w:val="27"/>
    <w:semiHidden/>
    <w:qFormat/>
    <w:uiPriority w:val="99"/>
    <w:rPr>
      <w:rFonts w:ascii="Calibri" w:hAnsi="Calibri" w:eastAsia="宋体" w:cs="Times New Roman"/>
      <w:kern w:val="0"/>
      <w:sz w:val="18"/>
      <w:szCs w:val="18"/>
    </w:rPr>
  </w:style>
  <w:style w:type="character" w:customStyle="1" w:styleId="100">
    <w:name w:val="纯文本 Char"/>
    <w:basedOn w:val="43"/>
    <w:link w:val="23"/>
    <w:qFormat/>
    <w:uiPriority w:val="0"/>
    <w:rPr>
      <w:rFonts w:ascii="宋体" w:hAnsi="Courier New" w:eastAsia="宋体" w:cs="Courier New"/>
      <w:szCs w:val="21"/>
    </w:rPr>
  </w:style>
  <w:style w:type="paragraph" w:customStyle="1" w:styleId="101">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sz w:val="24"/>
    </w:rPr>
  </w:style>
  <w:style w:type="paragraph" w:customStyle="1" w:styleId="102">
    <w:name w:val="样式3"/>
    <w:basedOn w:val="23"/>
    <w:qFormat/>
    <w:uiPriority w:val="0"/>
    <w:pPr>
      <w:adjustRightInd w:val="0"/>
      <w:spacing w:line="0" w:lineRule="atLeast"/>
      <w:textAlignment w:val="baseline"/>
      <w:outlineLvl w:val="0"/>
    </w:pPr>
    <w:rPr>
      <w:rFonts w:hAnsi="Times New Roman" w:cs="Times New Roman"/>
      <w:sz w:val="28"/>
      <w:szCs w:val="20"/>
    </w:rPr>
  </w:style>
  <w:style w:type="character" w:customStyle="1" w:styleId="103">
    <w:name w:val="脚注文本 Char"/>
    <w:basedOn w:val="43"/>
    <w:link w:val="33"/>
    <w:qFormat/>
    <w:uiPriority w:val="0"/>
    <w:rPr>
      <w:rFonts w:ascii="Calibri" w:hAnsi="Calibri" w:eastAsia="宋体" w:cs="Times New Roman"/>
      <w:kern w:val="0"/>
      <w:sz w:val="18"/>
      <w:szCs w:val="18"/>
    </w:rPr>
  </w:style>
  <w:style w:type="character" w:customStyle="1" w:styleId="104">
    <w:name w:val="注释标题 Char"/>
    <w:basedOn w:val="43"/>
    <w:link w:val="14"/>
    <w:semiHidden/>
    <w:qFormat/>
    <w:uiPriority w:val="0"/>
    <w:rPr>
      <w:rFonts w:ascii="Times New Roman" w:hAnsi="Times New Roman" w:eastAsia="宋体" w:cs="Times New Roman"/>
      <w:szCs w:val="24"/>
    </w:rPr>
  </w:style>
  <w:style w:type="paragraph" w:customStyle="1" w:styleId="105">
    <w:name w:val="Table Paragraph"/>
    <w:basedOn w:val="1"/>
    <w:qFormat/>
    <w:uiPriority w:val="1"/>
    <w:pPr>
      <w:adjustRightInd/>
      <w:spacing w:line="240" w:lineRule="auto"/>
      <w:jc w:val="left"/>
      <w:textAlignment w:val="auto"/>
    </w:pPr>
    <w:rPr>
      <w:rFonts w:ascii="宋体" w:hAnsi="宋体" w:cs="宋体"/>
      <w:sz w:val="22"/>
      <w:szCs w:val="22"/>
      <w:lang w:eastAsia="en-US"/>
    </w:rPr>
  </w:style>
  <w:style w:type="character" w:customStyle="1" w:styleId="106">
    <w:name w:val="明显参考1"/>
    <w:qFormat/>
    <w:uiPriority w:val="0"/>
    <w:rPr>
      <w:b/>
      <w:bCs/>
      <w:smallCaps/>
      <w:color w:val="C0504D"/>
      <w:spacing w:val="5"/>
      <w:u w:val="single"/>
    </w:rPr>
  </w:style>
  <w:style w:type="character" w:customStyle="1" w:styleId="107">
    <w:name w:val="日期 Char1"/>
    <w:qFormat/>
    <w:uiPriority w:val="0"/>
    <w:rPr>
      <w:kern w:val="2"/>
      <w:sz w:val="21"/>
      <w:szCs w:val="22"/>
    </w:rPr>
  </w:style>
  <w:style w:type="character" w:customStyle="1" w:styleId="108">
    <w:name w:val="书籍标题1"/>
    <w:qFormat/>
    <w:uiPriority w:val="0"/>
    <w:rPr>
      <w:b/>
      <w:bCs/>
      <w:smallCaps/>
      <w:spacing w:val="5"/>
    </w:rPr>
  </w:style>
  <w:style w:type="character" w:customStyle="1" w:styleId="109">
    <w:name w:val="批注主题 Char1"/>
    <w:qFormat/>
    <w:uiPriority w:val="0"/>
    <w:rPr>
      <w:b/>
      <w:bCs/>
      <w:kern w:val="2"/>
      <w:sz w:val="21"/>
      <w:szCs w:val="22"/>
    </w:rPr>
  </w:style>
  <w:style w:type="character" w:customStyle="1" w:styleId="110">
    <w:name w:val="不明显强调1"/>
    <w:qFormat/>
    <w:uiPriority w:val="0"/>
    <w:rPr>
      <w:i/>
      <w:iCs/>
      <w:color w:val="808080"/>
    </w:rPr>
  </w:style>
  <w:style w:type="character" w:customStyle="1" w:styleId="111">
    <w:name w:val="批注文字 Char Char"/>
    <w:qFormat/>
    <w:uiPriority w:val="0"/>
    <w:rPr>
      <w:rFonts w:ascii="宋体" w:hAnsi="Times New Roman" w:eastAsia="宋体" w:cs="Times New Roman"/>
      <w:sz w:val="28"/>
      <w:szCs w:val="20"/>
    </w:rPr>
  </w:style>
  <w:style w:type="character" w:customStyle="1" w:styleId="112">
    <w:name w:val="批注框文本 Char1"/>
    <w:qFormat/>
    <w:uiPriority w:val="0"/>
    <w:rPr>
      <w:kern w:val="2"/>
      <w:sz w:val="18"/>
      <w:szCs w:val="18"/>
    </w:rPr>
  </w:style>
  <w:style w:type="character" w:customStyle="1" w:styleId="113">
    <w:name w:val="明显强调1"/>
    <w:qFormat/>
    <w:uiPriority w:val="0"/>
    <w:rPr>
      <w:b/>
      <w:bCs/>
      <w:i/>
      <w:iCs/>
      <w:color w:val="4F81BD"/>
    </w:rPr>
  </w:style>
  <w:style w:type="character" w:customStyle="1" w:styleId="114">
    <w:name w:val="textcontents"/>
    <w:qFormat/>
    <w:uiPriority w:val="0"/>
    <w:rPr>
      <w:rFonts w:cs="Times New Roman"/>
    </w:rPr>
  </w:style>
  <w:style w:type="character" w:customStyle="1" w:styleId="115">
    <w:name w:val="文档结构图 Char1"/>
    <w:qFormat/>
    <w:uiPriority w:val="0"/>
    <w:rPr>
      <w:rFonts w:ascii="宋体"/>
      <w:kern w:val="2"/>
      <w:sz w:val="18"/>
      <w:szCs w:val="18"/>
    </w:rPr>
  </w:style>
  <w:style w:type="character" w:customStyle="1" w:styleId="116">
    <w:name w:val="不明显参考1"/>
    <w:qFormat/>
    <w:uiPriority w:val="0"/>
    <w:rPr>
      <w:smallCaps/>
      <w:color w:val="C0504D"/>
      <w:u w:val="single"/>
    </w:rPr>
  </w:style>
  <w:style w:type="paragraph" w:customStyle="1" w:styleId="117">
    <w:name w:val="样式 标题 3 + (中文) 黑体 小四 非加粗 段前: 7.8 磅 段后: 0 磅 行距: 固定值 20 磅"/>
    <w:basedOn w:val="6"/>
    <w:qFormat/>
    <w:uiPriority w:val="0"/>
    <w:pPr>
      <w:adjustRightInd/>
      <w:spacing w:before="0" w:after="0" w:line="400" w:lineRule="exact"/>
      <w:textAlignment w:val="auto"/>
    </w:pPr>
    <w:rPr>
      <w:rFonts w:ascii="Times New Roman" w:hAnsi="Times New Roman" w:eastAsia="黑体" w:cs="宋体"/>
      <w:b w:val="0"/>
      <w:bCs w:val="0"/>
      <w:kern w:val="2"/>
      <w:sz w:val="24"/>
      <w:szCs w:val="20"/>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样式 标题 2 + Times New Roman 四号 非加粗 段前: 5 磅 段后: 0 磅 行距: 固定值 20..."/>
    <w:basedOn w:val="5"/>
    <w:qFormat/>
    <w:uiPriority w:val="0"/>
    <w:pPr>
      <w:adjustRightInd/>
      <w:spacing w:before="100" w:after="0" w:line="400" w:lineRule="exact"/>
      <w:textAlignment w:val="auto"/>
    </w:pPr>
    <w:rPr>
      <w:rFonts w:ascii="Times New Roman" w:hAnsi="Times New Roman" w:eastAsia="黑体" w:cs="宋体"/>
      <w:b w:val="0"/>
      <w:bCs w:val="0"/>
      <w:sz w:val="28"/>
      <w:szCs w:val="20"/>
    </w:rPr>
  </w:style>
  <w:style w:type="paragraph" w:customStyle="1" w:styleId="120">
    <w:name w:val="TOC 标题1"/>
    <w:basedOn w:val="4"/>
    <w:next w:val="1"/>
    <w:qFormat/>
    <w:uiPriority w:val="39"/>
    <w:pPr>
      <w:tabs>
        <w:tab w:val="clear" w:pos="1440"/>
      </w:tabs>
      <w:adjustRightInd/>
      <w:spacing w:line="576" w:lineRule="auto"/>
      <w:textAlignment w:val="auto"/>
      <w:outlineLvl w:val="9"/>
    </w:pPr>
  </w:style>
  <w:style w:type="paragraph" w:customStyle="1" w:styleId="121">
    <w:name w:val="空半行"/>
    <w:basedOn w:val="1"/>
    <w:qFormat/>
    <w:uiPriority w:val="0"/>
    <w:pPr>
      <w:spacing w:line="120" w:lineRule="exact"/>
    </w:pPr>
    <w:rPr>
      <w:rFonts w:ascii="Times New Roman" w:hAnsi="Times New Roman" w:eastAsia="仿宋_GB2312"/>
      <w:color w:val="FFFFFF"/>
      <w:sz w:val="30"/>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flNote"/>
    <w:basedOn w:val="1"/>
    <w:qFormat/>
    <w:uiPriority w:val="0"/>
    <w:pPr>
      <w:spacing w:before="320" w:after="160"/>
      <w:jc w:val="center"/>
    </w:pPr>
    <w:rPr>
      <w:rFonts w:ascii="Arial" w:hAnsi="Times New Roman" w:eastAsia="黑体"/>
      <w:sz w:val="30"/>
    </w:rPr>
  </w:style>
  <w:style w:type="paragraph" w:customStyle="1" w:styleId="124">
    <w:name w:val="CM44"/>
    <w:next w:val="25"/>
    <w:qFormat/>
    <w:uiPriority w:val="0"/>
    <w:pPr>
      <w:widowControl w:val="0"/>
      <w:autoSpaceDE w:val="0"/>
      <w:autoSpaceDN w:val="0"/>
      <w:adjustRightInd w:val="0"/>
      <w:spacing w:line="440" w:lineRule="atLeast"/>
    </w:pPr>
    <w:rPr>
      <w:rFonts w:ascii="宋体" w:hAnsi="Calibri" w:eastAsia="宋体" w:cs="Times New Roman"/>
      <w:sz w:val="24"/>
      <w:szCs w:val="24"/>
      <w:lang w:val="en-US" w:eastAsia="zh-CN" w:bidi="ar-SA"/>
    </w:rPr>
  </w:style>
  <w:style w:type="character" w:customStyle="1" w:styleId="125">
    <w:name w:val="正文首行缩进 2 Char"/>
    <w:basedOn w:val="64"/>
    <w:link w:val="2"/>
    <w:qFormat/>
    <w:uiPriority w:val="99"/>
  </w:style>
  <w:style w:type="character" w:customStyle="1" w:styleId="126">
    <w:name w:val="infodetail"/>
    <w:basedOn w:val="43"/>
    <w:qFormat/>
    <w:uiPriority w:val="0"/>
  </w:style>
  <w:style w:type="table" w:customStyle="1" w:styleId="127">
    <w:name w:val="Table Normal"/>
    <w:unhideWhenUsed/>
    <w:qFormat/>
    <w:uiPriority w:val="2"/>
    <w:tblPr>
      <w:tblLayout w:type="fixed"/>
      <w:tblCellMar>
        <w:top w:w="0" w:type="dxa"/>
        <w:left w:w="0" w:type="dxa"/>
        <w:bottom w:w="0" w:type="dxa"/>
        <w:right w:w="0" w:type="dxa"/>
      </w:tblCellMar>
    </w:tblPr>
  </w:style>
  <w:style w:type="character" w:customStyle="1" w:styleId="128">
    <w:name w:val="正文首行缩进 Char"/>
    <w:basedOn w:val="61"/>
    <w:link w:val="40"/>
    <w:semiHidden/>
    <w:qFormat/>
    <w:uiPriority w:val="99"/>
  </w:style>
  <w:style w:type="paragraph" w:customStyle="1" w:styleId="129">
    <w:name w:val="Revision"/>
    <w:hidden/>
    <w:unhideWhenUsed/>
    <w:qFormat/>
    <w:uiPriority w:val="99"/>
    <w:rPr>
      <w:rFonts w:ascii="Calibri" w:hAnsi="Calibri" w:eastAsia="宋体" w:cs="Times New Roman"/>
      <w:lang w:val="en-US" w:eastAsia="zh-CN" w:bidi="ar-SA"/>
    </w:rPr>
  </w:style>
  <w:style w:type="paragraph" w:customStyle="1" w:styleId="130">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153</Pages>
  <Words>64268</Words>
  <Characters>67841</Characters>
  <Lines>759</Lines>
  <Paragraphs>213</Paragraphs>
  <TotalTime>6</TotalTime>
  <ScaleCrop>false</ScaleCrop>
  <LinksUpToDate>false</LinksUpToDate>
  <CharactersWithSpaces>91558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2022-07-03T10:31:00Z</dcterms:created>
  <dc:creator>Administrator</dc:creator>
  <cp:lastModifiedBy>Administrator</cp:lastModifiedBy>
  <cp:lastPrinted>2020-10-07T08:06:00Z</cp:lastPrinted>
  <dcterms:modified xsi:type="dcterms:W3CDTF">2024-12-01T04:44:29Z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49B90246B1474E79AC2F4A3CBF0D63F5_13</vt:lpwstr>
  </property>
</Properties>
</file>