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92A08">
      <w:pPr>
        <w:spacing w:beforeLines="100" w:line="360" w:lineRule="auto"/>
        <w:jc w:val="center"/>
        <w:rPr>
          <w:rFonts w:ascii="宋体" w:hAnsi="宋体"/>
          <w:b/>
          <w:color w:val="000000" w:themeColor="text1"/>
          <w:sz w:val="56"/>
          <w:szCs w:val="56"/>
          <w:highlight w:val="none"/>
          <w14:textFill>
            <w14:solidFill>
              <w14:schemeClr w14:val="tx1"/>
            </w14:solidFill>
          </w14:textFill>
        </w:rPr>
      </w:pPr>
      <w:bookmarkStart w:id="0" w:name="_Toc142138202"/>
      <w:bookmarkStart w:id="1" w:name="_Toc300038913"/>
      <w:bookmarkStart w:id="2" w:name="_Toc516753463"/>
      <w:bookmarkStart w:id="3" w:name="_Toc27707"/>
      <w:bookmarkStart w:id="4" w:name="_Toc5392"/>
    </w:p>
    <w:p w14:paraId="70E7424F">
      <w:pPr>
        <w:autoSpaceDE w:val="0"/>
        <w:autoSpaceDN w:val="0"/>
        <w:adjustRightInd/>
        <w:spacing w:before="45" w:line="240" w:lineRule="auto"/>
        <w:jc w:val="center"/>
        <w:textAlignment w:val="auto"/>
        <w:outlineLvl w:val="3"/>
        <w:rPr>
          <w:rFonts w:ascii="黑体" w:hAnsi="黑体" w:eastAsia="黑体" w:cs="黑体"/>
          <w:color w:val="000000" w:themeColor="text1"/>
          <w:spacing w:val="70"/>
          <w:sz w:val="36"/>
          <w:szCs w:val="36"/>
          <w:highlight w:val="none"/>
          <w:lang w:val="zh-CN" w:bidi="zh-CN"/>
          <w14:textFill>
            <w14:solidFill>
              <w14:schemeClr w14:val="tx1"/>
            </w14:solidFill>
          </w14:textFill>
        </w:rPr>
      </w:pPr>
    </w:p>
    <w:p w14:paraId="4B0D11FE">
      <w:pPr>
        <w:autoSpaceDE w:val="0"/>
        <w:autoSpaceDN w:val="0"/>
        <w:adjustRightInd/>
        <w:spacing w:before="45" w:line="240" w:lineRule="auto"/>
        <w:jc w:val="center"/>
        <w:textAlignment w:val="auto"/>
        <w:outlineLvl w:val="3"/>
        <w:rPr>
          <w:rFonts w:ascii="黑体" w:hAnsi="黑体" w:eastAsia="黑体" w:cs="黑体"/>
          <w:color w:val="000000" w:themeColor="text1"/>
          <w:spacing w:val="70"/>
          <w:sz w:val="44"/>
          <w:szCs w:val="44"/>
          <w:highlight w:val="none"/>
          <w:lang w:val="zh-CN" w:bidi="zh-CN"/>
          <w14:textFill>
            <w14:solidFill>
              <w14:schemeClr w14:val="tx1"/>
            </w14:solidFill>
          </w14:textFill>
        </w:rPr>
      </w:pPr>
      <w:r>
        <w:rPr>
          <w:rFonts w:hint="eastAsia" w:ascii="黑体" w:hAnsi="黑体" w:eastAsia="黑体" w:cs="黑体"/>
          <w:color w:val="000000" w:themeColor="text1"/>
          <w:spacing w:val="70"/>
          <w:sz w:val="44"/>
          <w:szCs w:val="44"/>
          <w:highlight w:val="none"/>
          <w:lang w:val="zh-CN" w:bidi="zh-CN"/>
          <w14:textFill>
            <w14:solidFill>
              <w14:schemeClr w14:val="tx1"/>
            </w14:solidFill>
          </w14:textFill>
        </w:rPr>
        <w:t xml:space="preserve"> </w:t>
      </w:r>
    </w:p>
    <w:p w14:paraId="6CE49907">
      <w:pPr>
        <w:autoSpaceDE w:val="0"/>
        <w:autoSpaceDN w:val="0"/>
        <w:adjustRightInd/>
        <w:spacing w:before="45" w:line="240" w:lineRule="auto"/>
        <w:jc w:val="center"/>
        <w:textAlignment w:val="auto"/>
        <w:outlineLvl w:val="3"/>
        <w:rPr>
          <w:rFonts w:ascii="黑体" w:hAnsi="黑体" w:eastAsia="黑体" w:cs="黑体"/>
          <w:color w:val="000000" w:themeColor="text1"/>
          <w:sz w:val="44"/>
          <w:szCs w:val="44"/>
          <w:highlight w:val="none"/>
          <w:lang w:val="zh-CN" w:bidi="zh-CN"/>
          <w14:textFill>
            <w14:solidFill>
              <w14:schemeClr w14:val="tx1"/>
            </w14:solidFill>
          </w14:textFill>
        </w:rPr>
      </w:pPr>
      <w:r>
        <w:rPr>
          <w:rFonts w:hint="eastAsia" w:ascii="黑体" w:hAnsi="黑体" w:eastAsia="黑体" w:cs="黑体"/>
          <w:color w:val="000000" w:themeColor="text1"/>
          <w:spacing w:val="70"/>
          <w:sz w:val="44"/>
          <w:szCs w:val="44"/>
          <w:highlight w:val="none"/>
          <w:lang w:val="zh-CN" w:bidi="zh-CN"/>
          <w14:textFill>
            <w14:solidFill>
              <w14:schemeClr w14:val="tx1"/>
            </w14:solidFill>
          </w14:textFill>
        </w:rPr>
        <w:t>厦门市</w:t>
      </w:r>
    </w:p>
    <w:p w14:paraId="674431FB">
      <w:pPr>
        <w:autoSpaceDE w:val="0"/>
        <w:autoSpaceDN w:val="0"/>
        <w:adjustRightInd/>
        <w:spacing w:before="2" w:line="240" w:lineRule="auto"/>
        <w:jc w:val="left"/>
        <w:textAlignment w:val="auto"/>
        <w:rPr>
          <w:rFonts w:ascii="黑体" w:hAnsi="宋体" w:cs="宋体"/>
          <w:color w:val="000000" w:themeColor="text1"/>
          <w:sz w:val="32"/>
          <w:highlight w:val="none"/>
          <w:lang w:val="zh-CN" w:bidi="zh-CN"/>
          <w14:textFill>
            <w14:solidFill>
              <w14:schemeClr w14:val="tx1"/>
            </w14:solidFill>
          </w14:textFill>
        </w:rPr>
      </w:pPr>
    </w:p>
    <w:p w14:paraId="387C8BEB">
      <w:pPr>
        <w:autoSpaceDE w:val="0"/>
        <w:autoSpaceDN w:val="0"/>
        <w:adjustRightInd/>
        <w:spacing w:line="360" w:lineRule="auto"/>
        <w:jc w:val="center"/>
        <w:textAlignment w:val="auto"/>
        <w:rPr>
          <w:rFonts w:ascii="黑体" w:hAnsi="黑体" w:eastAsia="黑体" w:cs="宋体"/>
          <w:color w:val="000000" w:themeColor="text1"/>
          <w:sz w:val="52"/>
          <w:highlight w:val="none"/>
          <w:lang w:val="zh-CN" w:bidi="zh-CN"/>
          <w14:textFill>
            <w14:solidFill>
              <w14:schemeClr w14:val="tx1"/>
            </w14:solidFill>
          </w14:textFill>
        </w:rPr>
      </w:pPr>
      <w:r>
        <w:rPr>
          <w:rFonts w:hint="eastAsia" w:ascii="黑体" w:hAnsi="黑体" w:eastAsia="黑体" w:cs="宋体"/>
          <w:color w:val="000000" w:themeColor="text1"/>
          <w:sz w:val="52"/>
          <w:highlight w:val="none"/>
          <w:lang w:val="zh-CN" w:bidi="zh-CN"/>
          <w14:textFill>
            <w14:solidFill>
              <w14:schemeClr w14:val="tx1"/>
            </w14:solidFill>
          </w14:textFill>
        </w:rPr>
        <w:t xml:space="preserve"> 房屋建筑和市政基础设施工程</w:t>
      </w:r>
    </w:p>
    <w:p w14:paraId="1805E5C5">
      <w:pPr>
        <w:autoSpaceDE w:val="0"/>
        <w:autoSpaceDN w:val="0"/>
        <w:adjustRightInd/>
        <w:spacing w:line="242" w:lineRule="auto"/>
        <w:jc w:val="center"/>
        <w:textAlignment w:val="auto"/>
        <w:rPr>
          <w:rFonts w:ascii="黑体" w:hAnsi="宋体" w:eastAsia="黑体" w:cs="宋体"/>
          <w:b/>
          <w:color w:val="000000" w:themeColor="text1"/>
          <w:spacing w:val="77"/>
          <w:sz w:val="72"/>
          <w:szCs w:val="72"/>
          <w:highlight w:val="none"/>
          <w:lang w:val="zh-CN" w:bidi="zh-CN"/>
          <w14:textFill>
            <w14:solidFill>
              <w14:schemeClr w14:val="tx1"/>
            </w14:solidFill>
          </w14:textFill>
        </w:rPr>
      </w:pPr>
      <w:r>
        <w:rPr>
          <w:rFonts w:hint="eastAsia" w:ascii="黑体" w:hAnsi="宋体" w:eastAsia="黑体" w:cs="宋体"/>
          <w:b/>
          <w:color w:val="000000" w:themeColor="text1"/>
          <w:spacing w:val="77"/>
          <w:sz w:val="72"/>
          <w:szCs w:val="72"/>
          <w:highlight w:val="none"/>
          <w:lang w:val="zh-CN" w:bidi="zh-CN"/>
          <w14:textFill>
            <w14:solidFill>
              <w14:schemeClr w14:val="tx1"/>
            </w14:solidFill>
          </w14:textFill>
        </w:rPr>
        <w:t xml:space="preserve"> 标准设计招标文件</w:t>
      </w:r>
    </w:p>
    <w:p w14:paraId="1FB80195">
      <w:pPr>
        <w:spacing w:beforeLines="100" w:after="240" w:line="360" w:lineRule="auto"/>
        <w:jc w:val="center"/>
        <w:rPr>
          <w:rFonts w:ascii="黑体" w:hAnsi="黑体" w:eastAsia="黑体"/>
          <w:color w:val="000000" w:themeColor="text1"/>
          <w:sz w:val="36"/>
          <w:szCs w:val="36"/>
          <w:highlight w:val="none"/>
          <w14:textFill>
            <w14:solidFill>
              <w14:schemeClr w14:val="tx1"/>
            </w14:solidFill>
          </w14:textFill>
        </w:rPr>
      </w:pPr>
      <w:r>
        <w:rPr>
          <w:rFonts w:hint="eastAsia" w:ascii="黑体" w:hAnsi="黑体" w:eastAsia="黑体" w:cs="宋体"/>
          <w:color w:val="000000" w:themeColor="text1"/>
          <w:sz w:val="32"/>
          <w:highlight w:val="none"/>
          <w:lang w:val="zh-CN" w:bidi="zh-CN"/>
          <w14:textFill>
            <w14:solidFill>
              <w14:schemeClr w14:val="tx1"/>
            </w14:solidFill>
          </w14:textFill>
        </w:rPr>
        <w:t>（“评定分离”版）</w:t>
      </w:r>
    </w:p>
    <w:p w14:paraId="746163CD">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14:paraId="7A2C4621">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14:paraId="61AC7C2F">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14:paraId="4D0942D6">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14:paraId="03FB37AB">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14:paraId="563E9EA9">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14:paraId="040594E7">
      <w:pPr>
        <w:spacing w:beforeLines="100" w:after="240" w:line="360" w:lineRule="auto"/>
        <w:jc w:val="center"/>
        <w:rPr>
          <w:rFonts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14:textFill>
            <w14:solidFill>
              <w14:schemeClr w14:val="tx1"/>
            </w14:solidFill>
          </w14:textFill>
        </w:rPr>
        <w:t>202</w:t>
      </w:r>
      <w:r>
        <w:rPr>
          <w:rFonts w:hint="eastAsia" w:ascii="宋体" w:hAnsi="宋体"/>
          <w:b w:val="0"/>
          <w:bCs/>
          <w:color w:val="000000" w:themeColor="text1"/>
          <w:sz w:val="28"/>
          <w:szCs w:val="28"/>
          <w:highlight w:val="none"/>
          <w:lang w:val="en-US" w:eastAsia="zh-CN"/>
          <w14:textFill>
            <w14:solidFill>
              <w14:schemeClr w14:val="tx1"/>
            </w14:solidFill>
          </w14:textFill>
        </w:rPr>
        <w:t>4</w:t>
      </w:r>
      <w:r>
        <w:rPr>
          <w:rFonts w:hint="eastAsia" w:ascii="宋体" w:hAnsi="宋体"/>
          <w:b w:val="0"/>
          <w:bCs/>
          <w:color w:val="000000" w:themeColor="text1"/>
          <w:sz w:val="28"/>
          <w:szCs w:val="28"/>
          <w:highlight w:val="none"/>
          <w14:textFill>
            <w14:solidFill>
              <w14:schemeClr w14:val="tx1"/>
            </w14:solidFill>
          </w14:textFill>
        </w:rPr>
        <w:t>年</w:t>
      </w:r>
      <w:r>
        <w:rPr>
          <w:rFonts w:hint="eastAsia" w:ascii="宋体" w:hAnsi="宋体"/>
          <w:b w:val="0"/>
          <w:bCs/>
          <w:color w:val="000000" w:themeColor="text1"/>
          <w:sz w:val="28"/>
          <w:szCs w:val="28"/>
          <w:highlight w:val="none"/>
          <w:lang w:val="en-US" w:eastAsia="zh-CN"/>
          <w14:textFill>
            <w14:solidFill>
              <w14:schemeClr w14:val="tx1"/>
            </w14:solidFill>
          </w14:textFill>
        </w:rPr>
        <w:t>12</w:t>
      </w:r>
      <w:r>
        <w:rPr>
          <w:rFonts w:hint="eastAsia" w:ascii="宋体" w:hAnsi="宋体"/>
          <w:b w:val="0"/>
          <w:bCs/>
          <w:color w:val="000000" w:themeColor="text1"/>
          <w:sz w:val="28"/>
          <w:szCs w:val="28"/>
          <w:highlight w:val="none"/>
          <w14:textFill>
            <w14:solidFill>
              <w14:schemeClr w14:val="tx1"/>
            </w14:solidFill>
          </w14:textFill>
        </w:rPr>
        <w:t>月</w:t>
      </w:r>
    </w:p>
    <w:p w14:paraId="3EECBBCF">
      <w:pPr>
        <w:adjustRightInd/>
        <w:spacing w:beforeLines="100" w:afterLines="100" w:line="360" w:lineRule="auto"/>
        <w:ind w:left="2104" w:hanging="1820"/>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使用说明</w:t>
      </w:r>
    </w:p>
    <w:p w14:paraId="5E4D65C6">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厦门市房屋建筑和市政基础设施工程标准设计招标文件》（“评定分离”版）（以下简称《标准设计招标文件》）是在《中华人民共和国标准设计招标文件（2017版）》、《福建省建筑工程标准设计招标文件（2018年版）》、《福建省市政基础设施工程标准设计招标文件（</w:t>
      </w:r>
      <w:r>
        <w:rPr>
          <w:rFonts w:ascii="宋体" w:hAnsi="宋体" w:cs="宋体"/>
          <w:color w:val="000000" w:themeColor="text1"/>
          <w:sz w:val="21"/>
          <w:szCs w:val="21"/>
          <w:highlight w:val="none"/>
          <w14:textFill>
            <w14:solidFill>
              <w14:schemeClr w14:val="tx1"/>
            </w14:solidFill>
          </w14:textFill>
        </w:rPr>
        <w:t>2018</w:t>
      </w:r>
      <w:r>
        <w:rPr>
          <w:rFonts w:hint="eastAsia" w:ascii="宋体" w:hAnsi="宋体" w:cs="宋体"/>
          <w:color w:val="000000" w:themeColor="text1"/>
          <w:sz w:val="21"/>
          <w:szCs w:val="21"/>
          <w:highlight w:val="none"/>
          <w14:textFill>
            <w14:solidFill>
              <w14:schemeClr w14:val="tx1"/>
            </w14:solidFill>
          </w14:textFill>
        </w:rPr>
        <w:t>年版）》基础上，以《中华人民共和国招标投标法》、《电子招标投标办法》等法律和部门规章为依据，结合住房和城乡建设部《关于进一步加强房屋建筑和市政基础设施工程招标投标监管的指导意见》（建市规〔2019〕11号）</w:t>
      </w:r>
      <w:r>
        <w:rPr>
          <w:rFonts w:hint="eastAsia" w:ascii="宋体" w:hAnsi="宋体" w:cs="宋体"/>
          <w:strike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国务院办公厅《国务院办公厅关于创新完善体制机制推动招标投标市场规范健康发展的意见》（国办发〔2024〕21号）文件精神，根据《厦门市住房和建设局关于印发建设工程招投标评定分离办法的通知》（厦住建规〔2024〕6号）并结合厦门市实际情况编制</w:t>
      </w:r>
      <w:r>
        <w:rPr>
          <w:rFonts w:hint="eastAsia" w:ascii="宋体" w:hAnsi="宋体"/>
          <w:color w:val="000000" w:themeColor="text1"/>
          <w:sz w:val="21"/>
          <w:szCs w:val="21"/>
          <w:highlight w:val="none"/>
          <w14:textFill>
            <w14:solidFill>
              <w14:schemeClr w14:val="tx1"/>
            </w14:solidFill>
          </w14:textFill>
        </w:rPr>
        <w:t>。</w:t>
      </w:r>
    </w:p>
    <w:p w14:paraId="5FC78437">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标准设计招标文件</w:t>
      </w:r>
      <w:r>
        <w:rPr>
          <w:rFonts w:hint="eastAsia" w:ascii="宋体" w:hAnsi="宋体"/>
          <w:color w:val="000000" w:themeColor="text1"/>
          <w:sz w:val="21"/>
          <w:szCs w:val="21"/>
          <w:highlight w:val="none"/>
          <w14:textFill>
            <w14:solidFill>
              <w14:schemeClr w14:val="tx1"/>
            </w14:solidFill>
          </w14:textFill>
        </w:rPr>
        <w:t>》适用于厦门市行政区域内依法必须进行招标且采用“评定分离”</w:t>
      </w:r>
      <w:r>
        <w:rPr>
          <w:rFonts w:hint="eastAsia" w:cs="宋体"/>
          <w:color w:val="000000" w:themeColor="text1"/>
          <w:sz w:val="21"/>
          <w:szCs w:val="21"/>
          <w:highlight w:val="none"/>
          <w14:textFill>
            <w14:solidFill>
              <w14:schemeClr w14:val="tx1"/>
            </w14:solidFill>
          </w14:textFill>
        </w:rPr>
        <w:t>评标定标办法</w:t>
      </w:r>
      <w:r>
        <w:rPr>
          <w:rFonts w:hint="eastAsia" w:ascii="宋体" w:hAnsi="宋体"/>
          <w:color w:val="000000" w:themeColor="text1"/>
          <w:sz w:val="21"/>
          <w:szCs w:val="21"/>
          <w:highlight w:val="none"/>
          <w14:textFill>
            <w14:solidFill>
              <w14:schemeClr w14:val="tx1"/>
            </w14:solidFill>
          </w14:textFill>
        </w:rPr>
        <w:t>的房屋建筑</w:t>
      </w:r>
      <w:r>
        <w:rPr>
          <w:rFonts w:hint="eastAsia" w:ascii="宋体" w:hAnsi="宋体"/>
          <w:color w:val="000000" w:themeColor="text1"/>
          <w:sz w:val="21"/>
          <w:szCs w:val="21"/>
          <w:highlight w:val="none"/>
          <w:lang w:val="en-US" w:eastAsia="zh-CN"/>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和市政基础设施工程设计（勘察设计）招标项目。</w:t>
      </w:r>
    </w:p>
    <w:p w14:paraId="569738E1">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3.招标项目未划分标段的，是指本招标项目；划分标段的，是指本标段。</w:t>
      </w:r>
    </w:p>
    <w:p w14:paraId="26B47B95">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前附表是与相应章节正文的组成部分，两者内容不一致之处，以前附表为准</w:t>
      </w:r>
      <w:r>
        <w:rPr>
          <w:rFonts w:hint="eastAsia" w:ascii="宋体" w:hAnsi="宋体"/>
          <w:color w:val="000000" w:themeColor="text1"/>
          <w:sz w:val="21"/>
          <w:szCs w:val="21"/>
          <w:highlight w:val="none"/>
          <w14:textFill>
            <w14:solidFill>
              <w14:schemeClr w14:val="tx1"/>
            </w14:solidFill>
          </w14:textFill>
        </w:rPr>
        <w:t>。</w:t>
      </w:r>
    </w:p>
    <w:p w14:paraId="69474F91">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前附表附录是前附表的组成部分，两者内容不一致之处，以附录为准</w:t>
      </w:r>
      <w:r>
        <w:rPr>
          <w:rFonts w:hint="eastAsia" w:ascii="宋体" w:hAnsi="宋体"/>
          <w:color w:val="000000" w:themeColor="text1"/>
          <w:sz w:val="21"/>
          <w:szCs w:val="21"/>
          <w:highlight w:val="none"/>
          <w14:textFill>
            <w14:solidFill>
              <w14:schemeClr w14:val="tx1"/>
            </w14:solidFill>
          </w14:textFill>
        </w:rPr>
        <w:t>。</w:t>
      </w:r>
    </w:p>
    <w:p w14:paraId="4336C548">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标准设计招标文件</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以空格标示的部分，招标人应根据招标项目具体特点和实际需要进行填写，确实没有需要填写的，在空格中用“/”标示。以</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标识的</w:t>
      </w:r>
      <w:r>
        <w:rPr>
          <w:rFonts w:hint="eastAsia" w:ascii="宋体" w:hAnsi="宋体"/>
          <w:color w:val="000000" w:themeColor="text1"/>
          <w:sz w:val="21"/>
          <w:szCs w:val="21"/>
          <w:highlight w:val="none"/>
          <w14:textFill>
            <w14:solidFill>
              <w14:schemeClr w14:val="tx1"/>
            </w14:solidFill>
          </w14:textFill>
        </w:rPr>
        <w:t>选项由招标人根据实际情况选择，并确保与有关章节内容和要求一致。</w:t>
      </w:r>
    </w:p>
    <w:p w14:paraId="5A8491ED">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标准设计招标文件</w:t>
      </w:r>
      <w:r>
        <w:rPr>
          <w:rFonts w:hint="eastAsia" w:ascii="宋体" w:hAnsi="宋体"/>
          <w:color w:val="000000" w:themeColor="text1"/>
          <w:sz w:val="21"/>
          <w:szCs w:val="21"/>
          <w:highlight w:val="none"/>
          <w14:textFill>
            <w14:solidFill>
              <w14:schemeClr w14:val="tx1"/>
            </w14:solidFill>
          </w14:textFill>
        </w:rPr>
        <w:t>》第三章“评标办法”分别规定了</w:t>
      </w:r>
      <w:r>
        <w:rPr>
          <w:rFonts w:hint="eastAsia" w:ascii="宋体" w:hAnsi="宋体"/>
          <w:color w:val="000000" w:themeColor="text1"/>
          <w:sz w:val="21"/>
          <w:szCs w:val="21"/>
          <w:highlight w:val="none"/>
          <w:lang w:val="en-US" w:eastAsia="zh-CN"/>
          <w14:textFill>
            <w14:solidFill>
              <w14:schemeClr w14:val="tx1"/>
            </w14:solidFill>
          </w14:textFill>
        </w:rPr>
        <w:t>适用于</w:t>
      </w:r>
      <w:r>
        <w:rPr>
          <w:rFonts w:hint="eastAsia" w:ascii="宋体" w:hAnsi="宋体"/>
          <w:color w:val="000000" w:themeColor="text1"/>
          <w:sz w:val="21"/>
          <w:szCs w:val="21"/>
          <w:highlight w:val="none"/>
          <w14:textFill>
            <w14:solidFill>
              <w14:schemeClr w14:val="tx1"/>
            </w14:solidFill>
          </w14:textFill>
        </w:rPr>
        <w:t>记名投票法和综合评估法</w:t>
      </w:r>
      <w:r>
        <w:rPr>
          <w:rFonts w:hint="eastAsia" w:ascii="宋体" w:hAnsi="宋体"/>
          <w:color w:val="000000" w:themeColor="text1"/>
          <w:sz w:val="21"/>
          <w:szCs w:val="21"/>
          <w:highlight w:val="none"/>
          <w:lang w:val="en-US" w:eastAsia="zh-CN"/>
          <w14:textFill>
            <w14:solidFill>
              <w14:schemeClr w14:val="tx1"/>
            </w14:solidFill>
          </w14:textFill>
        </w:rPr>
        <w:t>二</w:t>
      </w:r>
      <w:r>
        <w:rPr>
          <w:rFonts w:hint="eastAsia" w:ascii="宋体" w:hAnsi="宋体"/>
          <w:color w:val="000000" w:themeColor="text1"/>
          <w:sz w:val="21"/>
          <w:szCs w:val="21"/>
          <w:highlight w:val="none"/>
          <w14:textFill>
            <w14:solidFill>
              <w14:schemeClr w14:val="tx1"/>
            </w14:solidFill>
          </w14:textFill>
        </w:rPr>
        <w:t>种评标办法，</w:t>
      </w:r>
      <w:r>
        <w:rPr>
          <w:rFonts w:ascii="宋体" w:hAnsi="宋体"/>
          <w:color w:val="000000" w:themeColor="text1"/>
          <w:sz w:val="21"/>
          <w:szCs w:val="21"/>
          <w:highlight w:val="none"/>
          <w14:textFill>
            <w14:solidFill>
              <w14:schemeClr w14:val="tx1"/>
            </w14:solidFill>
          </w14:textFill>
        </w:rPr>
        <w:t>招标人只能选择其中一</w:t>
      </w:r>
      <w:r>
        <w:rPr>
          <w:rFonts w:hint="eastAsia" w:ascii="宋体" w:hAnsi="宋体"/>
          <w:color w:val="000000" w:themeColor="text1"/>
          <w:sz w:val="21"/>
          <w:szCs w:val="21"/>
          <w:highlight w:val="none"/>
          <w14:textFill>
            <w14:solidFill>
              <w14:schemeClr w14:val="tx1"/>
            </w14:solidFill>
          </w14:textFill>
        </w:rPr>
        <w:t>种评标办法，</w:t>
      </w:r>
      <w:r>
        <w:rPr>
          <w:rFonts w:ascii="宋体" w:hAnsi="宋体"/>
          <w:color w:val="000000" w:themeColor="text1"/>
          <w:sz w:val="21"/>
          <w:szCs w:val="21"/>
          <w:highlight w:val="none"/>
          <w14:textFill>
            <w14:solidFill>
              <w14:schemeClr w14:val="tx1"/>
            </w14:solidFill>
          </w14:textFill>
        </w:rPr>
        <w:t>其余评标</w:t>
      </w:r>
      <w:r>
        <w:rPr>
          <w:rFonts w:hint="eastAsia" w:ascii="宋体" w:hAnsi="宋体"/>
          <w:color w:val="000000" w:themeColor="text1"/>
          <w:sz w:val="21"/>
          <w:szCs w:val="21"/>
          <w:highlight w:val="none"/>
          <w14:textFill>
            <w14:solidFill>
              <w14:schemeClr w14:val="tx1"/>
            </w14:solidFill>
          </w14:textFill>
        </w:rPr>
        <w:t>办</w:t>
      </w:r>
      <w:r>
        <w:rPr>
          <w:rFonts w:ascii="宋体" w:hAnsi="宋体"/>
          <w:color w:val="000000" w:themeColor="text1"/>
          <w:sz w:val="21"/>
          <w:szCs w:val="21"/>
          <w:highlight w:val="none"/>
          <w14:textFill>
            <w14:solidFill>
              <w14:schemeClr w14:val="tx1"/>
            </w14:solidFill>
          </w14:textFill>
        </w:rPr>
        <w:t>法在编制招标文件时应当</w:t>
      </w:r>
      <w:r>
        <w:rPr>
          <w:rFonts w:hint="eastAsia" w:ascii="宋体" w:hAnsi="宋体"/>
          <w:color w:val="000000" w:themeColor="text1"/>
          <w:sz w:val="21"/>
          <w:szCs w:val="21"/>
          <w:highlight w:val="none"/>
          <w14:textFill>
            <w14:solidFill>
              <w14:schemeClr w14:val="tx1"/>
            </w14:solidFill>
          </w14:textFill>
        </w:rPr>
        <w:t>予以</w:t>
      </w:r>
      <w:r>
        <w:rPr>
          <w:rFonts w:ascii="宋体" w:hAnsi="宋体"/>
          <w:color w:val="000000" w:themeColor="text1"/>
          <w:sz w:val="21"/>
          <w:szCs w:val="21"/>
          <w:highlight w:val="none"/>
          <w14:textFill>
            <w14:solidFill>
              <w14:schemeClr w14:val="tx1"/>
            </w14:solidFill>
          </w14:textFill>
        </w:rPr>
        <w:t>删除</w:t>
      </w:r>
      <w:r>
        <w:rPr>
          <w:rFonts w:hint="eastAsia" w:ascii="宋体" w:hAnsi="宋体"/>
          <w:color w:val="000000" w:themeColor="text1"/>
          <w:sz w:val="21"/>
          <w:szCs w:val="21"/>
          <w:highlight w:val="none"/>
          <w14:textFill>
            <w14:solidFill>
              <w14:schemeClr w14:val="tx1"/>
            </w14:solidFill>
          </w14:textFill>
        </w:rPr>
        <w:t>。</w:t>
      </w:r>
    </w:p>
    <w:p w14:paraId="358FD3CB">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标准设计招标文件</w:t>
      </w:r>
      <w:r>
        <w:rPr>
          <w:rFonts w:hint="eastAsia" w:ascii="宋体" w:hAnsi="宋体"/>
          <w:color w:val="000000" w:themeColor="text1"/>
          <w:sz w:val="21"/>
          <w:szCs w:val="21"/>
          <w:highlight w:val="none"/>
          <w14:textFill>
            <w14:solidFill>
              <w14:schemeClr w14:val="tx1"/>
            </w14:solidFill>
          </w14:textFill>
        </w:rPr>
        <w:t>》第五章“合同条款及格式”中</w:t>
      </w:r>
      <w:r>
        <w:rPr>
          <w:rFonts w:hint="eastAsia" w:ascii="宋体" w:hAnsi="宋体"/>
          <w:color w:val="000000" w:themeColor="text1"/>
          <w:sz w:val="21"/>
          <w:szCs w:val="21"/>
          <w:highlight w:val="none"/>
          <w:lang w:val="en-US" w:eastAsia="zh-CN"/>
          <w14:textFill>
            <w14:solidFill>
              <w14:schemeClr w14:val="tx1"/>
            </w14:solidFill>
          </w14:textFill>
        </w:rPr>
        <w:t>不得</w:t>
      </w:r>
      <w:r>
        <w:rPr>
          <w:rFonts w:hint="eastAsia" w:ascii="宋体" w:hAnsi="宋体"/>
          <w:color w:val="000000" w:themeColor="text1"/>
          <w:sz w:val="21"/>
          <w:szCs w:val="21"/>
          <w:highlight w:val="none"/>
          <w14:textFill>
            <w14:solidFill>
              <w14:schemeClr w14:val="tx1"/>
            </w14:solidFill>
          </w14:textFill>
        </w:rPr>
        <w:t>编制与否决投标有关的任何内容</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本</w:t>
      </w:r>
      <w:r>
        <w:rPr>
          <w:rFonts w:hint="eastAsia" w:ascii="宋体" w:hAnsi="宋体"/>
          <w:color w:val="000000" w:themeColor="text1"/>
          <w:sz w:val="21"/>
          <w:szCs w:val="21"/>
          <w:highlight w:val="none"/>
          <w14:textFill>
            <w14:solidFill>
              <w14:schemeClr w14:val="tx1"/>
            </w14:solidFill>
          </w14:textFill>
        </w:rPr>
        <w:t>章“专用合同条款”分别规定了适用</w:t>
      </w:r>
      <w:r>
        <w:rPr>
          <w:rFonts w:hint="eastAsia" w:ascii="宋体" w:hAnsi="宋体"/>
          <w:color w:val="000000" w:themeColor="text1"/>
          <w:sz w:val="21"/>
          <w:szCs w:val="21"/>
          <w:highlight w:val="none"/>
          <w:lang w:val="en-US" w:eastAsia="zh-CN"/>
          <w14:textFill>
            <w14:solidFill>
              <w14:schemeClr w14:val="tx1"/>
            </w14:solidFill>
          </w14:textFill>
        </w:rPr>
        <w:t>于</w:t>
      </w:r>
      <w:r>
        <w:rPr>
          <w:rFonts w:hint="eastAsia" w:ascii="宋体" w:hAnsi="宋体"/>
          <w:color w:val="000000" w:themeColor="text1"/>
          <w:sz w:val="21"/>
          <w:szCs w:val="21"/>
          <w:highlight w:val="none"/>
          <w14:textFill>
            <w14:solidFill>
              <w14:schemeClr w14:val="tx1"/>
            </w14:solidFill>
          </w14:textFill>
        </w:rPr>
        <w:t>房屋建筑</w:t>
      </w:r>
      <w:r>
        <w:rPr>
          <w:rFonts w:hint="eastAsia" w:ascii="宋体" w:hAnsi="宋体"/>
          <w:color w:val="000000" w:themeColor="text1"/>
          <w:sz w:val="21"/>
          <w:szCs w:val="21"/>
          <w:highlight w:val="none"/>
          <w:lang w:val="en-US" w:eastAsia="zh-CN"/>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和市政基础设施工程</w:t>
      </w:r>
      <w:r>
        <w:rPr>
          <w:rFonts w:hint="eastAsia" w:ascii="宋体" w:hAnsi="宋体"/>
          <w:color w:val="000000" w:themeColor="text1"/>
          <w:sz w:val="21"/>
          <w:szCs w:val="21"/>
          <w:highlight w:val="none"/>
          <w:lang w:val="en-US" w:eastAsia="zh-CN"/>
          <w14:textFill>
            <w14:solidFill>
              <w14:schemeClr w14:val="tx1"/>
            </w14:solidFill>
          </w14:textFill>
        </w:rPr>
        <w:t>二</w:t>
      </w:r>
      <w:r>
        <w:rPr>
          <w:rFonts w:hint="eastAsia" w:ascii="宋体" w:hAnsi="宋体"/>
          <w:color w:val="000000" w:themeColor="text1"/>
          <w:sz w:val="21"/>
          <w:szCs w:val="21"/>
          <w:highlight w:val="none"/>
          <w14:textFill>
            <w14:solidFill>
              <w14:schemeClr w14:val="tx1"/>
            </w14:solidFill>
          </w14:textFill>
        </w:rPr>
        <w:t>种</w:t>
      </w:r>
      <w:r>
        <w:rPr>
          <w:rFonts w:hint="eastAsia" w:ascii="宋体" w:hAnsi="宋体"/>
          <w:strike w:val="0"/>
          <w:color w:val="000000" w:themeColor="text1"/>
          <w:sz w:val="21"/>
          <w:szCs w:val="21"/>
          <w:highlight w:val="none"/>
          <w:lang w:val="en-US" w:eastAsia="zh-CN"/>
          <w14:textFill>
            <w14:solidFill>
              <w14:schemeClr w14:val="tx1"/>
            </w14:solidFill>
          </w14:textFill>
        </w:rPr>
        <w:t>工程类别的专用</w:t>
      </w:r>
      <w:r>
        <w:rPr>
          <w:rFonts w:hint="eastAsia" w:ascii="宋体" w:hAnsi="宋体"/>
          <w:color w:val="000000" w:themeColor="text1"/>
          <w:sz w:val="21"/>
          <w:szCs w:val="21"/>
          <w:highlight w:val="none"/>
          <w14:textFill>
            <w14:solidFill>
              <w14:schemeClr w14:val="tx1"/>
            </w14:solidFill>
          </w14:textFill>
        </w:rPr>
        <w:t>合同条款，</w:t>
      </w:r>
      <w:r>
        <w:rPr>
          <w:rFonts w:ascii="宋体" w:hAnsi="宋体"/>
          <w:color w:val="000000" w:themeColor="text1"/>
          <w:sz w:val="21"/>
          <w:szCs w:val="21"/>
          <w:highlight w:val="none"/>
          <w14:textFill>
            <w14:solidFill>
              <w14:schemeClr w14:val="tx1"/>
            </w14:solidFill>
          </w14:textFill>
        </w:rPr>
        <w:t>招标人</w:t>
      </w:r>
      <w:r>
        <w:rPr>
          <w:rFonts w:hint="eastAsia" w:ascii="宋体" w:hAnsi="宋体"/>
          <w:color w:val="000000" w:themeColor="text1"/>
          <w:sz w:val="21"/>
          <w:szCs w:val="21"/>
          <w:highlight w:val="none"/>
          <w14:textFill>
            <w14:solidFill>
              <w14:schemeClr w14:val="tx1"/>
            </w14:solidFill>
          </w14:textFill>
        </w:rPr>
        <w:t>应根据招标项目工程类型</w:t>
      </w:r>
      <w:r>
        <w:rPr>
          <w:rFonts w:ascii="宋体" w:hAnsi="宋体"/>
          <w:color w:val="000000" w:themeColor="text1"/>
          <w:sz w:val="21"/>
          <w:szCs w:val="21"/>
          <w:highlight w:val="none"/>
          <w14:textFill>
            <w14:solidFill>
              <w14:schemeClr w14:val="tx1"/>
            </w14:solidFill>
          </w14:textFill>
        </w:rPr>
        <w:t>选择其中一</w:t>
      </w:r>
      <w:r>
        <w:rPr>
          <w:rFonts w:hint="eastAsia" w:ascii="宋体" w:hAnsi="宋体"/>
          <w:color w:val="000000" w:themeColor="text1"/>
          <w:sz w:val="21"/>
          <w:szCs w:val="21"/>
          <w:highlight w:val="none"/>
          <w14:textFill>
            <w14:solidFill>
              <w14:schemeClr w14:val="tx1"/>
            </w14:solidFill>
          </w14:textFill>
        </w:rPr>
        <w:t>种</w:t>
      </w:r>
      <w:r>
        <w:rPr>
          <w:rFonts w:hint="eastAsia" w:ascii="宋体" w:hAnsi="宋体"/>
          <w:color w:val="000000" w:themeColor="text1"/>
          <w:sz w:val="21"/>
          <w:szCs w:val="21"/>
          <w:highlight w:val="none"/>
          <w:lang w:val="en-US" w:eastAsia="zh-CN"/>
          <w14:textFill>
            <w14:solidFill>
              <w14:schemeClr w14:val="tx1"/>
            </w14:solidFill>
          </w14:textFill>
        </w:rPr>
        <w:t>专用</w:t>
      </w:r>
      <w:r>
        <w:rPr>
          <w:rFonts w:hint="eastAsia" w:ascii="宋体" w:hAnsi="宋体"/>
          <w:color w:val="000000" w:themeColor="text1"/>
          <w:sz w:val="21"/>
          <w:szCs w:val="21"/>
          <w:highlight w:val="none"/>
          <w14:textFill>
            <w14:solidFill>
              <w14:schemeClr w14:val="tx1"/>
            </w14:solidFill>
          </w14:textFill>
        </w:rPr>
        <w:t>合同条款，</w:t>
      </w:r>
      <w:r>
        <w:rPr>
          <w:rFonts w:ascii="宋体" w:hAnsi="宋体"/>
          <w:color w:val="000000" w:themeColor="text1"/>
          <w:sz w:val="21"/>
          <w:szCs w:val="21"/>
          <w:highlight w:val="none"/>
          <w14:textFill>
            <w14:solidFill>
              <w14:schemeClr w14:val="tx1"/>
            </w14:solidFill>
          </w14:textFill>
        </w:rPr>
        <w:t>其余</w:t>
      </w:r>
      <w:r>
        <w:rPr>
          <w:rFonts w:hint="eastAsia" w:ascii="宋体" w:hAnsi="宋体"/>
          <w:color w:val="000000" w:themeColor="text1"/>
          <w:sz w:val="21"/>
          <w:szCs w:val="21"/>
          <w:highlight w:val="none"/>
          <w:lang w:val="en-US" w:eastAsia="zh-CN"/>
          <w14:textFill>
            <w14:solidFill>
              <w14:schemeClr w14:val="tx1"/>
            </w14:solidFill>
          </w14:textFill>
        </w:rPr>
        <w:t>专用</w:t>
      </w:r>
      <w:r>
        <w:rPr>
          <w:rFonts w:hint="eastAsia" w:ascii="宋体" w:hAnsi="宋体"/>
          <w:color w:val="000000" w:themeColor="text1"/>
          <w:sz w:val="21"/>
          <w:szCs w:val="21"/>
          <w:highlight w:val="none"/>
          <w14:textFill>
            <w14:solidFill>
              <w14:schemeClr w14:val="tx1"/>
            </w14:solidFill>
          </w14:textFill>
        </w:rPr>
        <w:t>合同条款</w:t>
      </w:r>
      <w:r>
        <w:rPr>
          <w:rFonts w:ascii="宋体" w:hAnsi="宋体"/>
          <w:color w:val="000000" w:themeColor="text1"/>
          <w:sz w:val="21"/>
          <w:szCs w:val="21"/>
          <w:highlight w:val="none"/>
          <w14:textFill>
            <w14:solidFill>
              <w14:schemeClr w14:val="tx1"/>
            </w14:solidFill>
          </w14:textFill>
        </w:rPr>
        <w:t>在编制招标文件时应当</w:t>
      </w:r>
      <w:r>
        <w:rPr>
          <w:rFonts w:hint="eastAsia" w:ascii="宋体" w:hAnsi="宋体"/>
          <w:color w:val="000000" w:themeColor="text1"/>
          <w:sz w:val="21"/>
          <w:szCs w:val="21"/>
          <w:highlight w:val="none"/>
          <w14:textFill>
            <w14:solidFill>
              <w14:schemeClr w14:val="tx1"/>
            </w14:solidFill>
          </w14:textFill>
        </w:rPr>
        <w:t>予以</w:t>
      </w:r>
      <w:r>
        <w:rPr>
          <w:rFonts w:ascii="宋体" w:hAnsi="宋体"/>
          <w:color w:val="000000" w:themeColor="text1"/>
          <w:sz w:val="21"/>
          <w:szCs w:val="21"/>
          <w:highlight w:val="none"/>
          <w14:textFill>
            <w14:solidFill>
              <w14:schemeClr w14:val="tx1"/>
            </w14:solidFill>
          </w14:textFill>
        </w:rPr>
        <w:t>删除</w:t>
      </w:r>
      <w:r>
        <w:rPr>
          <w:rFonts w:hint="eastAsia" w:ascii="宋体" w:hAnsi="宋体"/>
          <w:color w:val="000000" w:themeColor="text1"/>
          <w:sz w:val="21"/>
          <w:szCs w:val="21"/>
          <w:highlight w:val="none"/>
          <w14:textFill>
            <w14:solidFill>
              <w14:schemeClr w14:val="tx1"/>
            </w14:solidFill>
          </w14:textFill>
        </w:rPr>
        <w:t>。</w:t>
      </w:r>
    </w:p>
    <w:p w14:paraId="50CBFE10">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标准设计招标文件</w:t>
      </w:r>
      <w:r>
        <w:rPr>
          <w:rFonts w:hint="eastAsia" w:ascii="宋体" w:hAnsi="宋体"/>
          <w:color w:val="000000" w:themeColor="text1"/>
          <w:sz w:val="21"/>
          <w:szCs w:val="21"/>
          <w:highlight w:val="none"/>
          <w14:textFill>
            <w14:solidFill>
              <w14:schemeClr w14:val="tx1"/>
            </w14:solidFill>
          </w14:textFill>
        </w:rPr>
        <w:t>》第六章“发包人要求”分别规定了适用</w:t>
      </w:r>
      <w:r>
        <w:rPr>
          <w:rFonts w:hint="eastAsia" w:ascii="宋体" w:hAnsi="宋体"/>
          <w:color w:val="000000" w:themeColor="text1"/>
          <w:sz w:val="21"/>
          <w:szCs w:val="21"/>
          <w:highlight w:val="none"/>
          <w:lang w:val="en-US" w:eastAsia="zh-CN"/>
          <w14:textFill>
            <w14:solidFill>
              <w14:schemeClr w14:val="tx1"/>
            </w14:solidFill>
          </w14:textFill>
        </w:rPr>
        <w:t>于</w:t>
      </w:r>
      <w:r>
        <w:rPr>
          <w:rFonts w:hint="eastAsia" w:ascii="宋体" w:hAnsi="宋体"/>
          <w:color w:val="000000" w:themeColor="text1"/>
          <w:sz w:val="21"/>
          <w:szCs w:val="21"/>
          <w:highlight w:val="none"/>
          <w14:textFill>
            <w14:solidFill>
              <w14:schemeClr w14:val="tx1"/>
            </w14:solidFill>
          </w14:textFill>
        </w:rPr>
        <w:t>房屋建筑</w:t>
      </w:r>
      <w:r>
        <w:rPr>
          <w:rFonts w:hint="eastAsia" w:ascii="宋体" w:hAnsi="宋体"/>
          <w:color w:val="000000" w:themeColor="text1"/>
          <w:sz w:val="21"/>
          <w:szCs w:val="21"/>
          <w:highlight w:val="none"/>
          <w:lang w:val="en-US" w:eastAsia="zh-CN"/>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和市政基础设施工程</w:t>
      </w:r>
      <w:r>
        <w:rPr>
          <w:rFonts w:hint="eastAsia" w:ascii="宋体" w:hAnsi="宋体"/>
          <w:color w:val="000000" w:themeColor="text1"/>
          <w:sz w:val="21"/>
          <w:szCs w:val="21"/>
          <w:highlight w:val="none"/>
          <w:lang w:val="en-US" w:eastAsia="zh-CN"/>
          <w14:textFill>
            <w14:solidFill>
              <w14:schemeClr w14:val="tx1"/>
            </w14:solidFill>
          </w14:textFill>
        </w:rPr>
        <w:t>二</w:t>
      </w:r>
      <w:r>
        <w:rPr>
          <w:rFonts w:hint="eastAsia" w:ascii="宋体" w:hAnsi="宋体"/>
          <w:color w:val="000000" w:themeColor="text1"/>
          <w:sz w:val="21"/>
          <w:szCs w:val="21"/>
          <w:highlight w:val="none"/>
          <w14:textFill>
            <w14:solidFill>
              <w14:schemeClr w14:val="tx1"/>
            </w14:solidFill>
          </w14:textFill>
        </w:rPr>
        <w:t>种</w:t>
      </w:r>
      <w:r>
        <w:rPr>
          <w:rFonts w:hint="eastAsia" w:ascii="宋体" w:hAnsi="宋体"/>
          <w:strike w:val="0"/>
          <w:color w:val="000000" w:themeColor="text1"/>
          <w:sz w:val="21"/>
          <w:szCs w:val="21"/>
          <w:highlight w:val="none"/>
          <w:lang w:val="en-US" w:eastAsia="zh-CN"/>
          <w14:textFill>
            <w14:solidFill>
              <w14:schemeClr w14:val="tx1"/>
            </w14:solidFill>
          </w14:textFill>
        </w:rPr>
        <w:t>工程类别的</w:t>
      </w:r>
      <w:r>
        <w:rPr>
          <w:rFonts w:hint="eastAsia" w:ascii="宋体" w:hAnsi="宋体"/>
          <w:color w:val="000000" w:themeColor="text1"/>
          <w:sz w:val="21"/>
          <w:szCs w:val="21"/>
          <w:highlight w:val="none"/>
          <w14:textFill>
            <w14:solidFill>
              <w14:schemeClr w14:val="tx1"/>
            </w14:solidFill>
          </w14:textFill>
        </w:rPr>
        <w:t>发包人要求，</w:t>
      </w:r>
      <w:r>
        <w:rPr>
          <w:rFonts w:ascii="宋体" w:hAnsi="宋体"/>
          <w:color w:val="000000" w:themeColor="text1"/>
          <w:sz w:val="21"/>
          <w:szCs w:val="21"/>
          <w:highlight w:val="none"/>
          <w14:textFill>
            <w14:solidFill>
              <w14:schemeClr w14:val="tx1"/>
            </w14:solidFill>
          </w14:textFill>
        </w:rPr>
        <w:t>招标人</w:t>
      </w:r>
      <w:r>
        <w:rPr>
          <w:rFonts w:hint="eastAsia" w:ascii="宋体" w:hAnsi="宋体"/>
          <w:color w:val="000000" w:themeColor="text1"/>
          <w:sz w:val="21"/>
          <w:szCs w:val="21"/>
          <w:highlight w:val="none"/>
          <w14:textFill>
            <w14:solidFill>
              <w14:schemeClr w14:val="tx1"/>
            </w14:solidFill>
          </w14:textFill>
        </w:rPr>
        <w:t>应根据招标项目</w:t>
      </w:r>
      <w:r>
        <w:rPr>
          <w:rFonts w:ascii="宋体" w:hAnsi="宋体"/>
          <w:color w:val="000000" w:themeColor="text1"/>
          <w:sz w:val="21"/>
          <w:szCs w:val="21"/>
          <w:highlight w:val="none"/>
          <w14:textFill>
            <w14:solidFill>
              <w14:schemeClr w14:val="tx1"/>
            </w14:solidFill>
          </w14:textFill>
        </w:rPr>
        <w:t>选择其中一</w:t>
      </w:r>
      <w:r>
        <w:rPr>
          <w:rFonts w:hint="eastAsia" w:ascii="宋体" w:hAnsi="宋体"/>
          <w:color w:val="000000" w:themeColor="text1"/>
          <w:sz w:val="21"/>
          <w:szCs w:val="21"/>
          <w:highlight w:val="none"/>
          <w14:textFill>
            <w14:solidFill>
              <w14:schemeClr w14:val="tx1"/>
            </w14:solidFill>
          </w14:textFill>
        </w:rPr>
        <w:t>种发包人要求，</w:t>
      </w:r>
      <w:r>
        <w:rPr>
          <w:rFonts w:ascii="宋体" w:hAnsi="宋体"/>
          <w:color w:val="000000" w:themeColor="text1"/>
          <w:sz w:val="21"/>
          <w:szCs w:val="21"/>
          <w:highlight w:val="none"/>
          <w14:textFill>
            <w14:solidFill>
              <w14:schemeClr w14:val="tx1"/>
            </w14:solidFill>
          </w14:textFill>
        </w:rPr>
        <w:t>其余</w:t>
      </w:r>
      <w:r>
        <w:rPr>
          <w:rFonts w:hint="eastAsia" w:ascii="宋体" w:hAnsi="宋体"/>
          <w:color w:val="000000" w:themeColor="text1"/>
          <w:sz w:val="21"/>
          <w:szCs w:val="21"/>
          <w:highlight w:val="none"/>
          <w14:textFill>
            <w14:solidFill>
              <w14:schemeClr w14:val="tx1"/>
            </w14:solidFill>
          </w14:textFill>
        </w:rPr>
        <w:t>发包人要求</w:t>
      </w:r>
      <w:r>
        <w:rPr>
          <w:rFonts w:ascii="宋体" w:hAnsi="宋体"/>
          <w:color w:val="000000" w:themeColor="text1"/>
          <w:sz w:val="21"/>
          <w:szCs w:val="21"/>
          <w:highlight w:val="none"/>
          <w14:textFill>
            <w14:solidFill>
              <w14:schemeClr w14:val="tx1"/>
            </w14:solidFill>
          </w14:textFill>
        </w:rPr>
        <w:t>在编制招标文件时应当</w:t>
      </w:r>
      <w:r>
        <w:rPr>
          <w:rFonts w:hint="eastAsia" w:ascii="宋体" w:hAnsi="宋体"/>
          <w:color w:val="000000" w:themeColor="text1"/>
          <w:sz w:val="21"/>
          <w:szCs w:val="21"/>
          <w:highlight w:val="none"/>
          <w14:textFill>
            <w14:solidFill>
              <w14:schemeClr w14:val="tx1"/>
            </w14:solidFill>
          </w14:textFill>
        </w:rPr>
        <w:t>予以</w:t>
      </w:r>
      <w:r>
        <w:rPr>
          <w:rFonts w:ascii="宋体" w:hAnsi="宋体"/>
          <w:color w:val="000000" w:themeColor="text1"/>
          <w:sz w:val="21"/>
          <w:szCs w:val="21"/>
          <w:highlight w:val="none"/>
          <w14:textFill>
            <w14:solidFill>
              <w14:schemeClr w14:val="tx1"/>
            </w14:solidFill>
          </w14:textFill>
        </w:rPr>
        <w:t>删除</w:t>
      </w:r>
      <w:r>
        <w:rPr>
          <w:rFonts w:hint="eastAsia" w:ascii="宋体" w:hAnsi="宋体"/>
          <w:color w:val="000000" w:themeColor="text1"/>
          <w:sz w:val="21"/>
          <w:szCs w:val="21"/>
          <w:highlight w:val="none"/>
          <w14:textFill>
            <w14:solidFill>
              <w14:schemeClr w14:val="tx1"/>
            </w14:solidFill>
          </w14:textFill>
        </w:rPr>
        <w:t>。</w:t>
      </w:r>
    </w:p>
    <w:p w14:paraId="6FF809C8">
      <w:pPr>
        <w:keepNext w:val="0"/>
        <w:keepLines w:val="0"/>
        <w:pageBreakBefore w:val="0"/>
        <w:widowControl w:val="0"/>
        <w:kinsoku/>
        <w:wordWrap/>
        <w:overflowPunct/>
        <w:topLinePunct w:val="0"/>
        <w:autoSpaceDE/>
        <w:autoSpaceDN/>
        <w:bidi w:val="0"/>
        <w:adjustRightInd/>
        <w:snapToGrid/>
        <w:spacing w:line="320" w:lineRule="exact"/>
        <w:ind w:firstLine="424" w:firstLineChars="202"/>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10</w:t>
      </w:r>
      <w:r>
        <w:rPr>
          <w:rFonts w:hint="eastAsia" w:ascii="宋体" w:hAnsi="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标准设计招标文件</w:t>
      </w:r>
      <w:r>
        <w:rPr>
          <w:rFonts w:hint="eastAsia" w:ascii="宋体" w:hAnsi="宋体"/>
          <w:color w:val="000000" w:themeColor="text1"/>
          <w:sz w:val="21"/>
          <w:szCs w:val="21"/>
          <w:highlight w:val="none"/>
          <w14:textFill>
            <w14:solidFill>
              <w14:schemeClr w14:val="tx1"/>
            </w14:solidFill>
          </w14:textFill>
        </w:rPr>
        <w:t>》第七章“投标文件格式”中的脚注内容和要求，属于该章节的规定，投标人在编制投标文件时应当严格遵守。其余章节的脚注内容属于注释，招标人编制招标文件时应当遵守。</w:t>
      </w:r>
    </w:p>
    <w:p w14:paraId="38A15A44">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.在招标项目的招投标过程中，招标人委托招标代理机构招标的，则招标代理机构应在招标全过程中以被代理人名义办理招标人委托范围内的事宜，并承担相应责任</w:t>
      </w:r>
      <w:r>
        <w:rPr>
          <w:rFonts w:hint="eastAsia" w:ascii="宋体" w:hAnsi="宋体" w:cs="宋体"/>
          <w:color w:val="000000" w:themeColor="text1"/>
          <w:sz w:val="21"/>
          <w:szCs w:val="21"/>
          <w:highlight w:val="none"/>
          <w14:textFill>
            <w14:solidFill>
              <w14:schemeClr w14:val="tx1"/>
            </w14:solidFill>
          </w14:textFill>
        </w:rPr>
        <w:t>。</w:t>
      </w:r>
    </w:p>
    <w:p w14:paraId="49F4C0C3">
      <w:pPr>
        <w:keepNext w:val="0"/>
        <w:keepLines w:val="0"/>
        <w:pageBreakBefore w:val="0"/>
        <w:widowControl w:val="0"/>
        <w:kinsoku/>
        <w:wordWrap/>
        <w:overflowPunct/>
        <w:topLinePunct w:val="0"/>
        <w:autoSpaceDE/>
        <w:autoSpaceDN/>
        <w:bidi w:val="0"/>
        <w:snapToGrid/>
        <w:spacing w:line="320" w:lineRule="exact"/>
        <w:ind w:firstLine="424" w:firstLineChars="202"/>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.本使用说明是招标文件的组成部分。</w:t>
      </w:r>
    </w:p>
    <w:p w14:paraId="2E38FBD0">
      <w:pPr>
        <w:keepNext w:val="0"/>
        <w:keepLines w:val="0"/>
        <w:pageBreakBefore w:val="0"/>
        <w:widowControl w:val="0"/>
        <w:kinsoku/>
        <w:wordWrap/>
        <w:overflowPunct/>
        <w:topLinePunct w:val="0"/>
        <w:autoSpaceDE/>
        <w:autoSpaceDN/>
        <w:bidi w:val="0"/>
        <w:adjustRightInd/>
        <w:snapToGrid/>
        <w:spacing w:line="320" w:lineRule="exact"/>
        <w:ind w:firstLine="424" w:firstLineChars="202"/>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各使用单位或个人对《标准设计招标文件》有任</w:t>
      </w:r>
      <w:r>
        <w:rPr>
          <w:rFonts w:hint="eastAsia" w:ascii="宋体" w:hAnsi="宋体"/>
          <w:color w:val="000000" w:themeColor="text1"/>
          <w:sz w:val="21"/>
          <w:szCs w:val="21"/>
          <w:highlight w:val="none"/>
          <w14:textFill>
            <w14:solidFill>
              <w14:schemeClr w14:val="tx1"/>
            </w14:solidFill>
          </w14:textFill>
        </w:rPr>
        <w:t>何意见和建议，请及时反馈厦门市建设工程招投标中心，以便进一步修改和完善。</w:t>
      </w:r>
      <w:r>
        <w:rPr>
          <w:rFonts w:hint="eastAsia" w:cs="宋体"/>
          <w:color w:val="000000" w:themeColor="text1"/>
          <w:sz w:val="21"/>
          <w:szCs w:val="21"/>
          <w:highlight w:val="none"/>
          <w14:textFill>
            <w14:solidFill>
              <w14:schemeClr w14:val="tx1"/>
            </w14:solidFill>
          </w14:textFill>
        </w:rPr>
        <w:t>《标准设计招标文件》</w:t>
      </w:r>
      <w:r>
        <w:rPr>
          <w:rFonts w:hint="eastAsia" w:ascii="宋体" w:hAnsi="宋体"/>
          <w:color w:val="000000" w:themeColor="text1"/>
          <w:sz w:val="21"/>
          <w:szCs w:val="21"/>
          <w:highlight w:val="none"/>
          <w14:textFill>
            <w14:solidFill>
              <w14:schemeClr w14:val="tx1"/>
            </w14:solidFill>
          </w14:textFill>
        </w:rPr>
        <w:t>编制的单位和主要人员名单如下：</w:t>
      </w:r>
    </w:p>
    <w:p w14:paraId="597E63B0">
      <w:pPr>
        <w:keepNext w:val="0"/>
        <w:keepLines w:val="0"/>
        <w:pageBreakBefore w:val="0"/>
        <w:widowControl w:val="0"/>
        <w:kinsoku/>
        <w:wordWrap/>
        <w:overflowPunct/>
        <w:topLinePunct w:val="0"/>
        <w:autoSpaceDE/>
        <w:autoSpaceDN/>
        <w:bidi w:val="0"/>
        <w:adjustRightInd/>
        <w:snapToGrid/>
        <w:spacing w:line="320" w:lineRule="exact"/>
        <w:ind w:firstLine="424" w:firstLineChars="202"/>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（1）厦门市建设工程招投标中心  白晓东、沈毅敏、郑俊慧、</w:t>
      </w:r>
      <w:r>
        <w:rPr>
          <w:rFonts w:hint="eastAsia" w:ascii="宋体" w:hAnsi="宋体"/>
          <w:color w:val="000000" w:themeColor="text1"/>
          <w:sz w:val="21"/>
          <w:szCs w:val="21"/>
          <w:highlight w:val="none"/>
          <w:lang w:val="en-US" w:eastAsia="zh-CN"/>
          <w14:textFill>
            <w14:solidFill>
              <w14:schemeClr w14:val="tx1"/>
            </w14:solidFill>
          </w14:textFill>
        </w:rPr>
        <w:t>林盛、</w:t>
      </w:r>
      <w:r>
        <w:rPr>
          <w:rFonts w:hint="eastAsia" w:ascii="宋体" w:hAnsi="宋体"/>
          <w:color w:val="000000" w:themeColor="text1"/>
          <w:sz w:val="21"/>
          <w:szCs w:val="21"/>
          <w:highlight w:val="none"/>
          <w14:textFill>
            <w14:solidFill>
              <w14:schemeClr w14:val="tx1"/>
            </w14:solidFill>
          </w14:textFill>
        </w:rPr>
        <w:t>林敬、李艳辉</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吴淑君</w:t>
      </w:r>
      <w:r>
        <w:rPr>
          <w:rFonts w:hint="eastAsia" w:ascii="宋体" w:hAnsi="宋体"/>
          <w:color w:val="000000" w:themeColor="text1"/>
          <w:sz w:val="21"/>
          <w:szCs w:val="21"/>
          <w:highlight w:val="none"/>
          <w14:textFill>
            <w14:solidFill>
              <w14:schemeClr w14:val="tx1"/>
            </w14:solidFill>
          </w14:textFill>
        </w:rPr>
        <w:t>；</w:t>
      </w:r>
    </w:p>
    <w:p w14:paraId="1C7EC7F9">
      <w:pPr>
        <w:keepNext w:val="0"/>
        <w:keepLines w:val="0"/>
        <w:pageBreakBefore w:val="0"/>
        <w:widowControl w:val="0"/>
        <w:kinsoku/>
        <w:wordWrap/>
        <w:overflowPunct/>
        <w:topLinePunct w:val="0"/>
        <w:autoSpaceDE/>
        <w:autoSpaceDN/>
        <w:bidi w:val="0"/>
        <w:adjustRightInd/>
        <w:snapToGrid/>
        <w:spacing w:line="320" w:lineRule="exact"/>
        <w:ind w:firstLine="424" w:firstLineChars="202"/>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（2）福建省闽建工程造价咨询有限公司  郑宇；</w:t>
      </w:r>
    </w:p>
    <w:p w14:paraId="51FCBA27">
      <w:pPr>
        <w:keepNext w:val="0"/>
        <w:keepLines w:val="0"/>
        <w:pageBreakBefore w:val="0"/>
        <w:widowControl w:val="0"/>
        <w:kinsoku/>
        <w:wordWrap/>
        <w:overflowPunct/>
        <w:topLinePunct w:val="0"/>
        <w:autoSpaceDE/>
        <w:autoSpaceDN/>
        <w:bidi w:val="0"/>
        <w:adjustRightInd/>
        <w:snapToGrid/>
        <w:spacing w:line="320" w:lineRule="exact"/>
        <w:ind w:firstLine="424" w:firstLineChars="202"/>
        <w:jc w:val="left"/>
        <w:textAlignment w:val="auto"/>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（3）厦门磐坚工程管理有限公司  曾聪田</w:t>
      </w:r>
      <w:r>
        <w:rPr>
          <w:rFonts w:hint="eastAsia" w:ascii="宋体" w:hAnsi="宋体"/>
          <w:color w:val="000000" w:themeColor="text1"/>
          <w:sz w:val="21"/>
          <w:szCs w:val="21"/>
          <w:highlight w:val="none"/>
          <w:lang w:eastAsia="zh-CN"/>
          <w14:textFill>
            <w14:solidFill>
              <w14:schemeClr w14:val="tx1"/>
            </w14:solidFill>
          </w14:textFill>
        </w:rPr>
        <w:t>；</w:t>
      </w:r>
    </w:p>
    <w:p w14:paraId="5AA739C7">
      <w:pPr>
        <w:keepNext w:val="0"/>
        <w:keepLines w:val="0"/>
        <w:pageBreakBefore w:val="0"/>
        <w:widowControl w:val="0"/>
        <w:kinsoku/>
        <w:wordWrap/>
        <w:overflowPunct/>
        <w:topLinePunct w:val="0"/>
        <w:autoSpaceDE/>
        <w:autoSpaceDN/>
        <w:bidi w:val="0"/>
        <w:adjustRightInd/>
        <w:snapToGrid/>
        <w:spacing w:line="320" w:lineRule="exact"/>
        <w:ind w:firstLine="424" w:firstLineChars="202"/>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color w:val="000000" w:themeColor="text1"/>
          <w:sz w:val="21"/>
          <w:szCs w:val="21"/>
          <w:highlight w:val="none"/>
          <w:lang w:eastAsia="zh-CN"/>
          <w14:textFill>
            <w14:solidFill>
              <w14:schemeClr w14:val="tx1"/>
            </w14:solidFill>
          </w14:textFill>
        </w:rPr>
        <w:t>）福建中融合项目管理有限公司</w:t>
      </w:r>
      <w:r>
        <w:rPr>
          <w:rFonts w:hint="eastAsia" w:ascii="宋体" w:hAnsi="宋体"/>
          <w:color w:val="000000" w:themeColor="text1"/>
          <w:sz w:val="21"/>
          <w:szCs w:val="21"/>
          <w:highlight w:val="none"/>
          <w:lang w:val="en-US" w:eastAsia="zh-CN"/>
          <w14:textFill>
            <w14:solidFill>
              <w14:schemeClr w14:val="tx1"/>
            </w14:solidFill>
          </w14:textFill>
        </w:rPr>
        <w:t xml:space="preserve">  叶俊斌。</w:t>
      </w:r>
    </w:p>
    <w:p w14:paraId="225AC265">
      <w:pPr>
        <w:spacing w:beforeLines="100" w:line="360" w:lineRule="auto"/>
        <w:jc w:val="both"/>
        <w:rPr>
          <w:rFonts w:ascii="黑体" w:hAnsi="黑体" w:eastAsia="黑体"/>
          <w:b/>
          <w:color w:val="000000" w:themeColor="text1"/>
          <w:sz w:val="28"/>
          <w:szCs w:val="28"/>
          <w:highlight w:val="none"/>
          <w:u w:val="single"/>
          <w14:textFill>
            <w14:solidFill>
              <w14:schemeClr w14:val="tx1"/>
            </w14:solidFill>
          </w14:textFill>
        </w:rPr>
      </w:pPr>
    </w:p>
    <w:p w14:paraId="19DE56ED">
      <w:pPr>
        <w:spacing w:beforeLines="100" w:line="36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Style w:val="49"/>
          <w:rFonts w:ascii="黑体" w:hAnsi="黑体" w:eastAsia="黑体"/>
          <w:color w:val="000000" w:themeColor="text1"/>
          <w:sz w:val="28"/>
          <w:szCs w:val="28"/>
          <w:highlight w:val="none"/>
          <w:u w:val="single"/>
          <w14:textFill>
            <w14:solidFill>
              <w14:schemeClr w14:val="tx1"/>
            </w14:solidFill>
          </w14:textFill>
        </w:rPr>
        <w:footnoteReference w:id="0"/>
      </w:r>
      <w:r>
        <w:rPr>
          <w:rFonts w:hint="eastAsia" w:ascii="黑体" w:hAnsi="黑体" w:eastAsia="黑体"/>
          <w:color w:val="000000" w:themeColor="text1"/>
          <w:sz w:val="28"/>
          <w:szCs w:val="28"/>
          <w:highlight w:val="none"/>
          <w14:textFill>
            <w14:solidFill>
              <w14:schemeClr w14:val="tx1"/>
            </w14:solidFill>
          </w14:textFill>
        </w:rPr>
        <w:t>设计招标</w:t>
      </w:r>
    </w:p>
    <w:p w14:paraId="678B50EF">
      <w:pPr>
        <w:spacing w:beforeLines="100" w:line="360" w:lineRule="auto"/>
        <w:jc w:val="center"/>
        <w:rPr>
          <w:rFonts w:ascii="宋体" w:hAnsi="宋体"/>
          <w:b/>
          <w:color w:val="000000" w:themeColor="text1"/>
          <w:sz w:val="72"/>
          <w:szCs w:val="72"/>
          <w:highlight w:val="none"/>
          <w14:textFill>
            <w14:solidFill>
              <w14:schemeClr w14:val="tx1"/>
            </w14:solidFill>
          </w14:textFill>
        </w:rPr>
      </w:pPr>
    </w:p>
    <w:p w14:paraId="15BAABFB">
      <w:pPr>
        <w:spacing w:beforeLines="100" w:line="360" w:lineRule="auto"/>
        <w:jc w:val="center"/>
        <w:rPr>
          <w:rFonts w:ascii="宋体" w:hAnsi="宋体"/>
          <w:b/>
          <w:color w:val="000000" w:themeColor="text1"/>
          <w:sz w:val="72"/>
          <w:szCs w:val="72"/>
          <w:highlight w:val="none"/>
          <w14:textFill>
            <w14:solidFill>
              <w14:schemeClr w14:val="tx1"/>
            </w14:solidFill>
          </w14:textFill>
        </w:rPr>
      </w:pPr>
    </w:p>
    <w:p w14:paraId="532FD0BD">
      <w:pPr>
        <w:spacing w:beforeLines="100" w:line="36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招 标 文 件</w:t>
      </w:r>
    </w:p>
    <w:p w14:paraId="5229CEB6">
      <w:pPr>
        <w:spacing w:beforeLines="100" w:after="240" w:line="360" w:lineRule="auto"/>
        <w:jc w:val="center"/>
        <w:rPr>
          <w:rFonts w:ascii="宋体" w:hAnsi="宋体"/>
          <w:color w:val="000000" w:themeColor="text1"/>
          <w:sz w:val="44"/>
          <w:szCs w:val="44"/>
          <w:highlight w:val="none"/>
          <w14:textFill>
            <w14:solidFill>
              <w14:schemeClr w14:val="tx1"/>
            </w14:solidFill>
          </w14:textFill>
        </w:rPr>
      </w:pPr>
    </w:p>
    <w:p w14:paraId="6EE426D8">
      <w:pPr>
        <w:pStyle w:val="13"/>
        <w:spacing w:before="120" w:after="120" w:line="360" w:lineRule="auto"/>
        <w:ind w:firstLine="0"/>
        <w:rPr>
          <w:rFonts w:ascii="宋体" w:hAnsi="宋体" w:eastAsia="宋体"/>
          <w:color w:val="000000" w:themeColor="text1"/>
          <w:sz w:val="28"/>
          <w:highlight w:val="none"/>
          <w14:textFill>
            <w14:solidFill>
              <w14:schemeClr w14:val="tx1"/>
            </w14:solidFill>
          </w14:textFill>
        </w:rPr>
      </w:pPr>
    </w:p>
    <w:p w14:paraId="6D3E8725">
      <w:pPr>
        <w:pStyle w:val="13"/>
        <w:spacing w:before="120" w:after="120" w:line="360" w:lineRule="auto"/>
        <w:ind w:firstLine="0"/>
        <w:rPr>
          <w:rFonts w:ascii="宋体" w:hAnsi="宋体" w:eastAsia="宋体"/>
          <w:color w:val="000000" w:themeColor="text1"/>
          <w:sz w:val="28"/>
          <w:highlight w:val="none"/>
          <w14:textFill>
            <w14:solidFill>
              <w14:schemeClr w14:val="tx1"/>
            </w14:solidFill>
          </w14:textFill>
        </w:rPr>
      </w:pPr>
    </w:p>
    <w:p w14:paraId="68F5FB6F">
      <w:pPr>
        <w:pStyle w:val="13"/>
        <w:spacing w:before="120" w:after="120" w:line="360" w:lineRule="auto"/>
        <w:ind w:firstLine="0"/>
        <w:rPr>
          <w:rFonts w:ascii="宋体" w:hAnsi="宋体" w:eastAsia="宋体"/>
          <w:color w:val="000000" w:themeColor="text1"/>
          <w:sz w:val="28"/>
          <w:highlight w:val="none"/>
          <w14:textFill>
            <w14:solidFill>
              <w14:schemeClr w14:val="tx1"/>
            </w14:solidFill>
          </w14:textFill>
        </w:rPr>
      </w:pPr>
    </w:p>
    <w:p w14:paraId="442680CB">
      <w:pPr>
        <w:pStyle w:val="13"/>
        <w:spacing w:beforeLines="50" w:afterLines="50" w:line="360" w:lineRule="auto"/>
        <w:ind w:firstLine="708" w:firstLineChars="253"/>
        <w:rPr>
          <w:rFonts w:ascii="黑体" w:hAnsi="黑体" w:eastAsia="黑体"/>
          <w:color w:val="000000" w:themeColor="text1"/>
          <w:sz w:val="28"/>
          <w:highlight w:val="none"/>
          <w:u w:val="single"/>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报 建  编 号：</w:t>
      </w:r>
      <w:r>
        <w:rPr>
          <w:rFonts w:hint="eastAsia" w:ascii="黑体" w:hAnsi="黑体" w:eastAsia="黑体"/>
          <w:color w:val="000000" w:themeColor="text1"/>
          <w:sz w:val="28"/>
          <w:highlight w:val="none"/>
          <w:u w:val="single"/>
          <w14:textFill>
            <w14:solidFill>
              <w14:schemeClr w14:val="tx1"/>
            </w14:solidFill>
          </w14:textFill>
        </w:rPr>
        <w:tab/>
      </w:r>
      <w:r>
        <w:rPr>
          <w:rFonts w:hint="eastAsia" w:ascii="黑体" w:hAnsi="黑体" w:eastAsia="黑体"/>
          <w:color w:val="000000" w:themeColor="text1"/>
          <w:sz w:val="28"/>
          <w:highlight w:val="none"/>
          <w:u w:val="single"/>
          <w14:textFill>
            <w14:solidFill>
              <w14:schemeClr w14:val="tx1"/>
            </w14:solidFill>
          </w14:textFill>
        </w:rPr>
        <w:t xml:space="preserve">                                    </w:t>
      </w:r>
    </w:p>
    <w:p w14:paraId="7DC56951">
      <w:pPr>
        <w:pStyle w:val="13"/>
        <w:spacing w:beforeLines="50" w:afterLines="50" w:line="360" w:lineRule="auto"/>
        <w:ind w:firstLine="708" w:firstLineChars="253"/>
        <w:rPr>
          <w:rFonts w:ascii="黑体" w:hAnsi="黑体" w:eastAsia="黑体"/>
          <w:color w:val="000000" w:themeColor="text1"/>
          <w:sz w:val="28"/>
          <w:highlight w:val="none"/>
          <w:u w:val="single"/>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招标项目编号：</w:t>
      </w:r>
      <w:r>
        <w:rPr>
          <w:rFonts w:hint="eastAsia" w:ascii="黑体" w:hAnsi="黑体" w:eastAsia="黑体"/>
          <w:color w:val="000000" w:themeColor="text1"/>
          <w:sz w:val="28"/>
          <w:highlight w:val="none"/>
          <w:u w:val="single"/>
          <w14:textFill>
            <w14:solidFill>
              <w14:schemeClr w14:val="tx1"/>
            </w14:solidFill>
          </w14:textFill>
        </w:rPr>
        <w:t xml:space="preserve">                                      </w:t>
      </w:r>
    </w:p>
    <w:p w14:paraId="074A5A64">
      <w:pPr>
        <w:spacing w:beforeLines="50" w:afterLines="50" w:line="360" w:lineRule="auto"/>
        <w:ind w:firstLine="708" w:firstLineChars="253"/>
        <w:rPr>
          <w:rFonts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   标   人：</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u w:val="single"/>
          <w14:textFill>
            <w14:solidFill>
              <w14:schemeClr w14:val="tx1"/>
            </w14:solidFill>
          </w14:textFill>
        </w:rPr>
        <w:t>（</w:t>
      </w:r>
      <w:r>
        <w:rPr>
          <w:rFonts w:hint="eastAsia" w:ascii="黑体" w:hAnsi="黑体" w:eastAsia="黑体"/>
          <w:color w:val="000000" w:themeColor="text1"/>
          <w:kern w:val="2"/>
          <w:sz w:val="28"/>
          <w:highlight w:val="none"/>
          <w:u w:val="single"/>
          <w14:textFill>
            <w14:solidFill>
              <w14:schemeClr w14:val="tx1"/>
            </w14:solidFill>
          </w14:textFill>
        </w:rPr>
        <w:t>盖单位公章</w:t>
      </w:r>
      <w:r>
        <w:rPr>
          <w:rFonts w:hint="eastAsia" w:ascii="黑体" w:hAnsi="黑体" w:eastAsia="黑体"/>
          <w:color w:val="000000" w:themeColor="text1"/>
          <w:sz w:val="28"/>
          <w:szCs w:val="28"/>
          <w:highlight w:val="none"/>
          <w:u w:val="single"/>
          <w14:textFill>
            <w14:solidFill>
              <w14:schemeClr w14:val="tx1"/>
            </w14:solidFill>
          </w14:textFill>
        </w:rPr>
        <w:t>）</w:t>
      </w:r>
    </w:p>
    <w:p w14:paraId="3787E7BD">
      <w:pPr>
        <w:spacing w:beforeLines="50" w:afterLines="50" w:line="360" w:lineRule="auto"/>
        <w:ind w:firstLine="708" w:firstLineChars="253"/>
        <w:rPr>
          <w:rFonts w:ascii="黑体" w:hAnsi="黑体" w:eastAsia="黑体"/>
          <w:color w:val="000000" w:themeColor="text1"/>
          <w:sz w:val="32"/>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招标代理机构：</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u w:val="single"/>
          <w14:textFill>
            <w14:solidFill>
              <w14:schemeClr w14:val="tx1"/>
            </w14:solidFill>
          </w14:textFill>
        </w:rPr>
        <w:t>（</w:t>
      </w:r>
      <w:r>
        <w:rPr>
          <w:rFonts w:hint="eastAsia" w:ascii="黑体" w:hAnsi="黑体" w:eastAsia="黑体"/>
          <w:color w:val="000000" w:themeColor="text1"/>
          <w:kern w:val="2"/>
          <w:sz w:val="28"/>
          <w:highlight w:val="none"/>
          <w:u w:val="single"/>
          <w14:textFill>
            <w14:solidFill>
              <w14:schemeClr w14:val="tx1"/>
            </w14:solidFill>
          </w14:textFill>
        </w:rPr>
        <w:t>盖单位公章</w:t>
      </w:r>
      <w:r>
        <w:rPr>
          <w:rFonts w:hint="eastAsia" w:ascii="黑体" w:hAnsi="黑体" w:eastAsia="黑体"/>
          <w:color w:val="000000" w:themeColor="text1"/>
          <w:sz w:val="28"/>
          <w:szCs w:val="28"/>
          <w:highlight w:val="none"/>
          <w:u w:val="single"/>
          <w14:textFill>
            <w14:solidFill>
              <w14:schemeClr w14:val="tx1"/>
            </w14:solidFill>
          </w14:textFill>
        </w:rPr>
        <w:t>）</w:t>
      </w:r>
    </w:p>
    <w:p w14:paraId="26B03FF2">
      <w:pPr>
        <w:ind w:firstLine="700" w:firstLineChars="250"/>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编制日期：</w:t>
      </w: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年</w:t>
      </w: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月</w:t>
      </w: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日</w:t>
      </w:r>
    </w:p>
    <w:p w14:paraId="436FC840">
      <w:pPr>
        <w:rPr>
          <w:rFonts w:ascii="黑体" w:hAnsi="黑体" w:eastAsia="黑体"/>
          <w:b/>
          <w:color w:val="000000" w:themeColor="text1"/>
          <w:sz w:val="32"/>
          <w:szCs w:val="32"/>
          <w:highlight w:val="none"/>
          <w14:textFill>
            <w14:solidFill>
              <w14:schemeClr w14:val="tx1"/>
            </w14:solidFill>
          </w14:textFill>
        </w:rPr>
      </w:pPr>
    </w:p>
    <w:sdt>
      <w:sdtPr>
        <w:rPr>
          <w:b w:val="0"/>
          <w:bCs w:val="0"/>
          <w:color w:val="000000" w:themeColor="text1"/>
          <w:kern w:val="0"/>
          <w:sz w:val="20"/>
          <w:szCs w:val="20"/>
          <w:highlight w:val="none"/>
          <w:lang w:val="zh-CN"/>
          <w14:textFill>
            <w14:solidFill>
              <w14:schemeClr w14:val="tx1"/>
            </w14:solidFill>
          </w14:textFill>
        </w:rPr>
        <w:id w:val="32410519"/>
        <w:docPartObj>
          <w:docPartGallery w:val="Table of Contents"/>
          <w:docPartUnique/>
        </w:docPartObj>
      </w:sdtPr>
      <w:sdtEndPr>
        <w:rPr>
          <w:b w:val="0"/>
          <w:bCs w:val="0"/>
          <w:color w:val="000000" w:themeColor="text1"/>
          <w:kern w:val="0"/>
          <w:sz w:val="20"/>
          <w:szCs w:val="20"/>
          <w:highlight w:val="none"/>
          <w:lang w:val="en-US"/>
          <w14:textFill>
            <w14:solidFill>
              <w14:schemeClr w14:val="tx1"/>
            </w14:solidFill>
          </w14:textFill>
        </w:rPr>
      </w:sdtEndPr>
      <w:sdtContent>
        <w:p w14:paraId="03818E49">
          <w:pPr>
            <w:pStyle w:val="120"/>
            <w:spacing w:before="0"/>
            <w:jc w:val="center"/>
            <w:rPr>
              <w:rFonts w:ascii="黑体" w:hAnsi="黑体" w:eastAsia="黑体"/>
              <w:b w:val="0"/>
              <w:color w:val="000000" w:themeColor="text1"/>
              <w:sz w:val="28"/>
              <w:szCs w:val="28"/>
              <w:highlight w:val="none"/>
              <w14:textFill>
                <w14:solidFill>
                  <w14:schemeClr w14:val="tx1"/>
                </w14:solidFill>
              </w14:textFill>
            </w:rPr>
          </w:pPr>
          <w:r>
            <w:rPr>
              <w:rFonts w:ascii="黑体" w:hAnsi="黑体" w:eastAsia="黑体"/>
              <w:b w:val="0"/>
              <w:color w:val="000000" w:themeColor="text1"/>
              <w:sz w:val="28"/>
              <w:szCs w:val="28"/>
              <w:highlight w:val="none"/>
              <w:lang w:val="zh-CN"/>
              <w14:textFill>
                <w14:solidFill>
                  <w14:schemeClr w14:val="tx1"/>
                </w14:solidFill>
              </w14:textFill>
            </w:rPr>
            <w:t>目</w:t>
          </w:r>
          <w:r>
            <w:rPr>
              <w:rFonts w:hint="eastAsia" w:ascii="黑体" w:hAnsi="黑体" w:eastAsia="黑体"/>
              <w:b w:val="0"/>
              <w:color w:val="000000" w:themeColor="text1"/>
              <w:sz w:val="28"/>
              <w:szCs w:val="28"/>
              <w:highlight w:val="none"/>
              <w:lang w:val="zh-CN"/>
              <w14:textFill>
                <w14:solidFill>
                  <w14:schemeClr w14:val="tx1"/>
                </w14:solidFill>
              </w14:textFill>
            </w:rPr>
            <w:t xml:space="preserve">  </w:t>
          </w:r>
          <w:r>
            <w:rPr>
              <w:rFonts w:ascii="黑体" w:hAnsi="黑体" w:eastAsia="黑体"/>
              <w:b w:val="0"/>
              <w:color w:val="000000" w:themeColor="text1"/>
              <w:sz w:val="28"/>
              <w:szCs w:val="28"/>
              <w:highlight w:val="none"/>
              <w:lang w:val="zh-CN"/>
              <w14:textFill>
                <w14:solidFill>
                  <w14:schemeClr w14:val="tx1"/>
                </w14:solidFill>
              </w14:textFill>
            </w:rPr>
            <w:t>录</w:t>
          </w:r>
        </w:p>
        <w:p w14:paraId="0287D7FE">
          <w:pPr>
            <w:pStyle w:val="29"/>
            <w:tabs>
              <w:tab w:val="right" w:leader="dot" w:pos="8930"/>
            </w:tabs>
            <w:rPr>
              <w:color w:val="000000" w:themeColor="text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fldChar w:fldCharType="begin"/>
          </w:r>
          <w:r>
            <w:rPr>
              <w:rFonts w:ascii="宋体" w:hAnsi="宋体"/>
              <w:color w:val="000000" w:themeColor="text1"/>
              <w:sz w:val="21"/>
              <w:szCs w:val="21"/>
              <w:highlight w:val="none"/>
              <w14:textFill>
                <w14:solidFill>
                  <w14:schemeClr w14:val="tx1"/>
                </w14:solidFill>
              </w14:textFill>
            </w:rPr>
            <w:instrText xml:space="preserve"> TOC \o "1-3" \h \z \u </w:instrText>
          </w:r>
          <w:r>
            <w:rPr>
              <w:rFonts w:ascii="宋体" w:hAnsi="宋体"/>
              <w:color w:val="000000" w:themeColor="text1"/>
              <w:sz w:val="21"/>
              <w:szCs w:val="2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_Toc6050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highlight w:val="none"/>
              <w14:textFill>
                <w14:solidFill>
                  <w14:schemeClr w14:val="tx1"/>
                </w14:solidFill>
              </w14:textFill>
            </w:rPr>
            <w:t>第一卷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6D33968F">
          <w:pPr>
            <w:pStyle w:val="34"/>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_Toc9114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第一章 招标公告/投标邀请书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2C83A677">
          <w:pPr>
            <w:pStyle w:val="34"/>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_Toc17054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28"/>
              <w:highlight w:val="none"/>
              <w14:textFill>
                <w14:solidFill>
                  <w14:schemeClr w14:val="tx1"/>
                </w14:solidFill>
              </w14:textFill>
            </w:rPr>
            <w:t>第一章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_Toc17054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75D68127">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_Toc20346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1.招标条件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_Toc20346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A3A515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_Toc4892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2.项目概况与招标范围</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_Toc4892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B80A30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_Toc24694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3.投标人资格要求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_Toc24694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95B0F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_Toc24060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4.技术成果经济补偿</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_Toc24060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ED69C6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_Toc2998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5.招标文件的获取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18C2BE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_Toc26325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_Toc26325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AEBFDA6">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_Toc25348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7.定标</w:t>
          </w:r>
          <w:r>
            <w:rPr>
              <w:rFonts w:hint="eastAsia" w:ascii="宋体" w:hAnsi="宋体" w:eastAsia="宋体" w:cs="宋体"/>
              <w:color w:val="000000" w:themeColor="text1"/>
              <w:szCs w:val="28"/>
              <w:highlight w:val="none"/>
              <w:lang w:val="en-US" w:eastAsia="zh-CN"/>
              <w14:textFill>
                <w14:solidFill>
                  <w14:schemeClr w14:val="tx1"/>
                </w14:solidFill>
              </w14:textFill>
            </w:rPr>
            <w:t>方</w:t>
          </w:r>
          <w:r>
            <w:rPr>
              <w:rFonts w:hint="eastAsia" w:ascii="宋体" w:hAnsi="宋体" w:eastAsia="宋体" w:cs="宋体"/>
              <w:color w:val="000000" w:themeColor="text1"/>
              <w:szCs w:val="28"/>
              <w:highlight w:val="none"/>
              <w14:textFill>
                <w14:solidFill>
                  <w14:schemeClr w14:val="tx1"/>
                </w14:solidFill>
              </w14:textFill>
            </w:rPr>
            <w:t>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_Toc25348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456F6B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_Toc22147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8.投标保证金的</w:t>
          </w:r>
          <w:r>
            <w:rPr>
              <w:rFonts w:hint="eastAsia" w:ascii="宋体" w:hAnsi="宋体" w:eastAsia="宋体" w:cs="宋体"/>
              <w:color w:val="000000" w:themeColor="text1"/>
              <w:szCs w:val="28"/>
              <w:highlight w:val="none"/>
              <w:lang w:val="en-US" w:eastAsia="zh-CN"/>
              <w14:textFill>
                <w14:solidFill>
                  <w14:schemeClr w14:val="tx1"/>
                </w14:solidFill>
              </w14:textFill>
            </w:rPr>
            <w:t>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_Toc22147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A9FCEA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_Toc20950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_Toc20950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A5CBCD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_Toc29852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10.发布公告的媒体</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_Toc29852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880A286">
          <w:pPr>
            <w:pStyle w:val="21"/>
            <w:tabs>
              <w:tab w:val="right" w:leader="dot" w:pos="893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_Toc19321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11.联系方式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_Toc19321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B4BCCEC">
          <w:pPr>
            <w:pStyle w:val="34"/>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_Toc20743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28"/>
              <w:highlight w:val="none"/>
              <w14:textFill>
                <w14:solidFill>
                  <w14:schemeClr w14:val="tx1"/>
                </w14:solidFill>
              </w14:textFill>
            </w:rPr>
            <w:t>第一章 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0163E55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_Toc2779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1.招标条件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_Toc2779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5952617">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_Toc786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2.项目概况与招标范围</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_Toc786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65D033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_Toc22986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3.投标人资格要求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_Toc22986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266728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_Toc17981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4.技术成果经济补偿</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_Toc17981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46CC0B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_Toc25345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5.招标文件的获取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_Toc25345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D902EC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_Toc2706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_Toc2706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BA8539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_Toc28084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7.定标</w:t>
          </w:r>
          <w:r>
            <w:rPr>
              <w:rFonts w:hint="eastAsia" w:ascii="宋体" w:hAnsi="宋体" w:eastAsia="宋体" w:cs="宋体"/>
              <w:color w:val="000000" w:themeColor="text1"/>
              <w:szCs w:val="28"/>
              <w:highlight w:val="none"/>
              <w:lang w:val="en-US" w:eastAsia="zh-CN"/>
              <w14:textFill>
                <w14:solidFill>
                  <w14:schemeClr w14:val="tx1"/>
                </w14:solidFill>
              </w14:textFill>
            </w:rPr>
            <w:t>方</w:t>
          </w:r>
          <w:r>
            <w:rPr>
              <w:rFonts w:hint="eastAsia" w:ascii="宋体" w:hAnsi="宋体" w:eastAsia="宋体" w:cs="宋体"/>
              <w:color w:val="000000" w:themeColor="text1"/>
              <w:szCs w:val="28"/>
              <w:highlight w:val="none"/>
              <w14:textFill>
                <w14:solidFill>
                  <w14:schemeClr w14:val="tx1"/>
                </w14:solidFill>
              </w14:textFill>
            </w:rPr>
            <w:t>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_Toc28084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0CEF09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_Toc31869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8.投标保证金的</w:t>
          </w:r>
          <w:r>
            <w:rPr>
              <w:rFonts w:hint="eastAsia" w:ascii="宋体" w:hAnsi="宋体" w:eastAsia="宋体" w:cs="宋体"/>
              <w:color w:val="000000" w:themeColor="text1"/>
              <w:szCs w:val="28"/>
              <w:highlight w:val="none"/>
              <w:lang w:val="en-US" w:eastAsia="zh-CN"/>
              <w14:textFill>
                <w14:solidFill>
                  <w14:schemeClr w14:val="tx1"/>
                </w14:solidFill>
              </w14:textFill>
            </w:rPr>
            <w:t>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_Toc31869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317A65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_Toc5764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_Toc5764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F26F5B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_Toc26742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10.确认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_Toc26742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F832DA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_Toc30974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11.联系方式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_Toc30974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06B5BCA">
          <w:pPr>
            <w:pStyle w:val="21"/>
            <w:tabs>
              <w:tab w:val="right" w:leader="dot" w:pos="893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_Toc16643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附件1-1：确认通知（格式）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_Toc16643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F13420D">
          <w:pPr>
            <w:pStyle w:val="34"/>
            <w:tabs>
              <w:tab w:val="right" w:leader="dot" w:pos="8930"/>
            </w:tabs>
            <w:rPr>
              <w:color w:val="000000" w:themeColor="text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fldChar w:fldCharType="begin"/>
          </w:r>
          <w:r>
            <w:rPr>
              <w:rFonts w:hint="eastAsia" w:ascii="黑体" w:hAnsi="黑体" w:eastAsia="黑体" w:cs="黑体"/>
              <w:color w:val="000000" w:themeColor="text1"/>
              <w:szCs w:val="21"/>
              <w:highlight w:val="none"/>
              <w14:textFill>
                <w14:solidFill>
                  <w14:schemeClr w14:val="tx1"/>
                </w14:solidFill>
              </w14:textFill>
            </w:rPr>
            <w:instrText xml:space="preserve"> HYPERLINK \l _Toc5641 </w:instrText>
          </w:r>
          <w:r>
            <w:rPr>
              <w:rFonts w:hint="eastAsia" w:ascii="黑体" w:hAnsi="黑体" w:eastAsia="黑体" w:cs="黑体"/>
              <w:color w:val="000000" w:themeColor="text1"/>
              <w:szCs w:val="21"/>
              <w:highlight w:val="none"/>
              <w14:textFill>
                <w14:solidFill>
                  <w14:schemeClr w14:val="tx1"/>
                </w14:solidFill>
              </w14:textFill>
            </w:rPr>
            <w:fldChar w:fldCharType="separate"/>
          </w:r>
          <w:r>
            <w:rPr>
              <w:rFonts w:hint="eastAsia" w:ascii="黑体" w:hAnsi="黑体" w:eastAsia="黑体" w:cs="黑体"/>
              <w:color w:val="000000" w:themeColor="text1"/>
              <w:szCs w:val="44"/>
              <w:highlight w:val="none"/>
              <w14:textFill>
                <w14:solidFill>
                  <w14:schemeClr w14:val="tx1"/>
                </w14:solidFill>
              </w14:textFill>
            </w:rPr>
            <w:t>第二章 投标人须知</w:t>
          </w:r>
          <w:r>
            <w:rPr>
              <w:rFonts w:hint="eastAsia" w:ascii="黑体" w:hAnsi="黑体" w:eastAsia="黑体" w:cs="黑体"/>
              <w:color w:val="000000" w:themeColor="text1"/>
              <w:highlight w:val="none"/>
              <w14:textFill>
                <w14:solidFill>
                  <w14:schemeClr w14:val="tx1"/>
                </w14:solidFill>
              </w14:textFill>
            </w:rPr>
            <w:tab/>
          </w:r>
          <w:r>
            <w:rPr>
              <w:rFonts w:hint="eastAsia" w:ascii="黑体" w:hAnsi="黑体" w:eastAsia="黑体" w:cs="黑体"/>
              <w:color w:val="000000" w:themeColor="text1"/>
              <w:highlight w:val="none"/>
              <w14:textFill>
                <w14:solidFill>
                  <w14:schemeClr w14:val="tx1"/>
                </w14:solidFill>
              </w14:textFill>
            </w:rPr>
            <w:fldChar w:fldCharType="begin"/>
          </w:r>
          <w:r>
            <w:rPr>
              <w:rFonts w:hint="eastAsia" w:ascii="黑体" w:hAnsi="黑体" w:eastAsia="黑体" w:cs="黑体"/>
              <w:color w:val="000000" w:themeColor="text1"/>
              <w:highlight w:val="none"/>
              <w14:textFill>
                <w14:solidFill>
                  <w14:schemeClr w14:val="tx1"/>
                </w14:solidFill>
              </w14:textFill>
            </w:rPr>
            <w:instrText xml:space="preserve"> PAGEREF _Toc5641 \h </w:instrText>
          </w:r>
          <w:r>
            <w:rPr>
              <w:rFonts w:hint="eastAsia" w:ascii="黑体" w:hAnsi="黑体" w:eastAsia="黑体" w:cs="黑体"/>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highlight w:val="none"/>
              <w14:textFill>
                <w14:solidFill>
                  <w14:schemeClr w14:val="tx1"/>
                </w14:solidFill>
              </w14:textFill>
            </w:rPr>
            <w:t>21</w:t>
          </w:r>
          <w:r>
            <w:rPr>
              <w:rFonts w:hint="eastAsia" w:ascii="黑体" w:hAnsi="黑体" w:eastAsia="黑体" w:cs="黑体"/>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21"/>
              <w:highlight w:val="none"/>
              <w14:textFill>
                <w14:solidFill>
                  <w14:schemeClr w14:val="tx1"/>
                </w14:solidFill>
              </w14:textFill>
            </w:rPr>
            <w:fldChar w:fldCharType="end"/>
          </w:r>
        </w:p>
        <w:p w14:paraId="1EE6A1E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_Toc485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第二章 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_Toc485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616175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_Toc26366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投标人须知前附表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_Toc26366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005560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_Toc16731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投标人须知正文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_Toc16731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DFF7696">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_Toc19001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_Toc19001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EAAD9D6">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_Toc2284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1.1.招标项目概况</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521C04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_Toc7518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1.2.招标项目的资金来源和落实情况</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_Toc7518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307F44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_Toc6423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1.3.招标范围与内容、设计（勘察）服务期限和质量标准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_Toc6423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39B1F1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_Toc15023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1.4.资格审查方式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_Toc15023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C8CEEE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_Toc6096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1.5.投标人资格条件要求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_Toc6096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6DB568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_Toc31264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1.6.费用承担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_Toc31264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B57480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_Toc26563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1.7.保密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_Toc26563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414B4A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_Toc7188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1.8.语言及度量衡单位</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_Toc7188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CE7D60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_Toc5795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1.9.踏勘现场和标前会议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_Toc5795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95DE9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_Toc29408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1.10.知识产权</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_Toc29408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E6A0BC6">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_Toc795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_Toc795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C98391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_Toc2440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2.1.招标文件的组成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_Toc2440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EAFEFA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_Toc7958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2.2.招标文件的澄清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_Toc7958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6305FF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_Toc14681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2.3.招标文件的修改、补充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_Toc14681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346AAA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_Toc6523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2.4.招标文件异议处理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_Toc6523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6193BB7">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_Toc27972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_Toc27972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BDCCB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_Toc21134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3.1.投标文件的组成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_Toc21134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2A138A6">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_Toc2347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3.2.最高投标报价限价与投标报价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D47906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_Toc22678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3.3.投标有效期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_Toc22678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96A9E5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_Toc23678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3.4.投标保证金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_Toc23678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E429C3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_Toc22138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3.5.备选投标方案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_Toc22138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6672F1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_Toc732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3.6.投标文件的编制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6197A77">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_Toc27755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4.投标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_Toc27755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A84499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_Toc27277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4.1.投标文件的加密和标识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_Toc27277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9EB719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_Toc27363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4.2.投标文件的递交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_Toc27363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8325DA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_Toc14364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4.3.投标文件的补充、修改与撤回</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_Toc14364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E3C166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_Toc27253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_Toc27253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486F2C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_Toc14158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5.1.开标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_Toc14158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61F3A7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_Toc20292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w:t>
          </w:r>
          <w:r>
            <w:rPr>
              <w:rFonts w:hint="eastAsia" w:ascii="宋体" w:hAnsi="宋体" w:eastAsia="宋体" w:cs="宋体"/>
              <w:color w:val="000000" w:themeColor="text1"/>
              <w:szCs w:val="28"/>
              <w:highlight w:val="none"/>
              <w:lang w:val="en-US" w:eastAsia="zh-CN"/>
              <w14:textFill>
                <w14:solidFill>
                  <w14:schemeClr w14:val="tx1"/>
                </w14:solidFill>
              </w14:textFill>
            </w:rPr>
            <w:t>1</w:t>
          </w:r>
          <w:r>
            <w:rPr>
              <w:rFonts w:hint="eastAsia" w:ascii="宋体" w:hAnsi="宋体" w:eastAsia="宋体" w:cs="宋体"/>
              <w:color w:val="000000" w:themeColor="text1"/>
              <w:szCs w:val="28"/>
              <w:highlight w:val="none"/>
              <w14:textFill>
                <w14:solidFill>
                  <w14:schemeClr w14:val="tx1"/>
                </w14:solidFill>
              </w14:textFill>
            </w:rPr>
            <w:t>.评标委员会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_Toc20292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9F0BF0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_Toc19789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w:t>
          </w:r>
          <w:r>
            <w:rPr>
              <w:rFonts w:hint="eastAsia" w:ascii="宋体" w:hAnsi="宋体" w:eastAsia="宋体" w:cs="宋体"/>
              <w:color w:val="000000" w:themeColor="text1"/>
              <w:szCs w:val="28"/>
              <w:highlight w:val="none"/>
              <w:lang w:val="en-US" w:eastAsia="zh-CN"/>
              <w14:textFill>
                <w14:solidFill>
                  <w14:schemeClr w14:val="tx1"/>
                </w14:solidFill>
              </w14:textFill>
            </w:rPr>
            <w:t>2</w:t>
          </w:r>
          <w:r>
            <w:rPr>
              <w:rFonts w:hint="eastAsia" w:ascii="宋体" w:hAnsi="宋体" w:eastAsia="宋体" w:cs="宋体"/>
              <w:color w:val="000000" w:themeColor="text1"/>
              <w:szCs w:val="28"/>
              <w:highlight w:val="none"/>
              <w14:textFill>
                <w14:solidFill>
                  <w14:schemeClr w14:val="tx1"/>
                </w14:solidFill>
              </w14:textFill>
            </w:rPr>
            <w:t>.评标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_Toc19789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5AB0C3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_Toc32034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7.清标、定标、中标与合同授予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_Toc32034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1D571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_Toc15558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0"/>
              <w:szCs w:val="28"/>
              <w:highlight w:val="none"/>
              <w:lang w:val="zh-CN" w:eastAsia="zh-CN" w:bidi="ar-SA"/>
              <w14:textFill>
                <w14:solidFill>
                  <w14:schemeClr w14:val="tx1"/>
                </w14:solidFill>
              </w14:textFill>
            </w:rPr>
            <w:t>7.1</w:t>
          </w:r>
          <w:r>
            <w:rPr>
              <w:rFonts w:hint="eastAsia" w:ascii="宋体" w:hAnsi="宋体" w:eastAsia="宋体" w:cs="宋体"/>
              <w:bCs/>
              <w:color w:val="000000" w:themeColor="text1"/>
              <w:kern w:val="0"/>
              <w:szCs w:val="28"/>
              <w:highlight w:val="none"/>
              <w:lang w:val="en-US" w:eastAsia="zh-CN" w:bidi="ar-SA"/>
              <w14:textFill>
                <w14:solidFill>
                  <w14:schemeClr w14:val="tx1"/>
                </w14:solidFill>
              </w14:textFill>
            </w:rPr>
            <w:t>.清标小组</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_Toc15558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E56395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_Toc27037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7.2.定标委员会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_Toc27037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7A0436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_Toc21570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7.3.定标方案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_Toc21570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94748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_Toc25479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7.4.中标候选人公示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_Toc25479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C1641A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_Toc8201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7.5.中标通知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_Toc8201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98BF13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_Toc25539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w:t>
          </w:r>
          <w:r>
            <w:rPr>
              <w:rFonts w:hint="eastAsia" w:ascii="宋体" w:hAnsi="宋体" w:eastAsia="宋体" w:cs="宋体"/>
              <w:color w:val="000000" w:themeColor="text1"/>
              <w:szCs w:val="28"/>
              <w:highlight w:val="none"/>
              <w:lang w:val="en-US" w:eastAsia="zh-CN"/>
              <w14:textFill>
                <w14:solidFill>
                  <w14:schemeClr w14:val="tx1"/>
                </w14:solidFill>
              </w14:textFill>
            </w:rPr>
            <w:t>6</w:t>
          </w:r>
          <w:r>
            <w:rPr>
              <w:rFonts w:hint="eastAsia" w:ascii="宋体" w:hAnsi="宋体" w:eastAsia="宋体" w:cs="宋体"/>
              <w:color w:val="000000" w:themeColor="text1"/>
              <w:szCs w:val="28"/>
              <w:highlight w:val="none"/>
              <w14:textFill>
                <w14:solidFill>
                  <w14:schemeClr w14:val="tx1"/>
                </w14:solidFill>
              </w14:textFill>
            </w:rPr>
            <w:t>.技术成果经济补偿</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_Toc25539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C8CD58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_Toc17479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w:t>
          </w:r>
          <w:r>
            <w:rPr>
              <w:rFonts w:hint="eastAsia" w:ascii="宋体" w:hAnsi="宋体" w:eastAsia="宋体" w:cs="宋体"/>
              <w:color w:val="000000" w:themeColor="text1"/>
              <w:szCs w:val="28"/>
              <w:highlight w:val="none"/>
              <w:lang w:val="en-US" w:eastAsia="zh-CN"/>
              <w14:textFill>
                <w14:solidFill>
                  <w14:schemeClr w14:val="tx1"/>
                </w14:solidFill>
              </w14:textFill>
            </w:rPr>
            <w:t>7</w:t>
          </w:r>
          <w:r>
            <w:rPr>
              <w:rFonts w:hint="eastAsia" w:ascii="宋体" w:hAnsi="宋体" w:eastAsia="宋体" w:cs="宋体"/>
              <w:color w:val="000000" w:themeColor="text1"/>
              <w:szCs w:val="28"/>
              <w:highlight w:val="none"/>
              <w14:textFill>
                <w14:solidFill>
                  <w14:schemeClr w14:val="tx1"/>
                </w14:solidFill>
              </w14:textFill>
            </w:rPr>
            <w:t>.履约保证金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_Toc17479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90EB16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_Toc6482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w:t>
          </w:r>
          <w:r>
            <w:rPr>
              <w:rFonts w:hint="eastAsia" w:ascii="宋体" w:hAnsi="宋体" w:eastAsia="宋体" w:cs="宋体"/>
              <w:color w:val="000000" w:themeColor="text1"/>
              <w:szCs w:val="28"/>
              <w:highlight w:val="none"/>
              <w:lang w:val="en-US" w:eastAsia="zh-CN"/>
              <w14:textFill>
                <w14:solidFill>
                  <w14:schemeClr w14:val="tx1"/>
                </w14:solidFill>
              </w14:textFill>
            </w:rPr>
            <w:t>8</w:t>
          </w:r>
          <w:r>
            <w:rPr>
              <w:rFonts w:hint="eastAsia" w:ascii="宋体" w:hAnsi="宋体" w:eastAsia="宋体" w:cs="宋体"/>
              <w:color w:val="000000" w:themeColor="text1"/>
              <w:szCs w:val="28"/>
              <w:highlight w:val="none"/>
              <w14:textFill>
                <w14:solidFill>
                  <w14:schemeClr w14:val="tx1"/>
                </w14:solidFill>
              </w14:textFill>
            </w:rPr>
            <w:t>.签订合同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_Toc6482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F389E2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_Toc2394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8.纪律和监督</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_Toc2394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7681E9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_Toc13050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8.1.对招标人的纪律要求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_Toc13050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3E469A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_Toc13154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8.2.对投标人的纪律要求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_Toc13154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5947F8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_Toc15104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8.3.对评标委员会、清标小组和定标委员会成员的纪律要求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_Toc15104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A123A0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_Toc18323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8.4.对与评标、清标和定标活动有关的工作人员的纪律要求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_Toc18323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0A8DD1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_Toc15813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9.其他须知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_Toc15813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7823EC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_Toc13529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9.1.重新招标或经批准调整招标方式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_Toc13529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7831F8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_Toc31312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9.2.电子招标投标要求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_Toc31312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E22248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_Toc17096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9.3.需要修改和补充的其他内容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_Toc17096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2547E1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_Toc5117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附件2-</w:t>
          </w:r>
          <w:r>
            <w:rPr>
              <w:rFonts w:hint="eastAsia" w:ascii="宋体" w:hAnsi="宋体" w:eastAsia="宋体" w:cs="宋体"/>
              <w:bCs w:val="0"/>
              <w:color w:val="000000" w:themeColor="text1"/>
              <w:szCs w:val="21"/>
              <w:highlight w:val="none"/>
              <w:lang w:val="en-US" w:eastAsia="zh-CN"/>
              <w14:textFill>
                <w14:solidFill>
                  <w14:schemeClr w14:val="tx1"/>
                </w14:solidFill>
              </w14:textFill>
            </w:rPr>
            <w:t>1</w:t>
          </w:r>
          <w:r>
            <w:rPr>
              <w:rFonts w:hint="eastAsia" w:ascii="宋体" w:hAnsi="宋体" w:eastAsia="宋体" w:cs="宋体"/>
              <w:bCs w:val="0"/>
              <w:color w:val="000000" w:themeColor="text1"/>
              <w:szCs w:val="21"/>
              <w:highlight w:val="none"/>
              <w14:textFill>
                <w14:solidFill>
                  <w14:schemeClr w14:val="tx1"/>
                </w14:solidFill>
              </w14:textFill>
            </w:rPr>
            <w:t>：开标记录表（格式）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_Toc5117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785AE3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中标</w:t>
          </w:r>
          <w:r>
            <w:rPr>
              <w:rFonts w:hint="eastAsia" w:ascii="宋体" w:hAnsi="宋体" w:eastAsia="宋体" w:cs="宋体"/>
              <w:color w:val="000000" w:themeColor="text1"/>
              <w:szCs w:val="21"/>
              <w:highlight w:val="none"/>
              <w14:textFill>
                <w14:solidFill>
                  <w14:schemeClr w14:val="tx1"/>
                </w14:solidFill>
              </w14:textFill>
            </w:rPr>
            <w:t>候选人公示（格式）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9C546A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_Toc14071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：中标结果公布（格式）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_Toc14071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3E0E23C">
          <w:pPr>
            <w:pStyle w:val="21"/>
            <w:tabs>
              <w:tab w:val="right" w:leader="dot" w:pos="893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_Toc551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：中标通知书（格式）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_Toc551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F98D3F8">
          <w:pPr>
            <w:pStyle w:val="34"/>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_Toc27937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第三章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6EC50A5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_Toc18948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评标办法（适用</w:t>
          </w:r>
          <w:r>
            <w:rPr>
              <w:rFonts w:hint="eastAsia" w:ascii="宋体" w:hAnsi="宋体" w:eastAsia="宋体" w:cs="宋体"/>
              <w:color w:val="000000" w:themeColor="text1"/>
              <w:szCs w:val="28"/>
              <w:highlight w:val="none"/>
              <w:lang w:val="en-US" w:eastAsia="zh-CN"/>
              <w14:textFill>
                <w14:solidFill>
                  <w14:schemeClr w14:val="tx1"/>
                </w14:solidFill>
              </w14:textFill>
            </w:rPr>
            <w:t>于</w:t>
          </w:r>
          <w:r>
            <w:rPr>
              <w:rFonts w:hint="eastAsia" w:ascii="宋体" w:hAnsi="宋体" w:eastAsia="宋体" w:cs="宋体"/>
              <w:color w:val="000000" w:themeColor="text1"/>
              <w:szCs w:val="28"/>
              <w:highlight w:val="none"/>
              <w14:textFill>
                <w14:solidFill>
                  <w14:schemeClr w14:val="tx1"/>
                </w14:solidFill>
              </w14:textFill>
            </w:rPr>
            <w:t>记名投票法）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_Toc18948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E203BD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_Toc3989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评标办法前附表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_Toc3989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523985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_Toc18722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评标办法正文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_Toc18722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43814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_Toc24813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1.评标方法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_Toc24813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1B2DE5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_Toc25252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2</w:t>
          </w:r>
          <w:r>
            <w:rPr>
              <w:rFonts w:hint="eastAsia" w:ascii="宋体" w:hAnsi="宋体" w:eastAsia="宋体" w:cs="宋体"/>
              <w:color w:val="000000" w:themeColor="text1"/>
              <w:szCs w:val="28"/>
              <w:highlight w:val="none"/>
              <w14:textFill>
                <w14:solidFill>
                  <w14:schemeClr w14:val="tx1"/>
                </w14:solidFill>
              </w14:textFill>
            </w:rPr>
            <w:t>.评标程序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_Toc25252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E3A22B6">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_Toc32488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3.组建评标委员会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_Toc32488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511F18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_Toc4049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4.评标前准备工作</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_Toc4049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A131E7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_Toc3630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5.资格审查及确定入围投标人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_Toc3630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8332E3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_Toc6463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6</w:t>
          </w:r>
          <w:r>
            <w:rPr>
              <w:rFonts w:hint="eastAsia" w:ascii="宋体" w:hAnsi="宋体" w:eastAsia="宋体" w:cs="宋体"/>
              <w:color w:val="000000" w:themeColor="text1"/>
              <w:szCs w:val="28"/>
              <w:highlight w:val="none"/>
              <w14:textFill>
                <w14:solidFill>
                  <w14:schemeClr w14:val="tx1"/>
                </w14:solidFill>
              </w14:textFill>
            </w:rPr>
            <w:t>.</w:t>
          </w:r>
          <w:r>
            <w:rPr>
              <w:rFonts w:hint="eastAsia" w:ascii="宋体" w:hAnsi="宋体" w:eastAsia="宋体" w:cs="宋体"/>
              <w:color w:val="000000" w:themeColor="text1"/>
              <w:szCs w:val="28"/>
              <w:highlight w:val="none"/>
              <w:lang w:val="en-US" w:eastAsia="zh-CN"/>
              <w14:textFill>
                <w14:solidFill>
                  <w14:schemeClr w14:val="tx1"/>
                </w14:solidFill>
              </w14:textFill>
            </w:rPr>
            <w:t>定性评审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_Toc6463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0B2E40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_Toc22847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7.</w:t>
          </w:r>
          <w:r>
            <w:rPr>
              <w:rFonts w:hint="eastAsia" w:ascii="宋体" w:hAnsi="宋体" w:eastAsia="宋体" w:cs="宋体"/>
              <w:color w:val="000000" w:themeColor="text1"/>
              <w:szCs w:val="28"/>
              <w:highlight w:val="none"/>
              <w14:textFill>
                <w14:solidFill>
                  <w14:schemeClr w14:val="tx1"/>
                </w14:solidFill>
              </w14:textFill>
            </w:rPr>
            <w:t>提交评标报告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_Toc22847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DD40C8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_Toc23185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8.评标报告的审查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_Toc23185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BEBBB7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_Toc9172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9</w:t>
          </w:r>
          <w:r>
            <w:rPr>
              <w:rFonts w:hint="eastAsia" w:ascii="宋体" w:hAnsi="宋体" w:eastAsia="宋体" w:cs="宋体"/>
              <w:color w:val="000000" w:themeColor="text1"/>
              <w:szCs w:val="28"/>
              <w:highlight w:val="none"/>
              <w14:textFill>
                <w14:solidFill>
                  <w14:schemeClr w14:val="tx1"/>
                </w14:solidFill>
              </w14:textFill>
            </w:rPr>
            <w:t>.附则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_Toc9172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482967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_Toc27859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附件3-</w:t>
          </w:r>
          <w:r>
            <w:rPr>
              <w:rFonts w:hint="eastAsia" w:ascii="宋体" w:hAnsi="宋体" w:eastAsia="宋体" w:cs="宋体"/>
              <w:bCs/>
              <w:color w:val="000000" w:themeColor="text1"/>
              <w:szCs w:val="21"/>
              <w:highlight w:val="none"/>
              <w:lang w:val="en-US" w:eastAsia="zh-CN"/>
              <w14:textFill>
                <w14:solidFill>
                  <w14:schemeClr w14:val="tx1"/>
                </w14:solidFill>
              </w14:textFill>
            </w:rPr>
            <w:t>1</w:t>
          </w:r>
          <w:r>
            <w:rPr>
              <w:rFonts w:hint="eastAsia" w:ascii="宋体" w:hAnsi="宋体" w:eastAsia="宋体" w:cs="宋体"/>
              <w:bCs/>
              <w:color w:val="000000" w:themeColor="text1"/>
              <w:szCs w:val="21"/>
              <w:highlight w:val="none"/>
              <w14:textFill>
                <w14:solidFill>
                  <w14:schemeClr w14:val="tx1"/>
                </w14:solidFill>
              </w14:textFill>
            </w:rPr>
            <w:t>：投票方法（格式）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_Toc27859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30A50D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_Toc15922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eastAsia="zh-CN" w:bidi="ar-SA"/>
              <w14:textFill>
                <w14:solidFill>
                  <w14:schemeClr w14:val="tx1"/>
                </w14:solidFill>
              </w14:textFill>
            </w:rPr>
            <w:t>附件3-2：问题澄清通知（格式）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_Toc15922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9F3315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eastAsia="zh-CN" w:bidi="ar-SA"/>
              <w14:textFill>
                <w14:solidFill>
                  <w14:schemeClr w14:val="tx1"/>
                </w14:solidFill>
              </w14:textFill>
            </w:rPr>
            <w:t>附件3-3：问题的澄清（格式）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CEF6AC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_Toc32500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评标办法（适用</w:t>
          </w:r>
          <w:r>
            <w:rPr>
              <w:rFonts w:hint="eastAsia" w:ascii="宋体" w:hAnsi="宋体" w:eastAsia="宋体" w:cs="宋体"/>
              <w:color w:val="000000" w:themeColor="text1"/>
              <w:szCs w:val="28"/>
              <w:highlight w:val="none"/>
              <w:lang w:val="en-US" w:eastAsia="zh-CN"/>
              <w14:textFill>
                <w14:solidFill>
                  <w14:schemeClr w14:val="tx1"/>
                </w14:solidFill>
              </w14:textFill>
            </w:rPr>
            <w:t>于</w:t>
          </w:r>
          <w:r>
            <w:rPr>
              <w:rFonts w:hint="eastAsia" w:ascii="宋体" w:hAnsi="宋体" w:eastAsia="宋体" w:cs="宋体"/>
              <w:color w:val="000000" w:themeColor="text1"/>
              <w:szCs w:val="28"/>
              <w:highlight w:val="none"/>
              <w14:textFill>
                <w14:solidFill>
                  <w14:schemeClr w14:val="tx1"/>
                </w14:solidFill>
              </w14:textFill>
            </w:rPr>
            <w:t>综合评估法）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_Toc32500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7B33C1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_Toc21137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评标办法前附表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_Toc21137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A8304D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_Toc21456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评标办法正文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_Toc21456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D5A46F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_Toc23297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1.评标方法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_Toc23297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7987DB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_Toc26387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2</w:t>
          </w:r>
          <w:r>
            <w:rPr>
              <w:rFonts w:hint="eastAsia" w:ascii="宋体" w:hAnsi="宋体" w:eastAsia="宋体" w:cs="宋体"/>
              <w:color w:val="000000" w:themeColor="text1"/>
              <w:szCs w:val="28"/>
              <w:highlight w:val="none"/>
              <w14:textFill>
                <w14:solidFill>
                  <w14:schemeClr w14:val="tx1"/>
                </w14:solidFill>
              </w14:textFill>
            </w:rPr>
            <w:t>.评标程序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_Toc26387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FEEC5D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_Toc22170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3.组建评标委员会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_Toc22170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F32D6E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_Toc8895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4.评标前工作准备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_Toc8895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C1DBC7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_Toc11347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5.资格审查及确定入围投标人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_Toc11347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9133797">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_Toc19200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6</w:t>
          </w:r>
          <w:r>
            <w:rPr>
              <w:rFonts w:hint="eastAsia" w:ascii="宋体" w:hAnsi="宋体" w:eastAsia="宋体" w:cs="宋体"/>
              <w:color w:val="000000" w:themeColor="text1"/>
              <w:szCs w:val="28"/>
              <w:highlight w:val="none"/>
              <w14:textFill>
                <w14:solidFill>
                  <w14:schemeClr w14:val="tx1"/>
                </w14:solidFill>
              </w14:textFill>
            </w:rPr>
            <w:t>.</w:t>
          </w:r>
          <w:r>
            <w:rPr>
              <w:rFonts w:hint="eastAsia" w:ascii="宋体" w:hAnsi="宋体" w:eastAsia="宋体" w:cs="宋体"/>
              <w:color w:val="000000" w:themeColor="text1"/>
              <w:szCs w:val="28"/>
              <w:highlight w:val="none"/>
              <w:lang w:val="en-US" w:eastAsia="zh-CN"/>
              <w14:textFill>
                <w14:solidFill>
                  <w14:schemeClr w14:val="tx1"/>
                </w14:solidFill>
              </w14:textFill>
            </w:rPr>
            <w:t>定性评审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_Toc19200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4A1307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_Toc27759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7.</w:t>
          </w:r>
          <w:r>
            <w:rPr>
              <w:rFonts w:hint="eastAsia" w:ascii="宋体" w:hAnsi="宋体" w:eastAsia="宋体" w:cs="宋体"/>
              <w:color w:val="000000" w:themeColor="text1"/>
              <w:szCs w:val="28"/>
              <w:highlight w:val="none"/>
              <w14:textFill>
                <w14:solidFill>
                  <w14:schemeClr w14:val="tx1"/>
                </w14:solidFill>
              </w14:textFill>
            </w:rPr>
            <w:t>提交评标报告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_Toc27759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811D23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_Toc16557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8.评标报告的审查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_Toc16557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4DC0EB1">
          <w:pPr>
            <w:pStyle w:val="21"/>
            <w:tabs>
              <w:tab w:val="right" w:leader="dot" w:pos="893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_Toc18311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9</w:t>
          </w:r>
          <w:r>
            <w:rPr>
              <w:rFonts w:hint="eastAsia" w:ascii="宋体" w:hAnsi="宋体" w:eastAsia="宋体" w:cs="宋体"/>
              <w:color w:val="000000" w:themeColor="text1"/>
              <w:szCs w:val="28"/>
              <w:highlight w:val="none"/>
              <w14:textFill>
                <w14:solidFill>
                  <w14:schemeClr w14:val="tx1"/>
                </w14:solidFill>
              </w14:textFill>
            </w:rPr>
            <w:t>.附则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_Toc18311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3EA85CD">
          <w:pPr>
            <w:pStyle w:val="34"/>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_Toc24750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 xml:space="preserve">第四章 </w:t>
          </w:r>
          <w:r>
            <w:rPr>
              <w:rFonts w:hint="eastAsia" w:ascii="黑体" w:hAnsi="黑体" w:eastAsia="黑体"/>
              <w:color w:val="000000" w:themeColor="text1"/>
              <w:szCs w:val="44"/>
              <w:highlight w:val="none"/>
              <w:lang w:eastAsia="zh-CN"/>
              <w14:textFill>
                <w14:solidFill>
                  <w14:schemeClr w14:val="tx1"/>
                </w14:solidFill>
              </w14:textFill>
            </w:rPr>
            <w:t>定标方案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1E44FF1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_Toc8903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val="0"/>
              <w:color w:val="000000" w:themeColor="text1"/>
              <w:szCs w:val="28"/>
              <w:highlight w:val="none"/>
              <w:lang w:val="en-US" w:eastAsia="zh-CN"/>
              <w14:textFill>
                <w14:solidFill>
                  <w14:schemeClr w14:val="tx1"/>
                </w14:solidFill>
              </w14:textFill>
            </w:rPr>
            <w:t>第四章  定标方案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_Toc8903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F9D2AC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_Toc12226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定标</w:t>
          </w:r>
          <w:r>
            <w:rPr>
              <w:rFonts w:hint="eastAsia" w:ascii="宋体" w:hAnsi="宋体" w:eastAsia="宋体" w:cs="宋体"/>
              <w:color w:val="000000" w:themeColor="text1"/>
              <w:szCs w:val="21"/>
              <w:highlight w:val="none"/>
              <w:lang w:val="en-US" w:eastAsia="zh-CN"/>
              <w14:textFill>
                <w14:solidFill>
                  <w14:schemeClr w14:val="tx1"/>
                </w14:solidFill>
              </w14:textFill>
            </w:rPr>
            <w:t>方案</w:t>
          </w:r>
          <w:r>
            <w:rPr>
              <w:rFonts w:hint="eastAsia" w:ascii="宋体" w:hAnsi="宋体" w:eastAsia="宋体" w:cs="宋体"/>
              <w:color w:val="000000" w:themeColor="text1"/>
              <w:szCs w:val="21"/>
              <w:highlight w:val="none"/>
              <w14:textFill>
                <w14:solidFill>
                  <w14:schemeClr w14:val="tx1"/>
                </w14:solidFill>
              </w14:textFill>
            </w:rPr>
            <w:t>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_Toc12226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DBB2B5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_Toc23344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1"/>
              <w:highlight w:val="none"/>
              <w:lang w:val="en-US" w:eastAsia="zh-CN" w:bidi="ar-SA"/>
              <w14:textFill>
                <w14:solidFill>
                  <w14:schemeClr w14:val="tx1"/>
                </w14:solidFill>
              </w14:textFill>
            </w:rPr>
            <w:t>定标方案附件：</w:t>
          </w:r>
          <w:r>
            <w:rPr>
              <w:rFonts w:hint="eastAsia" w:ascii="宋体" w:hAnsi="宋体" w:eastAsia="宋体" w:cs="宋体"/>
              <w:color w:val="000000" w:themeColor="text1"/>
              <w:kern w:val="1"/>
              <w:szCs w:val="21"/>
              <w:highlight w:val="none"/>
              <w:lang w:val="en-US" w:eastAsia="zh-CN"/>
              <w14:textFill>
                <w14:solidFill>
                  <w14:schemeClr w14:val="tx1"/>
                </w14:solidFill>
              </w14:textFill>
            </w:rPr>
            <w:t>报价要素评审标准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_Toc23344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DADD56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_Toc15671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zh-CN" w:eastAsia="zh-CN"/>
              <w14:textFill>
                <w14:solidFill>
                  <w14:schemeClr w14:val="tx1"/>
                </w14:solidFill>
              </w14:textFill>
            </w:rPr>
            <w:t>定标</w:t>
          </w:r>
          <w:r>
            <w:rPr>
              <w:rFonts w:hint="eastAsia" w:ascii="宋体" w:hAnsi="宋体" w:eastAsia="宋体" w:cs="宋体"/>
              <w:color w:val="000000" w:themeColor="text1"/>
              <w:szCs w:val="28"/>
              <w:highlight w:val="none"/>
              <w:lang w:val="en-US" w:eastAsia="zh-CN"/>
              <w14:textFill>
                <w14:solidFill>
                  <w14:schemeClr w14:val="tx1"/>
                </w14:solidFill>
              </w14:textFill>
            </w:rPr>
            <w:t>方案</w:t>
          </w:r>
          <w:r>
            <w:rPr>
              <w:rFonts w:hint="eastAsia" w:ascii="宋体" w:hAnsi="宋体" w:eastAsia="宋体" w:cs="宋体"/>
              <w:color w:val="000000" w:themeColor="text1"/>
              <w:szCs w:val="28"/>
              <w:highlight w:val="none"/>
              <w:lang w:val="zh-CN" w:eastAsia="zh-CN"/>
              <w14:textFill>
                <w14:solidFill>
                  <w14:schemeClr w14:val="tx1"/>
                </w14:solidFill>
              </w14:textFill>
            </w:rPr>
            <w:t>正文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_Toc15671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9BAAD4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_Toc6115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1.</w:t>
          </w:r>
          <w:r>
            <w:rPr>
              <w:rFonts w:hint="eastAsia" w:ascii="宋体" w:hAnsi="宋体" w:eastAsia="宋体" w:cs="宋体"/>
              <w:color w:val="000000" w:themeColor="text1"/>
              <w:kern w:val="1"/>
              <w:szCs w:val="28"/>
              <w:highlight w:val="none"/>
              <w:lang w:val="en-US" w:eastAsia="zh-CN"/>
              <w14:textFill>
                <w14:solidFill>
                  <w14:schemeClr w14:val="tx1"/>
                </w14:solidFill>
              </w14:textFill>
            </w:rPr>
            <w:t>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_Toc6115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C41734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_Toc15499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en-US" w:eastAsia="zh-CN"/>
              <w14:textFill>
                <w14:solidFill>
                  <w14:schemeClr w14:val="tx1"/>
                </w14:solidFill>
              </w14:textFill>
            </w:rPr>
            <w:t>2.定标程序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_Toc15499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9BF995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_Toc19388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3.</w:t>
          </w:r>
          <w:r>
            <w:rPr>
              <w:rFonts w:hint="eastAsia" w:ascii="宋体" w:hAnsi="宋体" w:eastAsia="宋体" w:cs="宋体"/>
              <w:color w:val="000000" w:themeColor="text1"/>
              <w:kern w:val="1"/>
              <w:szCs w:val="28"/>
              <w:highlight w:val="none"/>
              <w:lang w:val="en-US" w:eastAsia="zh-CN"/>
              <w14:textFill>
                <w14:solidFill>
                  <w14:schemeClr w14:val="tx1"/>
                </w14:solidFill>
              </w14:textFill>
            </w:rPr>
            <w:t>清标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_Toc19388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6CEC46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_Toc5407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en-US" w:eastAsia="zh-CN"/>
              <w14:textFill>
                <w14:solidFill>
                  <w14:schemeClr w14:val="tx1"/>
                </w14:solidFill>
              </w14:textFill>
            </w:rPr>
            <w:t>4</w:t>
          </w:r>
          <w:r>
            <w:rPr>
              <w:rFonts w:hint="eastAsia" w:ascii="宋体" w:hAnsi="宋体" w:eastAsia="宋体" w:cs="宋体"/>
              <w:color w:val="000000" w:themeColor="text1"/>
              <w:kern w:val="1"/>
              <w:szCs w:val="28"/>
              <w:highlight w:val="none"/>
              <w:lang w:val="zh-CN"/>
              <w14:textFill>
                <w14:solidFill>
                  <w14:schemeClr w14:val="tx1"/>
                </w14:solidFill>
              </w14:textFill>
            </w:rPr>
            <w:t>.</w:t>
          </w:r>
          <w:r>
            <w:rPr>
              <w:rFonts w:hint="eastAsia" w:ascii="宋体" w:hAnsi="宋体" w:eastAsia="宋体" w:cs="宋体"/>
              <w:color w:val="000000" w:themeColor="text1"/>
              <w:kern w:val="1"/>
              <w:szCs w:val="28"/>
              <w:highlight w:val="none"/>
              <w:lang w:val="en-US" w:eastAsia="zh-CN"/>
              <w14:textFill>
                <w14:solidFill>
                  <w14:schemeClr w14:val="tx1"/>
                </w14:solidFill>
              </w14:textFill>
            </w:rPr>
            <w:t>定标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_Toc5407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B1B8CF5">
          <w:pPr>
            <w:pStyle w:val="21"/>
            <w:tabs>
              <w:tab w:val="right" w:leader="dot" w:pos="893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_Toc18628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en-US" w:eastAsia="zh-CN"/>
              <w14:textFill>
                <w14:solidFill>
                  <w14:schemeClr w14:val="tx1"/>
                </w14:solidFill>
              </w14:textFill>
            </w:rPr>
            <w:t>5</w:t>
          </w:r>
          <w:r>
            <w:rPr>
              <w:rFonts w:hint="eastAsia" w:ascii="宋体" w:hAnsi="宋体" w:eastAsia="宋体" w:cs="宋体"/>
              <w:color w:val="000000" w:themeColor="text1"/>
              <w:kern w:val="1"/>
              <w:szCs w:val="28"/>
              <w:highlight w:val="none"/>
              <w:lang w:val="en-US"/>
              <w14:textFill>
                <w14:solidFill>
                  <w14:schemeClr w14:val="tx1"/>
                </w14:solidFill>
              </w14:textFill>
            </w:rPr>
            <w:t>.重新定标</w:t>
          </w:r>
          <w:r>
            <w:rPr>
              <w:rFonts w:hint="eastAsia" w:ascii="宋体" w:hAnsi="宋体" w:eastAsia="宋体" w:cs="宋体"/>
              <w:color w:val="000000" w:themeColor="text1"/>
              <w:kern w:val="1"/>
              <w:szCs w:val="28"/>
              <w:highlight w:val="none"/>
              <w:lang w:val="en-US" w:eastAsia="zh-CN"/>
              <w14:textFill>
                <w14:solidFill>
                  <w14:schemeClr w14:val="tx1"/>
                </w14:solidFill>
              </w14:textFill>
            </w:rPr>
            <w:t>与重新招标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_Toc18628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B7196A8">
          <w:pPr>
            <w:pStyle w:val="34"/>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_Toc24664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第五章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2070E09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_Toc7241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合同协议书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_Toc7241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B52CD0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_Toc20957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一、工程概况</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_Toc20957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D8C68E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_Toc24731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二、工程范围、阶段与服务内容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_Toc24731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65857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_Toc8930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三、服务期限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_Toc8930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055FD0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_Toc22970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四、合同价格形式与签约合同价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_Toc22970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CCABB2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_Toc8343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五、发包人代表与设计人项目负责人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_Toc8343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4EE67B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_Toc7297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六、合同文件构成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_Toc7297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3DF4EC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_Toc16177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七、承诺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_Toc16177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19B9587">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_Toc15370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八、词语含义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_Toc15370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29A0A5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_Toc24110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九、签订地点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_Toc24110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0F59B6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_Toc5992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十、补充协议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_Toc5992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F2B03B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_Toc4029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十一、合同生效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_Toc4029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F30460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_Toc29153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十二、合同份数</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_Toc29153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C7217A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_Toc1146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通用合同条款（适用</w:t>
          </w:r>
          <w:r>
            <w:rPr>
              <w:rFonts w:hint="eastAsia" w:ascii="宋体" w:hAnsi="宋体" w:eastAsia="宋体" w:cs="宋体"/>
              <w:color w:val="000000" w:themeColor="text1"/>
              <w:szCs w:val="28"/>
              <w:highlight w:val="none"/>
              <w:lang w:val="en-US" w:eastAsia="zh-CN"/>
              <w14:textFill>
                <w14:solidFill>
                  <w14:schemeClr w14:val="tx1"/>
                </w14:solidFill>
              </w14:textFill>
            </w:rPr>
            <w:t>于</w:t>
          </w:r>
          <w:r>
            <w:rPr>
              <w:rFonts w:hint="eastAsia" w:ascii="宋体" w:hAnsi="宋体" w:eastAsia="宋体" w:cs="宋体"/>
              <w:color w:val="000000" w:themeColor="text1"/>
              <w:szCs w:val="28"/>
              <w:highlight w:val="none"/>
              <w14:textFill>
                <w14:solidFill>
                  <w14:schemeClr w14:val="tx1"/>
                </w14:solidFill>
              </w14:textFill>
            </w:rPr>
            <w:t>房屋建筑工程）</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_Toc1146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950BB1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_Toc4689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通用合同条款（适用</w:t>
          </w:r>
          <w:r>
            <w:rPr>
              <w:rFonts w:hint="eastAsia" w:ascii="宋体" w:hAnsi="宋体" w:eastAsia="宋体" w:cs="宋体"/>
              <w:color w:val="000000" w:themeColor="text1"/>
              <w:szCs w:val="28"/>
              <w:highlight w:val="none"/>
              <w:lang w:val="en-US" w:eastAsia="zh-CN"/>
              <w14:textFill>
                <w14:solidFill>
                  <w14:schemeClr w14:val="tx1"/>
                </w14:solidFill>
              </w14:textFill>
            </w:rPr>
            <w:t>于</w:t>
          </w:r>
          <w:r>
            <w:rPr>
              <w:rFonts w:hint="eastAsia" w:ascii="宋体" w:hAnsi="宋体" w:eastAsia="宋体" w:cs="宋体"/>
              <w:color w:val="000000" w:themeColor="text1"/>
              <w:szCs w:val="28"/>
              <w:highlight w:val="none"/>
              <w14:textFill>
                <w14:solidFill>
                  <w14:schemeClr w14:val="tx1"/>
                </w14:solidFill>
              </w14:textFill>
            </w:rPr>
            <w:t>市政基础设施工程）</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_Toc4689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B8F3BA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_Toc1492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专用合同条款（适用</w:t>
          </w:r>
          <w:r>
            <w:rPr>
              <w:rFonts w:hint="eastAsia" w:ascii="宋体" w:hAnsi="宋体" w:eastAsia="宋体" w:cs="宋体"/>
              <w:color w:val="000000" w:themeColor="text1"/>
              <w:szCs w:val="28"/>
              <w:highlight w:val="none"/>
              <w:lang w:val="en-US" w:eastAsia="zh-CN"/>
              <w14:textFill>
                <w14:solidFill>
                  <w14:schemeClr w14:val="tx1"/>
                </w14:solidFill>
              </w14:textFill>
            </w:rPr>
            <w:t>于</w:t>
          </w:r>
          <w:r>
            <w:rPr>
              <w:rFonts w:hint="eastAsia" w:ascii="宋体" w:hAnsi="宋体" w:eastAsia="宋体" w:cs="宋体"/>
              <w:color w:val="000000" w:themeColor="text1"/>
              <w:szCs w:val="28"/>
              <w:highlight w:val="none"/>
              <w14:textFill>
                <w14:solidFill>
                  <w14:schemeClr w14:val="tx1"/>
                </w14:solidFill>
              </w14:textFill>
            </w:rPr>
            <w:t>房屋建筑工程）</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_Toc1492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7E5E4F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_Toc19045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1.一般约定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_Toc19045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AF8319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_Toc31959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2.发包人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_Toc31959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AD9229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_Toc3264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3.设计人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01B8B4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_Toc12347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5.工程设计要求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_Toc12347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EBBDC0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_Toc12627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6.工程设计进度与周期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_Toc12627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0CCE37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_Toc31712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7.工程设计文件交付</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_Toc31712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B49E03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_Toc16749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8.工程设计文件审查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_Toc16749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A79852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_Toc5400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9.施工现场配合服务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_Toc5400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E986DD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_Toc12622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10.合同价款与支付</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_Toc12622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5D3401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_Toc19066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11.工程设计变更与索赔</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_Toc19066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ADCDBC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_Toc23357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12.专业责任与保险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_Toc23357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D298AA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_Toc25359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13.知识产权</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_Toc25359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3CD00C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_Toc28791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14.违约责任</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_Toc28791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16FE78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_Toc8213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15.不可抗力</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_Toc8213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88FD33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_Toc30320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16.合同解除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_Toc30320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8E6205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_Toc15788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17.争议解决</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_Toc15788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895DD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_Toc29230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18.其他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_Toc29230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FA5041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_Toc16924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专用合同条款（适用</w:t>
          </w:r>
          <w:r>
            <w:rPr>
              <w:rFonts w:hint="eastAsia" w:ascii="宋体" w:hAnsi="宋体" w:eastAsia="宋体" w:cs="宋体"/>
              <w:color w:val="000000" w:themeColor="text1"/>
              <w:szCs w:val="28"/>
              <w:highlight w:val="none"/>
              <w:lang w:val="en-US" w:eastAsia="zh-CN"/>
              <w14:textFill>
                <w14:solidFill>
                  <w14:schemeClr w14:val="tx1"/>
                </w14:solidFill>
              </w14:textFill>
            </w:rPr>
            <w:t>于</w:t>
          </w:r>
          <w:r>
            <w:rPr>
              <w:rFonts w:hint="eastAsia" w:ascii="宋体" w:hAnsi="宋体" w:eastAsia="宋体" w:cs="宋体"/>
              <w:color w:val="000000" w:themeColor="text1"/>
              <w:szCs w:val="28"/>
              <w:highlight w:val="none"/>
              <w14:textFill>
                <w14:solidFill>
                  <w14:schemeClr w14:val="tx1"/>
                </w14:solidFill>
              </w14:textFill>
            </w:rPr>
            <w:t>市政基础设施工程）</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_Toc16924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64E62A3">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_Toc10497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1.一般约定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_Toc10497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8361A2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_Toc29047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2.发包人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_Toc29047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BB63D9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_Toc23832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3.设计人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_Toc23832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DB6A3F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_Toc21978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5.工程设计要求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_Toc21978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E00C884">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_Toc22672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6.工程设计进度与周期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_Toc22672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37BB53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_Toc27056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7.工程设计文件交付</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_Toc27056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8453A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_Toc2557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8.工程设计文件审查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1FDC1E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_Toc4031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9.施工现场配合服务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_Toc4031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12DD2B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_Toc25963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10.合同价款与支付</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_Toc25963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2C8753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_Toc7873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11.工程设计变更与索赔</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_Toc7873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3D51E9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_Toc13856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12.专业责任与保险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_Toc13856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BA52AB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_Toc3726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13.知识产权</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_Toc3726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85B4FD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_Toc12185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14.违约责任</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_Toc12185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FBF534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_Toc31654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15.不可抗力</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_Toc31654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59197F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_Toc16228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16.合同解除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_Toc16228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7D1315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_Toc7211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17.争议解决</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_Toc7211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0E17FC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_Toc28348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18.其他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_Toc28348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D8530DE">
          <w:pPr>
            <w:pStyle w:val="21"/>
            <w:tabs>
              <w:tab w:val="right" w:leader="dot" w:pos="893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_Toc22922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_Toc22922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B18247D">
          <w:pPr>
            <w:pStyle w:val="29"/>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_Toc23058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163</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5094F910">
          <w:pPr>
            <w:pStyle w:val="34"/>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_Toc7251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第六章 发包人要求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164</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2AB8578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_Toc13809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第六章 发包人要求（适用</w:t>
          </w:r>
          <w:r>
            <w:rPr>
              <w:rFonts w:hint="eastAsia" w:ascii="宋体" w:hAnsi="宋体" w:eastAsia="宋体" w:cs="宋体"/>
              <w:color w:val="000000" w:themeColor="text1"/>
              <w:szCs w:val="28"/>
              <w:highlight w:val="none"/>
              <w:lang w:val="en-US" w:eastAsia="zh-CN"/>
              <w14:textFill>
                <w14:solidFill>
                  <w14:schemeClr w14:val="tx1"/>
                </w14:solidFill>
              </w14:textFill>
            </w:rPr>
            <w:t>于</w:t>
          </w:r>
          <w:r>
            <w:rPr>
              <w:rFonts w:hint="eastAsia" w:ascii="宋体" w:hAnsi="宋体" w:eastAsia="宋体" w:cs="宋体"/>
              <w:color w:val="000000" w:themeColor="text1"/>
              <w:szCs w:val="28"/>
              <w:highlight w:val="none"/>
              <w14:textFill>
                <w14:solidFill>
                  <w14:schemeClr w14:val="tx1"/>
                </w14:solidFill>
              </w14:textFill>
            </w:rPr>
            <w:t>房屋建筑工程）</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_Toc13809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B0C5FA2">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_Toc1060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一、设计要求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_Toc1060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A12907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_Toc21463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二、工程勘察要求（如有时）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_Toc21463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105A08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_Toc21387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三、适用规范标准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_Toc21387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7F188E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_Toc28408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四、技术文件要求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_Toc28408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53D8BB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_Toc22598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五、服务要求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_Toc22598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6F61AF6">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_Toc2060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六、发包人财产清单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_Toc2060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8B44D1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_Toc6742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（一）发包人提供的设备、设施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_Toc6742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5940608">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_Toc4245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（二）发包人提供的资料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_Toc4245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F40A45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_Toc12467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（三）发包人财产使用要求及退还要求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_Toc12467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85DC12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_Toc26938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七、发包人提供的便利条件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_Toc26938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7C7A61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_Toc20651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八、中标人需要自备的工作条件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_Toc20651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54E7C97">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_Toc5173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九、发包人的其他要求：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_Toc5173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3A03CC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_Toc5426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第六章 发包人要求（适用</w:t>
          </w:r>
          <w:r>
            <w:rPr>
              <w:rFonts w:hint="eastAsia" w:ascii="宋体" w:hAnsi="宋体" w:eastAsia="宋体" w:cs="宋体"/>
              <w:color w:val="000000" w:themeColor="text1"/>
              <w:szCs w:val="28"/>
              <w:highlight w:val="none"/>
              <w:lang w:val="en-US" w:eastAsia="zh-CN"/>
              <w14:textFill>
                <w14:solidFill>
                  <w14:schemeClr w14:val="tx1"/>
                </w14:solidFill>
              </w14:textFill>
            </w:rPr>
            <w:t>于</w:t>
          </w:r>
          <w:r>
            <w:rPr>
              <w:rFonts w:hint="eastAsia" w:ascii="宋体" w:hAnsi="宋体" w:eastAsia="宋体" w:cs="宋体"/>
              <w:color w:val="000000" w:themeColor="text1"/>
              <w:szCs w:val="28"/>
              <w:highlight w:val="none"/>
              <w14:textFill>
                <w14:solidFill>
                  <w14:schemeClr w14:val="tx1"/>
                </w14:solidFill>
              </w14:textFill>
            </w:rPr>
            <w:t>市政基础设施工程）</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_Toc5426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433E45F">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_Toc17374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一、设计要求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_Toc17374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A83D65D">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_Toc9638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二、工程勘察要求（如有时）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_Toc9638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C3F80E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_Toc28373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三、适用规范标准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_Toc28373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205241B">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_Toc24544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四、技术文件要求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_Toc24544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A83A23A">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_Toc7785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五、服务要求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_Toc7785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40F5ED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_Toc1918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六、发包人财产清单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_Toc1918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0D6F21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_Toc4384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（一）发包人提供的设备、设施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_Toc4384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4317505">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_Toc19658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（二）发包人提供的资料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_Toc19658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8A3CDD0">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_Toc23179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（三）发包人财产使用要求及退还要求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_Toc23179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47FED91">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_Toc20407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七、发包人提供的便利条件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_Toc20407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5CF379">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_Toc13015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八、中标人需要自备的工作条件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_Toc13015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585F654">
          <w:pPr>
            <w:pStyle w:val="21"/>
            <w:tabs>
              <w:tab w:val="right" w:leader="dot" w:pos="893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_Toc10171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九、发包人的其他要求：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_Toc10171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C327F45">
          <w:pPr>
            <w:pStyle w:val="29"/>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_Toc31665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175</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24B0A54A">
          <w:pPr>
            <w:pStyle w:val="34"/>
            <w:tabs>
              <w:tab w:val="right" w:leader="dot" w:pos="8930"/>
            </w:tabs>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_Toc32665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第七章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176</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14:paraId="4C83B5DE">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_Toc28022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一、资格审查文件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_Toc28022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851845C">
          <w:pPr>
            <w:pStyle w:val="21"/>
            <w:tabs>
              <w:tab w:val="right" w:leader="dot" w:pos="893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_Toc3155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二、商务文件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_Toc3155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7F185E7">
          <w:pPr>
            <w:pStyle w:val="21"/>
            <w:tabs>
              <w:tab w:val="right" w:leader="dot" w:pos="8930"/>
            </w:tabs>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_Toc14029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三、技术文件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_Toc14029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AC9A9DD">
          <w:pPr>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end"/>
          </w:r>
        </w:p>
      </w:sdtContent>
    </w:sdt>
    <w:p w14:paraId="06248B8E">
      <w:pPr>
        <w:jc w:val="center"/>
        <w:rPr>
          <w:rFonts w:ascii="黑体" w:hAnsi="黑体" w:eastAsia="黑体"/>
          <w:b/>
          <w:color w:val="000000" w:themeColor="text1"/>
          <w:sz w:val="32"/>
          <w:szCs w:val="32"/>
          <w:highlight w:val="none"/>
          <w14:textFill>
            <w14:solidFill>
              <w14:schemeClr w14:val="tx1"/>
            </w14:solidFill>
          </w14:textFill>
        </w:rPr>
      </w:pPr>
    </w:p>
    <w:p w14:paraId="44A9873A">
      <w:pPr>
        <w:rPr>
          <w:rFonts w:ascii="黑体" w:hAnsi="黑体" w:eastAsia="黑体"/>
          <w:color w:val="000000" w:themeColor="text1"/>
          <w:sz w:val="32"/>
          <w:szCs w:val="32"/>
          <w:highlight w:val="none"/>
          <w14:textFill>
            <w14:solidFill>
              <w14:schemeClr w14:val="tx1"/>
            </w14:solidFill>
          </w14:textFill>
        </w:rPr>
      </w:pPr>
    </w:p>
    <w:p w14:paraId="78DD719E">
      <w:pPr>
        <w:rPr>
          <w:rFonts w:ascii="黑体" w:hAnsi="黑体" w:eastAsia="黑体"/>
          <w:color w:val="000000" w:themeColor="text1"/>
          <w:sz w:val="32"/>
          <w:szCs w:val="32"/>
          <w:highlight w:val="none"/>
          <w14:textFill>
            <w14:solidFill>
              <w14:schemeClr w14:val="tx1"/>
            </w14:solidFill>
          </w14:textFill>
        </w:rPr>
      </w:pPr>
    </w:p>
    <w:p w14:paraId="54EEABAE">
      <w:pPr>
        <w:rPr>
          <w:rFonts w:ascii="黑体" w:hAnsi="黑体" w:eastAsia="黑体"/>
          <w:color w:val="000000" w:themeColor="text1"/>
          <w:sz w:val="32"/>
          <w:szCs w:val="32"/>
          <w:highlight w:val="none"/>
          <w14:textFill>
            <w14:solidFill>
              <w14:schemeClr w14:val="tx1"/>
            </w14:solidFill>
          </w14:textFill>
        </w:rPr>
      </w:pPr>
    </w:p>
    <w:p w14:paraId="78E25D0C">
      <w:pPr>
        <w:rPr>
          <w:rFonts w:ascii="黑体" w:hAnsi="黑体" w:eastAsia="黑体"/>
          <w:color w:val="000000" w:themeColor="text1"/>
          <w:sz w:val="32"/>
          <w:szCs w:val="32"/>
          <w:highlight w:val="none"/>
          <w14:textFill>
            <w14:solidFill>
              <w14:schemeClr w14:val="tx1"/>
            </w14:solidFill>
          </w14:textFill>
        </w:rPr>
      </w:pPr>
    </w:p>
    <w:p w14:paraId="1222F861">
      <w:pPr>
        <w:rPr>
          <w:rFonts w:ascii="黑体" w:hAnsi="黑体" w:eastAsia="黑体"/>
          <w:color w:val="000000" w:themeColor="text1"/>
          <w:sz w:val="32"/>
          <w:szCs w:val="32"/>
          <w:highlight w:val="none"/>
          <w14:textFill>
            <w14:solidFill>
              <w14:schemeClr w14:val="tx1"/>
            </w14:solidFill>
          </w14:textFill>
        </w:rPr>
      </w:pPr>
    </w:p>
    <w:p w14:paraId="1D5C99A4">
      <w:pPr>
        <w:rPr>
          <w:rFonts w:ascii="黑体" w:hAnsi="黑体" w:eastAsia="黑体"/>
          <w:color w:val="000000" w:themeColor="text1"/>
          <w:sz w:val="32"/>
          <w:szCs w:val="32"/>
          <w:highlight w:val="none"/>
          <w14:textFill>
            <w14:solidFill>
              <w14:schemeClr w14:val="tx1"/>
            </w14:solidFill>
          </w14:textFill>
        </w:rPr>
      </w:pPr>
    </w:p>
    <w:p w14:paraId="3D43B6C3">
      <w:pPr>
        <w:rPr>
          <w:rFonts w:ascii="黑体" w:hAnsi="黑体" w:eastAsia="黑体"/>
          <w:color w:val="000000" w:themeColor="text1"/>
          <w:sz w:val="32"/>
          <w:szCs w:val="32"/>
          <w:highlight w:val="none"/>
          <w14:textFill>
            <w14:solidFill>
              <w14:schemeClr w14:val="tx1"/>
            </w14:solidFill>
          </w14:textFill>
        </w:rPr>
      </w:pPr>
    </w:p>
    <w:p w14:paraId="5C1B5E1E">
      <w:pPr>
        <w:rPr>
          <w:rFonts w:ascii="黑体" w:hAnsi="黑体" w:eastAsia="黑体"/>
          <w:color w:val="000000" w:themeColor="text1"/>
          <w:sz w:val="32"/>
          <w:szCs w:val="32"/>
          <w:highlight w:val="none"/>
          <w14:textFill>
            <w14:solidFill>
              <w14:schemeClr w14:val="tx1"/>
            </w14:solidFill>
          </w14:textFill>
        </w:rPr>
      </w:pPr>
    </w:p>
    <w:p w14:paraId="390549E9">
      <w:pPr>
        <w:rPr>
          <w:rFonts w:ascii="黑体" w:hAnsi="黑体" w:eastAsia="黑体"/>
          <w:color w:val="000000" w:themeColor="text1"/>
          <w:sz w:val="32"/>
          <w:szCs w:val="32"/>
          <w:highlight w:val="none"/>
          <w14:textFill>
            <w14:solidFill>
              <w14:schemeClr w14:val="tx1"/>
            </w14:solidFill>
          </w14:textFill>
        </w:rPr>
      </w:pPr>
    </w:p>
    <w:p w14:paraId="5532D3BC">
      <w:pPr>
        <w:rPr>
          <w:rFonts w:ascii="黑体" w:hAnsi="黑体" w:eastAsia="黑体"/>
          <w:color w:val="000000" w:themeColor="text1"/>
          <w:sz w:val="32"/>
          <w:szCs w:val="32"/>
          <w:highlight w:val="none"/>
          <w14:textFill>
            <w14:solidFill>
              <w14:schemeClr w14:val="tx1"/>
            </w14:solidFill>
          </w14:textFill>
        </w:rPr>
      </w:pPr>
    </w:p>
    <w:p w14:paraId="05C268AA">
      <w:pPr>
        <w:pStyle w:val="2"/>
        <w:spacing w:before="3000"/>
        <w:jc w:val="center"/>
        <w:rPr>
          <w:rFonts w:hint="eastAsia" w:ascii="黑体" w:hAnsi="黑体" w:eastAsia="黑体"/>
          <w:color w:val="000000" w:themeColor="text1"/>
          <w:highlight w:val="none"/>
          <w14:textFill>
            <w14:solidFill>
              <w14:schemeClr w14:val="tx1"/>
            </w14:solidFill>
          </w14:textFill>
        </w:rPr>
      </w:pPr>
      <w:bookmarkStart w:id="5" w:name="_Toc621"/>
      <w:bookmarkStart w:id="6" w:name="_Toc12313"/>
    </w:p>
    <w:p w14:paraId="410A96D7">
      <w:pPr>
        <w:pStyle w:val="2"/>
        <w:spacing w:before="3000"/>
        <w:jc w:val="center"/>
        <w:rPr>
          <w:rFonts w:ascii="黑体" w:hAnsi="黑体" w:eastAsia="黑体"/>
          <w:color w:val="000000" w:themeColor="text1"/>
          <w:highlight w:val="none"/>
          <w14:textFill>
            <w14:solidFill>
              <w14:schemeClr w14:val="tx1"/>
            </w14:solidFill>
          </w14:textFill>
        </w:rPr>
      </w:pPr>
      <w:bookmarkStart w:id="7" w:name="_Toc6050"/>
      <w:r>
        <w:rPr>
          <w:rFonts w:hint="eastAsia" w:ascii="黑体" w:hAnsi="黑体" w:eastAsia="黑体"/>
          <w:color w:val="000000" w:themeColor="text1"/>
          <w:highlight w:val="none"/>
          <w14:textFill>
            <w14:solidFill>
              <w14:schemeClr w14:val="tx1"/>
            </w14:solidFill>
          </w14:textFill>
        </w:rPr>
        <w:t>第一卷</w:t>
      </w:r>
      <w:bookmarkEnd w:id="5"/>
      <w:bookmarkEnd w:id="6"/>
      <w:bookmarkEnd w:id="7"/>
    </w:p>
    <w:p w14:paraId="7C167F2F">
      <w:pPr>
        <w:pStyle w:val="2"/>
        <w:spacing w:before="1440" w:after="120" w:line="360" w:lineRule="auto"/>
        <w:jc w:val="center"/>
        <w:rPr>
          <w:rFonts w:ascii="宋体" w:hAnsi="宋体"/>
          <w:color w:val="000000" w:themeColor="text1"/>
          <w:sz w:val="36"/>
          <w:szCs w:val="36"/>
          <w:highlight w:val="none"/>
          <w14:textFill>
            <w14:solidFill>
              <w14:schemeClr w14:val="tx1"/>
            </w14:solidFill>
          </w14:textFill>
        </w:rPr>
      </w:pPr>
    </w:p>
    <w:p w14:paraId="5E04B746">
      <w:pPr>
        <w:pStyle w:val="2"/>
        <w:spacing w:before="1440" w:after="120" w:line="360" w:lineRule="auto"/>
        <w:jc w:val="center"/>
        <w:rPr>
          <w:rFonts w:ascii="宋体" w:hAnsi="宋体"/>
          <w:color w:val="000000" w:themeColor="text1"/>
          <w:sz w:val="36"/>
          <w:szCs w:val="36"/>
          <w:highlight w:val="none"/>
          <w14:textFill>
            <w14:solidFill>
              <w14:schemeClr w14:val="tx1"/>
            </w14:solidFill>
          </w14:textFill>
        </w:rPr>
      </w:pPr>
    </w:p>
    <w:p w14:paraId="08C2D6E3">
      <w:pPr>
        <w:pStyle w:val="2"/>
        <w:spacing w:before="1440" w:after="120" w:line="360" w:lineRule="auto"/>
        <w:jc w:val="center"/>
        <w:rPr>
          <w:rFonts w:ascii="宋体" w:hAnsi="宋体"/>
          <w:color w:val="000000" w:themeColor="text1"/>
          <w:sz w:val="36"/>
          <w:szCs w:val="36"/>
          <w:highlight w:val="none"/>
          <w14:textFill>
            <w14:solidFill>
              <w14:schemeClr w14:val="tx1"/>
            </w14:solidFill>
          </w14:textFill>
        </w:rPr>
      </w:pPr>
    </w:p>
    <w:p w14:paraId="748CDFA5">
      <w:pPr>
        <w:pStyle w:val="2"/>
        <w:spacing w:before="1440" w:after="120" w:line="360" w:lineRule="auto"/>
        <w:jc w:val="center"/>
        <w:rPr>
          <w:rFonts w:ascii="宋体" w:hAnsi="宋体"/>
          <w:color w:val="000000" w:themeColor="text1"/>
          <w:sz w:val="36"/>
          <w:szCs w:val="36"/>
          <w:highlight w:val="none"/>
          <w14:textFill>
            <w14:solidFill>
              <w14:schemeClr w14:val="tx1"/>
            </w14:solidFill>
          </w14:textFill>
        </w:rPr>
      </w:pPr>
    </w:p>
    <w:p w14:paraId="205C0C24">
      <w:pPr>
        <w:rPr>
          <w:color w:val="000000" w:themeColor="text1"/>
          <w:highlight w:val="none"/>
          <w14:textFill>
            <w14:solidFill>
              <w14:schemeClr w14:val="tx1"/>
            </w14:solidFill>
          </w14:textFill>
        </w:rPr>
      </w:pPr>
    </w:p>
    <w:p w14:paraId="15DC3315">
      <w:pPr>
        <w:rPr>
          <w:color w:val="000000" w:themeColor="text1"/>
          <w:highlight w:val="none"/>
          <w14:textFill>
            <w14:solidFill>
              <w14:schemeClr w14:val="tx1"/>
            </w14:solidFill>
          </w14:textFill>
        </w:rPr>
      </w:pPr>
    </w:p>
    <w:p w14:paraId="26965B94">
      <w:pPr>
        <w:rPr>
          <w:color w:val="000000" w:themeColor="text1"/>
          <w:highlight w:val="none"/>
          <w14:textFill>
            <w14:solidFill>
              <w14:schemeClr w14:val="tx1"/>
            </w14:solidFill>
          </w14:textFill>
        </w:rPr>
      </w:pPr>
    </w:p>
    <w:p w14:paraId="45FC0DBF">
      <w:pPr>
        <w:rPr>
          <w:color w:val="000000" w:themeColor="text1"/>
          <w:highlight w:val="none"/>
          <w14:textFill>
            <w14:solidFill>
              <w14:schemeClr w14:val="tx1"/>
            </w14:solidFill>
          </w14:textFill>
        </w:rPr>
      </w:pPr>
    </w:p>
    <w:p w14:paraId="596817EA">
      <w:pPr>
        <w:rPr>
          <w:color w:val="000000" w:themeColor="text1"/>
          <w:highlight w:val="none"/>
          <w14:textFill>
            <w14:solidFill>
              <w14:schemeClr w14:val="tx1"/>
            </w14:solidFill>
          </w14:textFill>
        </w:rPr>
      </w:pPr>
    </w:p>
    <w:p w14:paraId="6D2B8544">
      <w:pPr>
        <w:rPr>
          <w:color w:val="000000" w:themeColor="text1"/>
          <w:highlight w:val="none"/>
          <w14:textFill>
            <w14:solidFill>
              <w14:schemeClr w14:val="tx1"/>
            </w14:solidFill>
          </w14:textFill>
        </w:rPr>
      </w:pPr>
    </w:p>
    <w:p w14:paraId="15F5DBF5">
      <w:pPr>
        <w:pStyle w:val="3"/>
        <w:spacing w:before="3000" w:line="240" w:lineRule="auto"/>
        <w:jc w:val="center"/>
        <w:rPr>
          <w:rFonts w:ascii="黑体" w:hAnsi="黑体" w:eastAsia="黑体"/>
          <w:b w:val="0"/>
          <w:color w:val="000000" w:themeColor="text1"/>
          <w:sz w:val="44"/>
          <w:szCs w:val="44"/>
          <w:highlight w:val="none"/>
          <w14:textFill>
            <w14:solidFill>
              <w14:schemeClr w14:val="tx1"/>
            </w14:solidFill>
          </w14:textFill>
        </w:rPr>
      </w:pPr>
      <w:bookmarkStart w:id="8" w:name="_Toc9114"/>
      <w:bookmarkStart w:id="9" w:name="_Toc31209"/>
      <w:bookmarkStart w:id="10" w:name="_Toc31113"/>
      <w:r>
        <w:rPr>
          <w:rFonts w:hint="eastAsia" w:ascii="黑体" w:hAnsi="黑体" w:eastAsia="黑体"/>
          <w:b w:val="0"/>
          <w:color w:val="000000" w:themeColor="text1"/>
          <w:sz w:val="44"/>
          <w:szCs w:val="44"/>
          <w:highlight w:val="none"/>
          <w14:textFill>
            <w14:solidFill>
              <w14:schemeClr w14:val="tx1"/>
            </w14:solidFill>
          </w14:textFill>
        </w:rPr>
        <w:t>第一章 招标公告</w:t>
      </w:r>
      <w:bookmarkEnd w:id="0"/>
      <w:bookmarkEnd w:id="1"/>
      <w:r>
        <w:rPr>
          <w:rFonts w:hint="eastAsia" w:ascii="黑体" w:hAnsi="黑体" w:eastAsia="黑体"/>
          <w:b w:val="0"/>
          <w:color w:val="000000" w:themeColor="text1"/>
          <w:sz w:val="44"/>
          <w:szCs w:val="44"/>
          <w:highlight w:val="none"/>
          <w14:textFill>
            <w14:solidFill>
              <w14:schemeClr w14:val="tx1"/>
            </w14:solidFill>
          </w14:textFill>
        </w:rPr>
        <w:t>/投标邀请书</w:t>
      </w:r>
      <w:bookmarkEnd w:id="2"/>
      <w:bookmarkEnd w:id="3"/>
      <w:bookmarkEnd w:id="4"/>
      <w:bookmarkEnd w:id="8"/>
      <w:bookmarkEnd w:id="9"/>
      <w:bookmarkEnd w:id="10"/>
    </w:p>
    <w:p w14:paraId="20F0FF54">
      <w:pPr>
        <w:rPr>
          <w:rFonts w:ascii="宋体" w:hAnsi="宋体"/>
          <w:color w:val="000000" w:themeColor="text1"/>
          <w:highlight w:val="none"/>
          <w14:textFill>
            <w14:solidFill>
              <w14:schemeClr w14:val="tx1"/>
            </w14:solidFill>
          </w14:textFill>
        </w:rPr>
      </w:pPr>
    </w:p>
    <w:p w14:paraId="0CAE7A4A">
      <w:pPr>
        <w:rPr>
          <w:rFonts w:ascii="宋体" w:hAnsi="宋体"/>
          <w:color w:val="000000" w:themeColor="text1"/>
          <w:highlight w:val="none"/>
          <w14:textFill>
            <w14:solidFill>
              <w14:schemeClr w14:val="tx1"/>
            </w14:solidFill>
          </w14:textFill>
        </w:rPr>
      </w:pPr>
    </w:p>
    <w:p w14:paraId="0AB293D4">
      <w:pPr>
        <w:rPr>
          <w:rFonts w:ascii="宋体" w:hAnsi="宋体"/>
          <w:color w:val="000000" w:themeColor="text1"/>
          <w:highlight w:val="none"/>
          <w14:textFill>
            <w14:solidFill>
              <w14:schemeClr w14:val="tx1"/>
            </w14:solidFill>
          </w14:textFill>
        </w:rPr>
      </w:pPr>
    </w:p>
    <w:p w14:paraId="46902E6A">
      <w:pPr>
        <w:rPr>
          <w:rFonts w:ascii="宋体" w:hAnsi="宋体"/>
          <w:color w:val="000000" w:themeColor="text1"/>
          <w:highlight w:val="none"/>
          <w14:textFill>
            <w14:solidFill>
              <w14:schemeClr w14:val="tx1"/>
            </w14:solidFill>
          </w14:textFill>
        </w:rPr>
      </w:pPr>
    </w:p>
    <w:p w14:paraId="771EAF5A">
      <w:pPr>
        <w:rPr>
          <w:rFonts w:ascii="宋体" w:hAnsi="宋体"/>
          <w:color w:val="000000" w:themeColor="text1"/>
          <w:highlight w:val="none"/>
          <w14:textFill>
            <w14:solidFill>
              <w14:schemeClr w14:val="tx1"/>
            </w14:solidFill>
          </w14:textFill>
        </w:rPr>
      </w:pPr>
    </w:p>
    <w:p w14:paraId="4FEDB9F6">
      <w:pPr>
        <w:rPr>
          <w:rFonts w:ascii="宋体" w:hAnsi="宋体"/>
          <w:color w:val="000000" w:themeColor="text1"/>
          <w:highlight w:val="none"/>
          <w14:textFill>
            <w14:solidFill>
              <w14:schemeClr w14:val="tx1"/>
            </w14:solidFill>
          </w14:textFill>
        </w:rPr>
      </w:pPr>
    </w:p>
    <w:p w14:paraId="7C64810C">
      <w:pPr>
        <w:rPr>
          <w:rFonts w:ascii="宋体" w:hAnsi="宋体"/>
          <w:color w:val="000000" w:themeColor="text1"/>
          <w:highlight w:val="none"/>
          <w14:textFill>
            <w14:solidFill>
              <w14:schemeClr w14:val="tx1"/>
            </w14:solidFill>
          </w14:textFill>
        </w:rPr>
      </w:pPr>
    </w:p>
    <w:p w14:paraId="417EB4C7">
      <w:pPr>
        <w:rPr>
          <w:rFonts w:ascii="宋体" w:hAnsi="宋体"/>
          <w:color w:val="000000" w:themeColor="text1"/>
          <w:highlight w:val="none"/>
          <w14:textFill>
            <w14:solidFill>
              <w14:schemeClr w14:val="tx1"/>
            </w14:solidFill>
          </w14:textFill>
        </w:rPr>
      </w:pPr>
    </w:p>
    <w:p w14:paraId="061656A4">
      <w:pPr>
        <w:rPr>
          <w:rFonts w:ascii="宋体" w:hAnsi="宋体"/>
          <w:color w:val="000000" w:themeColor="text1"/>
          <w:highlight w:val="none"/>
          <w14:textFill>
            <w14:solidFill>
              <w14:schemeClr w14:val="tx1"/>
            </w14:solidFill>
          </w14:textFill>
        </w:rPr>
      </w:pPr>
    </w:p>
    <w:p w14:paraId="69CE1A59">
      <w:pPr>
        <w:rPr>
          <w:rFonts w:ascii="宋体" w:hAnsi="宋体"/>
          <w:color w:val="000000" w:themeColor="text1"/>
          <w:highlight w:val="none"/>
          <w14:textFill>
            <w14:solidFill>
              <w14:schemeClr w14:val="tx1"/>
            </w14:solidFill>
          </w14:textFill>
        </w:rPr>
      </w:pPr>
    </w:p>
    <w:p w14:paraId="325F2410">
      <w:pPr>
        <w:rPr>
          <w:rFonts w:ascii="宋体" w:hAnsi="宋体"/>
          <w:color w:val="000000" w:themeColor="text1"/>
          <w:highlight w:val="none"/>
          <w14:textFill>
            <w14:solidFill>
              <w14:schemeClr w14:val="tx1"/>
            </w14:solidFill>
          </w14:textFill>
        </w:rPr>
      </w:pPr>
    </w:p>
    <w:p w14:paraId="39925FE5">
      <w:pPr>
        <w:rPr>
          <w:rFonts w:ascii="宋体" w:hAnsi="宋体"/>
          <w:color w:val="000000" w:themeColor="text1"/>
          <w:highlight w:val="none"/>
          <w14:textFill>
            <w14:solidFill>
              <w14:schemeClr w14:val="tx1"/>
            </w14:solidFill>
          </w14:textFill>
        </w:rPr>
      </w:pPr>
    </w:p>
    <w:p w14:paraId="46453694">
      <w:pPr>
        <w:rPr>
          <w:rFonts w:ascii="宋体" w:hAnsi="宋体"/>
          <w:color w:val="000000" w:themeColor="text1"/>
          <w:highlight w:val="none"/>
          <w14:textFill>
            <w14:solidFill>
              <w14:schemeClr w14:val="tx1"/>
            </w14:solidFill>
          </w14:textFill>
        </w:rPr>
      </w:pPr>
    </w:p>
    <w:p w14:paraId="236F301B">
      <w:pPr>
        <w:rPr>
          <w:rFonts w:ascii="宋体" w:hAnsi="宋体"/>
          <w:color w:val="000000" w:themeColor="text1"/>
          <w:highlight w:val="none"/>
          <w14:textFill>
            <w14:solidFill>
              <w14:schemeClr w14:val="tx1"/>
            </w14:solidFill>
          </w14:textFill>
        </w:rPr>
      </w:pPr>
    </w:p>
    <w:p w14:paraId="79D3FA8A">
      <w:pPr>
        <w:rPr>
          <w:rFonts w:ascii="宋体" w:hAnsi="宋体"/>
          <w:color w:val="000000" w:themeColor="text1"/>
          <w:highlight w:val="none"/>
          <w14:textFill>
            <w14:solidFill>
              <w14:schemeClr w14:val="tx1"/>
            </w14:solidFill>
          </w14:textFill>
        </w:rPr>
      </w:pPr>
    </w:p>
    <w:p w14:paraId="098FA532">
      <w:pPr>
        <w:rPr>
          <w:rFonts w:ascii="宋体" w:hAnsi="宋体"/>
          <w:color w:val="000000" w:themeColor="text1"/>
          <w:highlight w:val="none"/>
          <w14:textFill>
            <w14:solidFill>
              <w14:schemeClr w14:val="tx1"/>
            </w14:solidFill>
          </w14:textFill>
        </w:rPr>
      </w:pPr>
    </w:p>
    <w:p w14:paraId="5CDC92EA">
      <w:pPr>
        <w:rPr>
          <w:rFonts w:ascii="宋体" w:hAnsi="宋体"/>
          <w:color w:val="000000" w:themeColor="text1"/>
          <w:highlight w:val="none"/>
          <w14:textFill>
            <w14:solidFill>
              <w14:schemeClr w14:val="tx1"/>
            </w14:solidFill>
          </w14:textFill>
        </w:rPr>
      </w:pPr>
    </w:p>
    <w:p w14:paraId="27496FE5">
      <w:pPr>
        <w:rPr>
          <w:rFonts w:ascii="宋体" w:hAnsi="宋体"/>
          <w:color w:val="000000" w:themeColor="text1"/>
          <w:highlight w:val="none"/>
          <w14:textFill>
            <w14:solidFill>
              <w14:schemeClr w14:val="tx1"/>
            </w14:solidFill>
          </w14:textFill>
        </w:rPr>
      </w:pPr>
    </w:p>
    <w:p w14:paraId="482B6566">
      <w:pPr>
        <w:rPr>
          <w:rFonts w:ascii="宋体" w:hAnsi="宋体"/>
          <w:color w:val="000000" w:themeColor="text1"/>
          <w:highlight w:val="none"/>
          <w14:textFill>
            <w14:solidFill>
              <w14:schemeClr w14:val="tx1"/>
            </w14:solidFill>
          </w14:textFill>
        </w:rPr>
      </w:pPr>
    </w:p>
    <w:p w14:paraId="3BD56765">
      <w:pPr>
        <w:rPr>
          <w:rFonts w:ascii="宋体" w:hAnsi="宋体"/>
          <w:color w:val="000000" w:themeColor="text1"/>
          <w:highlight w:val="none"/>
          <w14:textFill>
            <w14:solidFill>
              <w14:schemeClr w14:val="tx1"/>
            </w14:solidFill>
          </w14:textFill>
        </w:rPr>
      </w:pPr>
    </w:p>
    <w:p w14:paraId="197A5428">
      <w:pPr>
        <w:rPr>
          <w:rFonts w:ascii="宋体" w:hAnsi="宋体"/>
          <w:color w:val="000000" w:themeColor="text1"/>
          <w:highlight w:val="none"/>
          <w14:textFill>
            <w14:solidFill>
              <w14:schemeClr w14:val="tx1"/>
            </w14:solidFill>
          </w14:textFill>
        </w:rPr>
      </w:pPr>
    </w:p>
    <w:p w14:paraId="78D12069">
      <w:pPr>
        <w:rPr>
          <w:rFonts w:ascii="宋体" w:hAnsi="宋体"/>
          <w:color w:val="000000" w:themeColor="text1"/>
          <w:highlight w:val="none"/>
          <w14:textFill>
            <w14:solidFill>
              <w14:schemeClr w14:val="tx1"/>
            </w14:solidFill>
          </w14:textFill>
        </w:rPr>
      </w:pPr>
    </w:p>
    <w:p w14:paraId="185D3209">
      <w:pPr>
        <w:rPr>
          <w:rFonts w:ascii="宋体" w:hAnsi="宋体"/>
          <w:color w:val="000000" w:themeColor="text1"/>
          <w:highlight w:val="none"/>
          <w14:textFill>
            <w14:solidFill>
              <w14:schemeClr w14:val="tx1"/>
            </w14:solidFill>
          </w14:textFill>
        </w:rPr>
      </w:pPr>
    </w:p>
    <w:p w14:paraId="7C4D00EF">
      <w:pPr>
        <w:rPr>
          <w:rFonts w:ascii="宋体" w:hAnsi="宋体"/>
          <w:color w:val="000000" w:themeColor="text1"/>
          <w:highlight w:val="none"/>
          <w14:textFill>
            <w14:solidFill>
              <w14:schemeClr w14:val="tx1"/>
            </w14:solidFill>
          </w14:textFill>
        </w:rPr>
      </w:pPr>
    </w:p>
    <w:p w14:paraId="1E6890AE">
      <w:pPr>
        <w:rPr>
          <w:rFonts w:ascii="宋体" w:hAnsi="宋体"/>
          <w:color w:val="000000" w:themeColor="text1"/>
          <w:highlight w:val="none"/>
          <w14:textFill>
            <w14:solidFill>
              <w14:schemeClr w14:val="tx1"/>
            </w14:solidFill>
          </w14:textFill>
        </w:rPr>
      </w:pPr>
    </w:p>
    <w:p w14:paraId="739680BE">
      <w:pPr>
        <w:pStyle w:val="3"/>
        <w:jc w:val="center"/>
        <w:rPr>
          <w:rFonts w:ascii="黑体" w:hAnsi="黑体" w:eastAsia="黑体"/>
          <w:b w:val="0"/>
          <w:color w:val="000000" w:themeColor="text1"/>
          <w:sz w:val="28"/>
          <w:szCs w:val="28"/>
          <w:highlight w:val="none"/>
          <w:u w:val="single"/>
          <w14:textFill>
            <w14:solidFill>
              <w14:schemeClr w14:val="tx1"/>
            </w14:solidFill>
          </w14:textFill>
        </w:rPr>
      </w:pPr>
      <w:bookmarkStart w:id="11" w:name="_Toc25745"/>
      <w:bookmarkStart w:id="12" w:name="_Toc12633"/>
      <w:bookmarkStart w:id="13" w:name="_Toc17054"/>
      <w:r>
        <w:rPr>
          <w:rFonts w:hint="eastAsia" w:ascii="黑体" w:hAnsi="黑体" w:eastAsia="黑体"/>
          <w:b w:val="0"/>
          <w:color w:val="000000" w:themeColor="text1"/>
          <w:sz w:val="28"/>
          <w:szCs w:val="28"/>
          <w:highlight w:val="none"/>
          <w14:textFill>
            <w14:solidFill>
              <w14:schemeClr w14:val="tx1"/>
            </w14:solidFill>
          </w14:textFill>
        </w:rPr>
        <w:t>第一章 招标公告</w:t>
      </w:r>
      <w:bookmarkEnd w:id="11"/>
      <w:bookmarkEnd w:id="12"/>
      <w:bookmarkEnd w:id="13"/>
    </w:p>
    <w:p w14:paraId="531DFB71">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4" w:name="_Toc31011"/>
      <w:bookmarkStart w:id="15" w:name="_Toc3345"/>
      <w:bookmarkStart w:id="16" w:name="_Toc20346"/>
      <w:r>
        <w:rPr>
          <w:rFonts w:hint="eastAsia" w:ascii="黑体" w:hAnsi="黑体" w:eastAsia="黑体"/>
          <w:b w:val="0"/>
          <w:color w:val="000000" w:themeColor="text1"/>
          <w:sz w:val="28"/>
          <w:szCs w:val="28"/>
          <w:highlight w:val="none"/>
          <w14:textFill>
            <w14:solidFill>
              <w14:schemeClr w14:val="tx1"/>
            </w14:solidFill>
          </w14:textFill>
        </w:rPr>
        <w:t>1.招标条件</w:t>
      </w:r>
      <w:bookmarkEnd w:id="14"/>
      <w:bookmarkEnd w:id="15"/>
      <w:bookmarkEnd w:id="16"/>
    </w:p>
    <w:p w14:paraId="40D73230">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
      </w:r>
      <w:r>
        <w:rPr>
          <w:rFonts w:hint="eastAsia" w:ascii="宋体" w:hAnsi="宋体"/>
          <w:color w:val="000000" w:themeColor="text1"/>
          <w:sz w:val="21"/>
          <w:szCs w:val="21"/>
          <w:highlight w:val="none"/>
          <w14:textFill>
            <w14:solidFill>
              <w14:schemeClr w14:val="tx1"/>
            </w14:solidFill>
          </w14:textFill>
        </w:rPr>
        <w:t>已由</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
      </w:r>
      <w:r>
        <w:rPr>
          <w:rFonts w:hint="eastAsia" w:ascii="宋体" w:hAnsi="宋体"/>
          <w:color w:val="000000" w:themeColor="text1"/>
          <w:sz w:val="21"/>
          <w:szCs w:val="21"/>
          <w:highlight w:val="none"/>
          <w14:textFill>
            <w14:solidFill>
              <w14:schemeClr w14:val="tx1"/>
            </w14:solidFill>
          </w14:textFill>
        </w:rPr>
        <w:t>以</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
      </w:r>
      <w:r>
        <w:rPr>
          <w:rFonts w:hint="eastAsia" w:ascii="宋体" w:hAnsi="宋体"/>
          <w:color w:val="000000" w:themeColor="text1"/>
          <w:sz w:val="21"/>
          <w:szCs w:val="21"/>
          <w:highlight w:val="none"/>
          <w14:textFill>
            <w14:solidFill>
              <w14:schemeClr w14:val="tx1"/>
            </w14:solidFill>
          </w14:textFill>
        </w:rPr>
        <w:t>批准建设，项目建设单位为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，建设资金来源为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，委托的招标代理单位为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。项目已具备招标条件，现决定对该项目的</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4"/>
      </w:r>
      <w:r>
        <w:rPr>
          <w:rFonts w:hint="eastAsia" w:ascii="宋体" w:hAnsi="宋体"/>
          <w:color w:val="000000" w:themeColor="text1"/>
          <w:sz w:val="21"/>
          <w:szCs w:val="21"/>
          <w:highlight w:val="none"/>
          <w:u w:val="none"/>
          <w:lang w:val="en-US" w:eastAsia="zh-CN"/>
          <w14:textFill>
            <w14:solidFill>
              <w14:schemeClr w14:val="tx1"/>
            </w14:solidFill>
          </w14:textFill>
        </w:rPr>
        <w:t>采用“评定分离”办法</w:t>
      </w:r>
      <w:r>
        <w:rPr>
          <w:rFonts w:hint="eastAsia" w:ascii="宋体" w:hAnsi="宋体"/>
          <w:color w:val="000000" w:themeColor="text1"/>
          <w:sz w:val="21"/>
          <w:szCs w:val="21"/>
          <w:highlight w:val="none"/>
          <w14:textFill>
            <w14:solidFill>
              <w14:schemeClr w14:val="tx1"/>
            </w14:solidFill>
          </w14:textFill>
        </w:rPr>
        <w:t>进行公开招标。</w:t>
      </w:r>
    </w:p>
    <w:p w14:paraId="78F50C0D">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 w:name="_Toc4892"/>
      <w:bookmarkStart w:id="18" w:name="_Toc30557"/>
      <w:bookmarkStart w:id="19" w:name="_Toc8389"/>
      <w:r>
        <w:rPr>
          <w:rFonts w:hint="eastAsia" w:ascii="黑体" w:hAnsi="黑体" w:eastAsia="黑体"/>
          <w:b w:val="0"/>
          <w:color w:val="000000" w:themeColor="text1"/>
          <w:sz w:val="28"/>
          <w:szCs w:val="28"/>
          <w:highlight w:val="none"/>
          <w14:textFill>
            <w14:solidFill>
              <w14:schemeClr w14:val="tx1"/>
            </w14:solidFill>
          </w14:textFill>
        </w:rPr>
        <w:t>2.项目概况与招标范围</w:t>
      </w:r>
      <w:bookmarkEnd w:id="17"/>
      <w:bookmarkEnd w:id="18"/>
      <w:bookmarkEnd w:id="19"/>
    </w:p>
    <w:p w14:paraId="7C966ACD">
      <w:pPr>
        <w:widowControl/>
        <w:tabs>
          <w:tab w:val="left" w:pos="510"/>
        </w:tabs>
        <w:adjustRightInd/>
        <w:spacing w:line="360" w:lineRule="auto"/>
        <w:ind w:firstLine="422" w:firstLineChars="201"/>
        <w:jc w:val="left"/>
        <w:textAlignment w:val="auto"/>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2.1.项目概况</w:t>
      </w:r>
    </w:p>
    <w:p w14:paraId="1392022C">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建设地点：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0060363">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工程建设规模：</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5"/>
      </w:r>
      <w:r>
        <w:rPr>
          <w:rFonts w:hint="eastAsia" w:ascii="宋体" w:hAnsi="宋体"/>
          <w:color w:val="000000" w:themeColor="text1"/>
          <w:sz w:val="21"/>
          <w:szCs w:val="21"/>
          <w:highlight w:val="none"/>
          <w14:textFill>
            <w14:solidFill>
              <w14:schemeClr w14:val="tx1"/>
            </w14:solidFill>
          </w14:textFill>
        </w:rPr>
        <w:t>。</w:t>
      </w:r>
    </w:p>
    <w:p w14:paraId="4EE5AFCD">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投资总额：人民币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万元。其中，工程费用限额：人民币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w:t>
      </w:r>
    </w:p>
    <w:p w14:paraId="1146BFB5">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2.1.4</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最高投标报价限价：设计费最高投标报价限价为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元，发包内容包含勘察的，勘察最高投标报价限价为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p>
    <w:p w14:paraId="401AEE51">
      <w:pPr>
        <w:widowControl/>
        <w:tabs>
          <w:tab w:val="left" w:pos="510"/>
        </w:tabs>
        <w:adjustRightInd/>
        <w:spacing w:line="360" w:lineRule="auto"/>
        <w:ind w:firstLine="422" w:firstLineChars="201"/>
        <w:jc w:val="left"/>
        <w:textAlignment w:val="auto"/>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2.2.招标范围与内容</w:t>
      </w:r>
    </w:p>
    <w:p w14:paraId="52675D36">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工程类别：</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6"/>
      </w:r>
      <w:r>
        <w:rPr>
          <w:rFonts w:hint="eastAsia" w:ascii="宋体" w:hAnsi="宋体"/>
          <w:color w:val="000000" w:themeColor="text1"/>
          <w:sz w:val="21"/>
          <w:szCs w:val="21"/>
          <w:highlight w:val="none"/>
          <w14:textFill>
            <w14:solidFill>
              <w14:schemeClr w14:val="tx1"/>
            </w14:solidFill>
          </w14:textFill>
        </w:rPr>
        <w:t>。</w:t>
      </w:r>
    </w:p>
    <w:p w14:paraId="283B13B8">
      <w:pPr>
        <w:widowControl/>
        <w:tabs>
          <w:tab w:val="left" w:pos="510"/>
        </w:tabs>
        <w:adjustRightInd/>
        <w:spacing w:line="360" w:lineRule="auto"/>
        <w:ind w:firstLine="422" w:firstLineChars="201"/>
        <w:jc w:val="left"/>
        <w:textAlignment w:val="auto"/>
        <w:rPr>
          <w:rFonts w:ascii="宋体" w:hAnsi="宋体"/>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招标类型：</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7"/>
      </w:r>
      <w:r>
        <w:rPr>
          <w:rFonts w:hint="eastAsia" w:ascii="宋体" w:hAnsi="宋体"/>
          <w:color w:val="000000" w:themeColor="text1"/>
          <w:sz w:val="21"/>
          <w:szCs w:val="21"/>
          <w:highlight w:val="none"/>
          <w14:textFill>
            <w14:solidFill>
              <w14:schemeClr w14:val="tx1"/>
            </w14:solidFill>
          </w14:textFill>
        </w:rPr>
        <w:t>。</w:t>
      </w:r>
    </w:p>
    <w:p w14:paraId="4273DD9D">
      <w:pPr>
        <w:widowControl/>
        <w:tabs>
          <w:tab w:val="left" w:pos="510"/>
        </w:tabs>
        <w:adjustRightInd/>
        <w:spacing w:line="360" w:lineRule="auto"/>
        <w:ind w:firstLine="422" w:firstLineChars="201"/>
        <w:jc w:val="left"/>
        <w:textAlignment w:val="auto"/>
        <w:rPr>
          <w:rFonts w:ascii="宋体" w:hAnsi="宋体"/>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招标范围：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8"/>
      </w:r>
      <w:r>
        <w:rPr>
          <w:rFonts w:hint="eastAsia" w:ascii="宋体" w:hAnsi="宋体"/>
          <w:color w:val="000000" w:themeColor="text1"/>
          <w:sz w:val="21"/>
          <w:szCs w:val="21"/>
          <w:highlight w:val="none"/>
          <w14:textFill>
            <w14:solidFill>
              <w14:schemeClr w14:val="tx1"/>
            </w14:solidFill>
          </w14:textFill>
        </w:rPr>
        <w:t>。</w:t>
      </w:r>
    </w:p>
    <w:p w14:paraId="52E03090">
      <w:pPr>
        <w:widowControl/>
        <w:adjustRightInd/>
        <w:spacing w:line="360" w:lineRule="auto"/>
        <w:ind w:firstLine="422" w:firstLineChars="201"/>
        <w:jc w:val="left"/>
        <w:textAlignment w:val="auto"/>
        <w:rPr>
          <w:rFonts w:ascii="宋体" w:hAnsi="宋体"/>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2.2.4</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内容：</w:t>
      </w:r>
    </w:p>
    <w:p w14:paraId="38CF94FB">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（1）设计内容：</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9"/>
      </w:r>
      <w:r>
        <w:rPr>
          <w:rFonts w:hint="eastAsia" w:ascii="宋体" w:hAnsi="宋体"/>
          <w:color w:val="000000" w:themeColor="text1"/>
          <w:sz w:val="21"/>
          <w:szCs w:val="21"/>
          <w:highlight w:val="none"/>
          <w14:textFill>
            <w14:solidFill>
              <w14:schemeClr w14:val="tx1"/>
            </w14:solidFill>
          </w14:textFill>
        </w:rPr>
        <w:t>；其中施工图设计包括</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专业工程。</w:t>
      </w:r>
    </w:p>
    <w:p w14:paraId="2C5CFA60">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（2）工程勘察内容：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75F9CCF">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2.2.5</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本招标项目</w:t>
      </w:r>
      <w:r>
        <w:rPr>
          <w:rFonts w:hint="eastAsia" w:ascii="宋体"/>
          <w:color w:val="000000" w:themeColor="text1"/>
          <w:sz w:val="21"/>
          <w:szCs w:val="21"/>
          <w:highlight w:val="none"/>
          <w:u w:val="single"/>
          <w14:textFill>
            <w14:solidFill>
              <w14:schemeClr w14:val="tx1"/>
            </w14:solidFill>
          </w14:textFill>
        </w:rPr>
        <w:t xml:space="preserve">             </w:t>
      </w:r>
      <w:r>
        <w:rPr>
          <w:rStyle w:val="49"/>
          <w:rFonts w:ascii="宋体" w:hAnsi="宋体" w:eastAsiaTheme="minorEastAsia" w:cstheme="minorBidi"/>
          <w:color w:val="000000" w:themeColor="text1"/>
          <w:sz w:val="21"/>
          <w:szCs w:val="21"/>
          <w:highlight w:val="none"/>
          <w:u w:val="single"/>
          <w14:textFill>
            <w14:solidFill>
              <w14:schemeClr w14:val="tx1"/>
            </w14:solidFill>
          </w14:textFill>
        </w:rPr>
        <w:footnoteReference w:id="10"/>
      </w:r>
      <w:r>
        <w:rPr>
          <w:rFonts w:hint="eastAsia" w:ascii="宋体" w:hAnsi="宋体"/>
          <w:color w:val="000000" w:themeColor="text1"/>
          <w:sz w:val="21"/>
          <w:szCs w:val="21"/>
          <w:highlight w:val="none"/>
          <w14:textFill>
            <w14:solidFill>
              <w14:schemeClr w14:val="tx1"/>
            </w14:solidFill>
          </w14:textFill>
        </w:rPr>
        <w:t>建筑信息模型（</w:t>
      </w:r>
      <w:r>
        <w:rPr>
          <w:rFonts w:ascii="宋体" w:hAnsi="宋体"/>
          <w:color w:val="000000" w:themeColor="text1"/>
          <w:sz w:val="21"/>
          <w:szCs w:val="21"/>
          <w:highlight w:val="none"/>
          <w14:textFill>
            <w14:solidFill>
              <w14:schemeClr w14:val="tx1"/>
            </w14:solidFill>
          </w14:textFill>
        </w:rPr>
        <w:t>BIM</w:t>
      </w:r>
      <w:r>
        <w:rPr>
          <w:rFonts w:hint="eastAsia" w:ascii="宋体" w:hAnsi="宋体"/>
          <w:color w:val="000000" w:themeColor="text1"/>
          <w:sz w:val="21"/>
          <w:szCs w:val="21"/>
          <w:highlight w:val="none"/>
          <w14:textFill>
            <w14:solidFill>
              <w14:schemeClr w14:val="tx1"/>
            </w14:solidFill>
          </w14:textFill>
        </w:rPr>
        <w:t>）技术（以下简称</w:t>
      </w:r>
      <w:r>
        <w:rPr>
          <w:rFonts w:ascii="宋体" w:hAnsi="宋体"/>
          <w:color w:val="000000" w:themeColor="text1"/>
          <w:sz w:val="21"/>
          <w:szCs w:val="21"/>
          <w:highlight w:val="none"/>
          <w14:textFill>
            <w14:solidFill>
              <w14:schemeClr w14:val="tx1"/>
            </w14:solidFill>
          </w14:textFill>
        </w:rPr>
        <w:t>BIM</w:t>
      </w:r>
      <w:r>
        <w:rPr>
          <w:rFonts w:hint="eastAsia" w:ascii="宋体" w:hAnsi="宋体"/>
          <w:color w:val="000000" w:themeColor="text1"/>
          <w:sz w:val="21"/>
          <w:szCs w:val="21"/>
          <w:highlight w:val="none"/>
          <w14:textFill>
            <w14:solidFill>
              <w14:schemeClr w14:val="tx1"/>
            </w14:solidFill>
          </w14:textFill>
        </w:rPr>
        <w:t>技术），应用的范围和内容：包括</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D718CD5">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2.2.6</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标段划分：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16E79C1">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0" w:name="_Toc10819"/>
      <w:bookmarkStart w:id="21" w:name="_Toc24694"/>
      <w:bookmarkStart w:id="22" w:name="_Toc21006"/>
      <w:r>
        <w:rPr>
          <w:rFonts w:hint="eastAsia" w:ascii="黑体" w:hAnsi="黑体" w:eastAsia="黑体"/>
          <w:b w:val="0"/>
          <w:color w:val="000000" w:themeColor="text1"/>
          <w:sz w:val="28"/>
          <w:szCs w:val="28"/>
          <w:highlight w:val="none"/>
          <w14:textFill>
            <w14:solidFill>
              <w14:schemeClr w14:val="tx1"/>
            </w14:solidFill>
          </w14:textFill>
        </w:rPr>
        <w:t>3.投标人资格要求</w:t>
      </w:r>
      <w:bookmarkEnd w:id="20"/>
      <w:bookmarkEnd w:id="21"/>
      <w:bookmarkEnd w:id="22"/>
    </w:p>
    <w:p w14:paraId="7FC4CBE8">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3.1.本招标项目要求投标人具备住房城乡建设行政主管部门核发的有效的</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1"/>
      </w:r>
      <w:r>
        <w:rPr>
          <w:rFonts w:hint="eastAsia" w:ascii="宋体" w:hAnsi="宋体"/>
          <w:color w:val="000000" w:themeColor="text1"/>
          <w:sz w:val="21"/>
          <w:szCs w:val="21"/>
          <w:highlight w:val="none"/>
          <w14:textFill>
            <w14:solidFill>
              <w14:schemeClr w14:val="tx1"/>
            </w14:solidFill>
          </w14:textFill>
        </w:rPr>
        <w:t>资质。</w:t>
      </w:r>
    </w:p>
    <w:p w14:paraId="5DF4D7C3">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3.2.本招标项目</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2"/>
      </w:r>
      <w:r>
        <w:rPr>
          <w:rFonts w:hint="eastAsia" w:ascii="宋体" w:hAnsi="宋体"/>
          <w:color w:val="000000" w:themeColor="text1"/>
          <w:sz w:val="21"/>
          <w:szCs w:val="21"/>
          <w:highlight w:val="none"/>
          <w14:textFill>
            <w14:solidFill>
              <w14:schemeClr w14:val="tx1"/>
            </w14:solidFill>
          </w14:textFill>
        </w:rPr>
        <w:t>联合体投标。发包内容包含勘察的，允许由具有设计、勘察资质的单位组成联合体参加投标；自愿组成联合体的应由具有招标项目相适应的设计资质的单位为联合体牵头人，且各方均应具备其所承担招标项目工作内容的相应资质条件；承担相同工作内容的专业单位组成联合体的，按照资质等级较低的单位确定资质等级。</w:t>
      </w:r>
    </w:p>
    <w:p w14:paraId="51DF2988">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3.3.投标人拟派出担任本招标项目的设计负责人应具备有效的</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3"/>
      </w:r>
      <w:r>
        <w:rPr>
          <w:rFonts w:hint="eastAsia" w:ascii="宋体" w:hAnsi="宋体"/>
          <w:color w:val="000000" w:themeColor="text1"/>
          <w:sz w:val="21"/>
          <w:szCs w:val="21"/>
          <w:highlight w:val="none"/>
          <w14:textFill>
            <w14:solidFill>
              <w14:schemeClr w14:val="tx1"/>
            </w14:solidFill>
          </w14:textFill>
        </w:rPr>
        <w:t>。</w:t>
      </w:r>
    </w:p>
    <w:p w14:paraId="5FE9D685">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3.4.投标人及其拟派出担任本设计项目负责人均应具备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hint="eastAsia" w:ascii="宋体" w:hAnsi="宋体"/>
          <w:color w:val="000000" w:themeColor="text1"/>
          <w:sz w:val="21"/>
          <w:szCs w:val="21"/>
          <w:highlight w:val="none"/>
          <w:u w:val="single"/>
          <w14:textFill>
            <w14:solidFill>
              <w14:schemeClr w14:val="tx1"/>
            </w14:solidFill>
          </w14:textFill>
        </w:rPr>
        <w:footnoteReference w:id="14"/>
      </w:r>
      <w:r>
        <w:rPr>
          <w:rFonts w:hint="eastAsia" w:ascii="宋体" w:hAnsi="宋体"/>
          <w:color w:val="000000" w:themeColor="text1"/>
          <w:sz w:val="21"/>
          <w:szCs w:val="21"/>
          <w:highlight w:val="none"/>
          <w14:textFill>
            <w14:solidFill>
              <w14:schemeClr w14:val="tx1"/>
            </w14:solidFill>
          </w14:textFill>
        </w:rPr>
        <w:t>项类似项目设计业绩（本条仅适用于大型工程设计项目。联合体投标的，类似项目设计业绩必须由牵头人提供）。类似工程业绩是指（下同）：自本招标公告发布之日的前三年内（以施工图审查合格日期为准，不含发布招标公告当日）完成设计的并经施工图审查合格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5"/>
      </w:r>
      <w:r>
        <w:rPr>
          <w:rFonts w:hint="eastAsia" w:ascii="宋体" w:hAnsi="宋体"/>
          <w:color w:val="000000" w:themeColor="text1"/>
          <w:sz w:val="21"/>
          <w:szCs w:val="21"/>
          <w:highlight w:val="none"/>
          <w14:textFill>
            <w14:solidFill>
              <w14:schemeClr w14:val="tx1"/>
            </w14:solidFill>
          </w14:textFill>
        </w:rPr>
        <w:t>。</w:t>
      </w:r>
    </w:p>
    <w:p w14:paraId="4C5B9421">
      <w:pPr>
        <w:widowControl/>
        <w:tabs>
          <w:tab w:val="left" w:pos="510"/>
          <w:tab w:val="left" w:pos="900"/>
          <w:tab w:val="left" w:pos="1100"/>
        </w:tabs>
        <w:adjustRightInd/>
        <w:spacing w:line="360" w:lineRule="auto"/>
        <w:ind w:firstLine="424" w:firstLineChars="202"/>
        <w:jc w:val="left"/>
        <w:textAlignment w:val="auto"/>
        <w:rPr>
          <w:rFonts w:ascii="宋体" w:hAnsi="宋体" w:cs="瀹嬩綋"/>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w:t>
      </w:r>
      <w:r>
        <w:rPr>
          <w:rFonts w:hint="eastAsia" w:ascii="宋体" w:hAnsi="宋体" w:cs="瀹嬩綋"/>
          <w:color w:val="000000" w:themeColor="text1"/>
          <w:sz w:val="21"/>
          <w:szCs w:val="21"/>
          <w:highlight w:val="none"/>
          <w14:textFill>
            <w14:solidFill>
              <w14:schemeClr w14:val="tx1"/>
            </w14:solidFill>
          </w14:textFill>
        </w:rPr>
        <w:t>投标人均可就本招标项目中的所有标段提出投标申请，但招标人允许中标的标段数量为</w:t>
      </w:r>
    </w:p>
    <w:p w14:paraId="39A57691">
      <w:pPr>
        <w:widowControl/>
        <w:tabs>
          <w:tab w:val="left" w:pos="510"/>
          <w:tab w:val="left" w:pos="900"/>
          <w:tab w:val="left" w:pos="1100"/>
        </w:tabs>
        <w:adjustRightInd/>
        <w:spacing w:line="360" w:lineRule="auto"/>
        <w:jc w:val="left"/>
        <w:textAlignment w:val="auto"/>
        <w:rPr>
          <w:rFonts w:ascii="宋体" w:hAnsi="宋体" w:cs="瀹嬩綋"/>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个标段</w:t>
      </w:r>
      <w:r>
        <w:rPr>
          <w:rFonts w:hint="eastAsia" w:ascii="宋体" w:hAnsi="宋体" w:cs="瀹嬩綋"/>
          <w:color w:val="000000" w:themeColor="text1"/>
          <w:sz w:val="21"/>
          <w:szCs w:val="21"/>
          <w:highlight w:val="none"/>
          <w14:textFill>
            <w14:solidFill>
              <w14:schemeClr w14:val="tx1"/>
            </w14:solidFill>
          </w14:textFill>
        </w:rPr>
        <w:t>。</w:t>
      </w:r>
    </w:p>
    <w:p w14:paraId="063CAFA2">
      <w:pPr>
        <w:widowControl/>
        <w:tabs>
          <w:tab w:val="left" w:pos="510"/>
          <w:tab w:val="left" w:pos="900"/>
          <w:tab w:val="left" w:pos="1100"/>
        </w:tabs>
        <w:adjustRightInd/>
        <w:spacing w:line="360" w:lineRule="auto"/>
        <w:ind w:firstLine="405"/>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14:textFill>
            <w14:solidFill>
              <w14:schemeClr w14:val="tx1"/>
            </w14:solidFill>
          </w14:textFill>
        </w:rPr>
        <w:t>3.6.</w:t>
      </w:r>
      <w:r>
        <w:rPr>
          <w:rFonts w:hint="eastAsia"/>
          <w:color w:val="000000" w:themeColor="text1"/>
          <w:sz w:val="21"/>
          <w:szCs w:val="21"/>
          <w:highlight w:val="none"/>
          <w14:textFill>
            <w14:solidFill>
              <w14:schemeClr w14:val="tx1"/>
            </w14:solidFill>
          </w14:textFill>
        </w:rPr>
        <w:t>本招标项目不要求中标人在项目所在地设立分（子）公司，中标人应当依法履行纳税义务。</w:t>
      </w:r>
    </w:p>
    <w:p w14:paraId="01D20528">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3.7.</w:t>
      </w:r>
      <w:r>
        <w:rPr>
          <w:rFonts w:hint="eastAsia" w:ascii="宋体" w:hAnsi="宋体" w:cs="瀹嬩綋"/>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14:textFill>
            <w14:solidFill>
              <w14:schemeClr w14:val="tx1"/>
            </w14:solidFill>
          </w14:textFill>
        </w:rPr>
        <w:t>其他主要人员要求以及资格审查的其他条件要求的具体内容见招标文件。</w:t>
      </w:r>
    </w:p>
    <w:p w14:paraId="6BC2818A">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3.8.本招标项目招标人对投标人的资格审查采用资格后审方式。</w:t>
      </w:r>
    </w:p>
    <w:p w14:paraId="335645BA">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3" w:name="_Toc24060"/>
      <w:bookmarkStart w:id="24" w:name="_Toc26191"/>
      <w:bookmarkStart w:id="25" w:name="_Toc21611"/>
      <w:r>
        <w:rPr>
          <w:rFonts w:hint="eastAsia" w:ascii="黑体" w:hAnsi="黑体" w:eastAsia="黑体"/>
          <w:b w:val="0"/>
          <w:color w:val="000000" w:themeColor="text1"/>
          <w:sz w:val="28"/>
          <w:szCs w:val="28"/>
          <w:highlight w:val="none"/>
          <w14:textFill>
            <w14:solidFill>
              <w14:schemeClr w14:val="tx1"/>
            </w14:solidFill>
          </w14:textFill>
        </w:rPr>
        <w:t>4.技术成果经济补偿</w:t>
      </w:r>
      <w:bookmarkEnd w:id="23"/>
      <w:bookmarkEnd w:id="24"/>
      <w:bookmarkEnd w:id="25"/>
    </w:p>
    <w:p w14:paraId="0436E4CF">
      <w:pPr>
        <w:widowControl/>
        <w:tabs>
          <w:tab w:val="left" w:pos="510"/>
          <w:tab w:val="left" w:pos="900"/>
          <w:tab w:val="left" w:pos="1100"/>
        </w:tabs>
        <w:adjustRightInd/>
        <w:spacing w:line="360" w:lineRule="auto"/>
        <w:ind w:firstLine="422" w:firstLineChars="201"/>
        <w:jc w:val="left"/>
        <w:textAlignment w:val="auto"/>
        <w:rPr>
          <w:rFonts w:ascii="宋体" w:hAnsi="宋体"/>
          <w:b/>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本招标项目</w:t>
      </w:r>
      <w:r>
        <w:rPr>
          <w:rFonts w:ascii="宋体" w:hAnsi="宋体"/>
          <w:color w:val="000000" w:themeColor="text1"/>
          <w:sz w:val="21"/>
          <w:szCs w:val="21"/>
          <w:highlight w:val="none"/>
          <w14:textFill>
            <w14:solidFill>
              <w14:schemeClr w14:val="tx1"/>
            </w14:solidFill>
          </w14:textFill>
        </w:rPr>
        <w:t>对未中标人投标文件中的技术成果</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6"/>
      </w:r>
      <w:r>
        <w:rPr>
          <w:rFonts w:ascii="宋体" w:hAnsi="宋体"/>
          <w:color w:val="000000" w:themeColor="text1"/>
          <w:sz w:val="21"/>
          <w:szCs w:val="21"/>
          <w:highlight w:val="none"/>
          <w14:textFill>
            <w14:solidFill>
              <w14:schemeClr w14:val="tx1"/>
            </w14:solidFill>
          </w14:textFill>
        </w:rPr>
        <w:t>经济补偿。给予</w:t>
      </w:r>
      <w:r>
        <w:rPr>
          <w:rFonts w:ascii="宋体" w:hAnsi="宋体"/>
          <w:color w:val="000000" w:themeColor="text1"/>
          <w:spacing w:val="-3"/>
          <w:sz w:val="21"/>
          <w:szCs w:val="21"/>
          <w:highlight w:val="none"/>
          <w14:textFill>
            <w14:solidFill>
              <w14:schemeClr w14:val="tx1"/>
            </w14:solidFill>
          </w14:textFill>
        </w:rPr>
        <w:t>经</w:t>
      </w:r>
      <w:r>
        <w:rPr>
          <w:rFonts w:ascii="宋体" w:hAnsi="宋体"/>
          <w:color w:val="000000" w:themeColor="text1"/>
          <w:sz w:val="21"/>
          <w:szCs w:val="21"/>
          <w:highlight w:val="none"/>
          <w14:textFill>
            <w14:solidFill>
              <w14:schemeClr w14:val="tx1"/>
            </w14:solidFill>
          </w14:textFill>
        </w:rPr>
        <w:t>济</w:t>
      </w:r>
      <w:r>
        <w:rPr>
          <w:rFonts w:ascii="宋体" w:hAnsi="宋体"/>
          <w:color w:val="000000" w:themeColor="text1"/>
          <w:spacing w:val="-3"/>
          <w:sz w:val="21"/>
          <w:szCs w:val="21"/>
          <w:highlight w:val="none"/>
          <w14:textFill>
            <w14:solidFill>
              <w14:schemeClr w14:val="tx1"/>
            </w14:solidFill>
          </w14:textFill>
        </w:rPr>
        <w:t>补</w:t>
      </w:r>
      <w:r>
        <w:rPr>
          <w:rFonts w:ascii="宋体" w:hAnsi="宋体"/>
          <w:color w:val="000000" w:themeColor="text1"/>
          <w:sz w:val="21"/>
          <w:szCs w:val="21"/>
          <w:highlight w:val="none"/>
          <w14:textFill>
            <w14:solidFill>
              <w14:schemeClr w14:val="tx1"/>
            </w14:solidFill>
          </w14:textFill>
        </w:rPr>
        <w:t>偿的</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招</w:t>
      </w:r>
      <w:r>
        <w:rPr>
          <w:rFonts w:ascii="宋体" w:hAnsi="宋体"/>
          <w:color w:val="000000" w:themeColor="text1"/>
          <w:spacing w:val="-3"/>
          <w:sz w:val="21"/>
          <w:szCs w:val="21"/>
          <w:highlight w:val="none"/>
          <w14:textFill>
            <w14:solidFill>
              <w14:schemeClr w14:val="tx1"/>
            </w14:solidFill>
          </w14:textFill>
        </w:rPr>
        <w:t>标</w:t>
      </w:r>
      <w:r>
        <w:rPr>
          <w:rFonts w:ascii="宋体" w:hAnsi="宋体"/>
          <w:color w:val="000000" w:themeColor="text1"/>
          <w:sz w:val="21"/>
          <w:szCs w:val="21"/>
          <w:highlight w:val="none"/>
          <w14:textFill>
            <w14:solidFill>
              <w14:schemeClr w14:val="tx1"/>
            </w14:solidFill>
          </w14:textFill>
        </w:rPr>
        <w:t>人</w:t>
      </w:r>
      <w:r>
        <w:rPr>
          <w:rFonts w:ascii="宋体" w:hAnsi="宋体"/>
          <w:color w:val="000000" w:themeColor="text1"/>
          <w:spacing w:val="-3"/>
          <w:sz w:val="21"/>
          <w:szCs w:val="21"/>
          <w:highlight w:val="none"/>
          <w14:textFill>
            <w14:solidFill>
              <w14:schemeClr w14:val="tx1"/>
            </w14:solidFill>
          </w14:textFill>
        </w:rPr>
        <w:t>将</w:t>
      </w:r>
      <w:r>
        <w:rPr>
          <w:rFonts w:ascii="宋体" w:hAnsi="宋体"/>
          <w:color w:val="000000" w:themeColor="text1"/>
          <w:sz w:val="21"/>
          <w:szCs w:val="21"/>
          <w:highlight w:val="none"/>
          <w14:textFill>
            <w14:solidFill>
              <w14:schemeClr w14:val="tx1"/>
            </w14:solidFill>
          </w14:textFill>
        </w:rPr>
        <w:t>按</w:t>
      </w:r>
      <w:r>
        <w:rPr>
          <w:rFonts w:hint="eastAsia" w:ascii="宋体" w:hAnsi="宋体"/>
          <w:color w:val="000000" w:themeColor="text1"/>
          <w:sz w:val="21"/>
          <w:szCs w:val="21"/>
          <w:highlight w:val="none"/>
          <w14:textFill>
            <w14:solidFill>
              <w14:schemeClr w14:val="tx1"/>
            </w14:solidFill>
          </w14:textFill>
        </w:rPr>
        <w:t>投标人须知前附表第3</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项</w:t>
      </w:r>
      <w:r>
        <w:rPr>
          <w:rFonts w:ascii="宋体" w:hAnsi="宋体"/>
          <w:color w:val="000000" w:themeColor="text1"/>
          <w:sz w:val="21"/>
          <w:szCs w:val="21"/>
          <w:highlight w:val="none"/>
          <w14:textFill>
            <w14:solidFill>
              <w14:schemeClr w14:val="tx1"/>
            </w14:solidFill>
          </w14:textFill>
        </w:rPr>
        <w:t>标</w:t>
      </w:r>
      <w:r>
        <w:rPr>
          <w:rFonts w:ascii="宋体" w:hAnsi="宋体"/>
          <w:color w:val="000000" w:themeColor="text1"/>
          <w:spacing w:val="-3"/>
          <w:sz w:val="21"/>
          <w:szCs w:val="21"/>
          <w:highlight w:val="none"/>
          <w14:textFill>
            <w14:solidFill>
              <w14:schemeClr w14:val="tx1"/>
            </w14:solidFill>
          </w14:textFill>
        </w:rPr>
        <w:t>准</w:t>
      </w:r>
      <w:r>
        <w:rPr>
          <w:rFonts w:ascii="宋体" w:hAnsi="宋体"/>
          <w:color w:val="000000" w:themeColor="text1"/>
          <w:sz w:val="21"/>
          <w:szCs w:val="21"/>
          <w:highlight w:val="none"/>
          <w14:textFill>
            <w14:solidFill>
              <w14:schemeClr w14:val="tx1"/>
            </w14:solidFill>
          </w14:textFill>
        </w:rPr>
        <w:t>支</w:t>
      </w:r>
      <w:r>
        <w:rPr>
          <w:rFonts w:ascii="宋体" w:hAnsi="宋体"/>
          <w:color w:val="000000" w:themeColor="text1"/>
          <w:spacing w:val="-3"/>
          <w:sz w:val="21"/>
          <w:szCs w:val="21"/>
          <w:highlight w:val="none"/>
          <w14:textFill>
            <w14:solidFill>
              <w14:schemeClr w14:val="tx1"/>
            </w14:solidFill>
          </w14:textFill>
        </w:rPr>
        <w:t>付</w:t>
      </w:r>
      <w:r>
        <w:rPr>
          <w:rFonts w:ascii="宋体" w:hAnsi="宋体"/>
          <w:color w:val="000000" w:themeColor="text1"/>
          <w:sz w:val="21"/>
          <w:szCs w:val="21"/>
          <w:highlight w:val="none"/>
          <w14:textFill>
            <w14:solidFill>
              <w14:schemeClr w14:val="tx1"/>
            </w14:solidFill>
          </w14:textFill>
        </w:rPr>
        <w:t>经</w:t>
      </w:r>
      <w:r>
        <w:rPr>
          <w:rFonts w:ascii="宋体" w:hAnsi="宋体"/>
          <w:color w:val="000000" w:themeColor="text1"/>
          <w:spacing w:val="-3"/>
          <w:sz w:val="21"/>
          <w:szCs w:val="21"/>
          <w:highlight w:val="none"/>
          <w14:textFill>
            <w14:solidFill>
              <w14:schemeClr w14:val="tx1"/>
            </w14:solidFill>
          </w14:textFill>
        </w:rPr>
        <w:t>济</w:t>
      </w:r>
      <w:r>
        <w:rPr>
          <w:rFonts w:ascii="宋体" w:hAnsi="宋体"/>
          <w:color w:val="000000" w:themeColor="text1"/>
          <w:sz w:val="21"/>
          <w:szCs w:val="21"/>
          <w:highlight w:val="none"/>
          <w14:textFill>
            <w14:solidFill>
              <w14:schemeClr w14:val="tx1"/>
            </w14:solidFill>
          </w14:textFill>
        </w:rPr>
        <w:t>补</w:t>
      </w:r>
      <w:r>
        <w:rPr>
          <w:rFonts w:ascii="宋体" w:hAnsi="宋体"/>
          <w:color w:val="000000" w:themeColor="text1"/>
          <w:spacing w:val="-3"/>
          <w:sz w:val="21"/>
          <w:szCs w:val="21"/>
          <w:highlight w:val="none"/>
          <w14:textFill>
            <w14:solidFill>
              <w14:schemeClr w14:val="tx1"/>
            </w14:solidFill>
          </w14:textFill>
        </w:rPr>
        <w:t>偿</w:t>
      </w:r>
      <w:r>
        <w:rPr>
          <w:rFonts w:ascii="宋体" w:hAnsi="宋体"/>
          <w:color w:val="000000" w:themeColor="text1"/>
          <w:sz w:val="21"/>
          <w:szCs w:val="21"/>
          <w:highlight w:val="none"/>
          <w14:textFill>
            <w14:solidFill>
              <w14:schemeClr w14:val="tx1"/>
            </w14:solidFill>
          </w14:textFill>
        </w:rPr>
        <w:t>费</w:t>
      </w:r>
      <w:r>
        <w:rPr>
          <w:rFonts w:hint="eastAsia" w:ascii="宋体" w:hAnsi="宋体"/>
          <w:color w:val="000000" w:themeColor="text1"/>
          <w:sz w:val="21"/>
          <w:szCs w:val="21"/>
          <w:highlight w:val="none"/>
          <w14:textFill>
            <w14:solidFill>
              <w14:schemeClr w14:val="tx1"/>
            </w14:solidFill>
          </w14:textFill>
        </w:rPr>
        <w:t>。</w:t>
      </w:r>
    </w:p>
    <w:p w14:paraId="2C13ABDC">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6" w:name="_Toc2998"/>
      <w:bookmarkStart w:id="27" w:name="_Toc3902"/>
      <w:bookmarkStart w:id="28" w:name="_Toc1215"/>
      <w:r>
        <w:rPr>
          <w:rFonts w:hint="eastAsia" w:ascii="黑体" w:hAnsi="黑体" w:eastAsia="黑体"/>
          <w:b w:val="0"/>
          <w:color w:val="000000" w:themeColor="text1"/>
          <w:sz w:val="28"/>
          <w:szCs w:val="28"/>
          <w:highlight w:val="none"/>
          <w14:textFill>
            <w14:solidFill>
              <w14:schemeClr w14:val="tx1"/>
            </w14:solidFill>
          </w14:textFill>
        </w:rPr>
        <w:t>5.招标文件的获取</w:t>
      </w:r>
      <w:bookmarkEnd w:id="26"/>
      <w:bookmarkEnd w:id="27"/>
      <w:bookmarkEnd w:id="28"/>
    </w:p>
    <w:p w14:paraId="34C53A2C">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凡有意参加投标者，请于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日，每天上午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秒，下午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秒（北京时间，下同），通过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7"/>
      </w:r>
      <w:r>
        <w:rPr>
          <w:rFonts w:hint="eastAsia" w:ascii="宋体" w:hAnsi="宋体"/>
          <w:color w:val="000000" w:themeColor="text1"/>
          <w:sz w:val="21"/>
          <w:szCs w:val="21"/>
          <w:highlight w:val="none"/>
          <w14:textFill>
            <w14:solidFill>
              <w14:schemeClr w14:val="tx1"/>
            </w14:solidFill>
          </w14:textFill>
        </w:rPr>
        <w:t>采用无记名方式免费下载招标文件。</w:t>
      </w:r>
      <w:r>
        <w:rPr>
          <w:rFonts w:hint="eastAsia" w:ascii="宋体" w:hAnsi="宋体" w:cs="瀹嬩綋"/>
          <w:color w:val="000000" w:themeColor="text1"/>
          <w:sz w:val="21"/>
          <w:szCs w:val="21"/>
          <w:highlight w:val="none"/>
          <w14:textFill>
            <w14:solidFill>
              <w14:schemeClr w14:val="tx1"/>
            </w14:solidFill>
          </w14:textFill>
        </w:rPr>
        <w:t>本招标项目电子招标文件使用</w:t>
      </w:r>
      <w:r>
        <w:rPr>
          <w:rFonts w:hint="eastAsia" w:ascii="宋体" w:hAnsi="宋体" w:cs="瀹嬩綋"/>
          <w:color w:val="000000" w:themeColor="text1"/>
          <w:sz w:val="21"/>
          <w:szCs w:val="21"/>
          <w:highlight w:val="none"/>
          <w:u w:val="single"/>
          <w14:textFill>
            <w14:solidFill>
              <w14:schemeClr w14:val="tx1"/>
            </w14:solidFill>
          </w14:textFill>
        </w:rPr>
        <w:t xml:space="preserve">            </w:t>
      </w:r>
      <w:r>
        <w:rPr>
          <w:rFonts w:hint="eastAsia" w:ascii="宋体" w:hAnsi="宋体" w:cs="瀹嬩綋"/>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瀹嬩綋"/>
          <w:color w:val="000000" w:themeColor="text1"/>
          <w:sz w:val="21"/>
          <w:szCs w:val="21"/>
          <w:highlight w:val="none"/>
          <w:u w:val="single"/>
          <w14:textFill>
            <w14:solidFill>
              <w14:schemeClr w14:val="tx1"/>
            </w14:solidFill>
          </w14:textFill>
        </w:rPr>
        <w:t xml:space="preserve">             </w:t>
      </w:r>
      <w:r>
        <w:rPr>
          <w:rStyle w:val="49"/>
          <w:rFonts w:ascii="宋体" w:hAnsi="宋体" w:cs="瀹嬩綋"/>
          <w:color w:val="000000" w:themeColor="text1"/>
          <w:sz w:val="21"/>
          <w:szCs w:val="21"/>
          <w:highlight w:val="none"/>
          <w:u w:val="single"/>
          <w14:textFill>
            <w14:solidFill>
              <w14:schemeClr w14:val="tx1"/>
            </w14:solidFill>
          </w14:textFill>
        </w:rPr>
        <w:footnoteReference w:id="18"/>
      </w:r>
      <w:r>
        <w:rPr>
          <w:rFonts w:hint="eastAsia" w:ascii="宋体" w:hAnsi="宋体" w:cs="瀹嬩綋"/>
          <w:color w:val="000000" w:themeColor="text1"/>
          <w:sz w:val="21"/>
          <w:szCs w:val="21"/>
          <w:highlight w:val="none"/>
          <w14:textFill>
            <w14:solidFill>
              <w14:schemeClr w14:val="tx1"/>
            </w14:solidFill>
          </w14:textFill>
        </w:rPr>
        <w:t>打开。</w:t>
      </w:r>
    </w:p>
    <w:p w14:paraId="30259284">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9" w:name="_Toc8012"/>
      <w:bookmarkStart w:id="30" w:name="_Toc11086"/>
      <w:bookmarkStart w:id="31" w:name="_Toc26325"/>
      <w:r>
        <w:rPr>
          <w:rFonts w:hint="eastAsia" w:ascii="黑体" w:hAnsi="黑体" w:eastAsia="黑体"/>
          <w:b w:val="0"/>
          <w:color w:val="000000" w:themeColor="text1"/>
          <w:sz w:val="28"/>
          <w:szCs w:val="28"/>
          <w:highlight w:val="none"/>
          <w14:textFill>
            <w14:solidFill>
              <w14:schemeClr w14:val="tx1"/>
            </w14:solidFill>
          </w14:textFill>
        </w:rPr>
        <w:t>6.评标办法</w:t>
      </w:r>
      <w:bookmarkEnd w:id="29"/>
      <w:bookmarkEnd w:id="30"/>
      <w:bookmarkEnd w:id="31"/>
    </w:p>
    <w:p w14:paraId="67746F5C">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本招标项目采用的评标办法：</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9"/>
      </w:r>
      <w:r>
        <w:rPr>
          <w:rFonts w:hint="eastAsia" w:ascii="宋体" w:hAnsi="宋体"/>
          <w:color w:val="000000" w:themeColor="text1"/>
          <w:sz w:val="21"/>
          <w:szCs w:val="21"/>
          <w:highlight w:val="none"/>
          <w14:textFill>
            <w14:solidFill>
              <w14:schemeClr w14:val="tx1"/>
            </w14:solidFill>
          </w14:textFill>
        </w:rPr>
        <w:t>。</w:t>
      </w:r>
    </w:p>
    <w:p w14:paraId="4D3ED4A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2" w:name="_Toc31416"/>
      <w:bookmarkStart w:id="33" w:name="_Toc25348"/>
      <w:bookmarkStart w:id="34" w:name="_Toc25916"/>
      <w:r>
        <w:rPr>
          <w:rFonts w:hint="eastAsia" w:ascii="黑体" w:hAnsi="黑体" w:eastAsia="黑体"/>
          <w:b w:val="0"/>
          <w:color w:val="000000" w:themeColor="text1"/>
          <w:sz w:val="28"/>
          <w:szCs w:val="28"/>
          <w:highlight w:val="none"/>
          <w14:textFill>
            <w14:solidFill>
              <w14:schemeClr w14:val="tx1"/>
            </w14:solidFill>
          </w14:textFill>
        </w:rPr>
        <w:t>7.定标</w:t>
      </w:r>
      <w:r>
        <w:rPr>
          <w:rFonts w:hint="eastAsia" w:ascii="黑体" w:hAnsi="黑体" w:eastAsia="黑体"/>
          <w:b w:val="0"/>
          <w:color w:val="000000" w:themeColor="text1"/>
          <w:sz w:val="28"/>
          <w:szCs w:val="28"/>
          <w:highlight w:val="none"/>
          <w:lang w:val="en-US" w:eastAsia="zh-CN"/>
          <w14:textFill>
            <w14:solidFill>
              <w14:schemeClr w14:val="tx1"/>
            </w14:solidFill>
          </w14:textFill>
        </w:rPr>
        <w:t>方</w:t>
      </w:r>
      <w:r>
        <w:rPr>
          <w:rFonts w:hint="eastAsia" w:ascii="黑体" w:hAnsi="黑体" w:eastAsia="黑体"/>
          <w:b w:val="0"/>
          <w:color w:val="000000" w:themeColor="text1"/>
          <w:sz w:val="28"/>
          <w:szCs w:val="28"/>
          <w:highlight w:val="none"/>
          <w14:textFill>
            <w14:solidFill>
              <w14:schemeClr w14:val="tx1"/>
            </w14:solidFill>
          </w14:textFill>
        </w:rPr>
        <w:t>法</w:t>
      </w:r>
      <w:bookmarkEnd w:id="32"/>
      <w:bookmarkEnd w:id="33"/>
      <w:bookmarkEnd w:id="34"/>
    </w:p>
    <w:p w14:paraId="5A5A7310">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本招标项目采用的定标方法：</w:t>
      </w:r>
      <w:r>
        <w:rPr>
          <w:rFonts w:hint="eastAsia" w:ascii="宋体" w:hAnsi="宋体"/>
          <w:color w:val="000000" w:themeColor="text1"/>
          <w:sz w:val="21"/>
          <w:szCs w:val="21"/>
          <w:highlight w:val="none"/>
          <w:u w:val="single"/>
          <w:lang w:val="en-US" w:eastAsia="zh-CN"/>
          <w14:textFill>
            <w14:solidFill>
              <w14:schemeClr w14:val="tx1"/>
            </w14:solidFill>
          </w14:textFill>
        </w:rPr>
        <w:t>直接票决法</w:t>
      </w:r>
      <w:r>
        <w:rPr>
          <w:rFonts w:hint="eastAsia" w:ascii="宋体" w:hAnsi="宋体"/>
          <w:color w:val="000000" w:themeColor="text1"/>
          <w:sz w:val="21"/>
          <w:szCs w:val="21"/>
          <w:highlight w:val="none"/>
          <w14:textFill>
            <w14:solidFill>
              <w14:schemeClr w14:val="tx1"/>
            </w14:solidFill>
          </w14:textFill>
        </w:rPr>
        <w:t>。</w:t>
      </w:r>
    </w:p>
    <w:p w14:paraId="23F12331">
      <w:pPr>
        <w:pStyle w:val="4"/>
        <w:spacing w:beforeLines="50" w:afterLines="50" w:line="360" w:lineRule="auto"/>
        <w:rPr>
          <w:rFonts w:hint="eastAsia" w:ascii="黑体" w:hAnsi="黑体" w:eastAsia="黑体"/>
          <w:b w:val="0"/>
          <w:color w:val="000000" w:themeColor="text1"/>
          <w:sz w:val="28"/>
          <w:szCs w:val="28"/>
          <w:highlight w:val="none"/>
          <w:lang w:eastAsia="zh-CN"/>
          <w14:textFill>
            <w14:solidFill>
              <w14:schemeClr w14:val="tx1"/>
            </w14:solidFill>
          </w14:textFill>
        </w:rPr>
      </w:pPr>
      <w:bookmarkStart w:id="35" w:name="_Toc22147"/>
      <w:bookmarkStart w:id="36" w:name="_Toc18965"/>
      <w:bookmarkStart w:id="37" w:name="_Toc10522"/>
      <w:r>
        <w:rPr>
          <w:rFonts w:hint="eastAsia" w:ascii="黑体" w:hAnsi="黑体" w:eastAsia="黑体"/>
          <w:b w:val="0"/>
          <w:color w:val="000000" w:themeColor="text1"/>
          <w:sz w:val="28"/>
          <w:szCs w:val="28"/>
          <w:highlight w:val="none"/>
          <w14:textFill>
            <w14:solidFill>
              <w14:schemeClr w14:val="tx1"/>
            </w14:solidFill>
          </w14:textFill>
        </w:rPr>
        <w:t>8.投标保证金的</w:t>
      </w:r>
      <w:r>
        <w:rPr>
          <w:rFonts w:hint="eastAsia" w:ascii="黑体" w:hAnsi="黑体" w:eastAsia="黑体"/>
          <w:b w:val="0"/>
          <w:color w:val="000000" w:themeColor="text1"/>
          <w:sz w:val="28"/>
          <w:szCs w:val="28"/>
          <w:highlight w:val="none"/>
          <w:lang w:val="en-US" w:eastAsia="zh-CN"/>
          <w14:textFill>
            <w14:solidFill>
              <w14:schemeClr w14:val="tx1"/>
            </w14:solidFill>
          </w14:textFill>
        </w:rPr>
        <w:t>递交</w:t>
      </w:r>
      <w:bookmarkEnd w:id="35"/>
      <w:bookmarkEnd w:id="36"/>
      <w:bookmarkEnd w:id="37"/>
    </w:p>
    <w:p w14:paraId="3EEC34F2">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8.1.投标保证金</w:t>
      </w:r>
      <w:r>
        <w:rPr>
          <w:rFonts w:hint="eastAsia" w:ascii="宋体" w:hAnsi="宋体"/>
          <w:color w:val="000000" w:themeColor="text1"/>
          <w:sz w:val="21"/>
          <w:szCs w:val="21"/>
          <w:highlight w:val="none"/>
          <w:lang w:val="en-US"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的时间：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CE5308C">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8.2.投标保证金</w:t>
      </w:r>
      <w:r>
        <w:rPr>
          <w:rFonts w:hint="eastAsia" w:ascii="宋体" w:hAnsi="宋体"/>
          <w:color w:val="000000" w:themeColor="text1"/>
          <w:sz w:val="21"/>
          <w:szCs w:val="21"/>
          <w:highlight w:val="none"/>
          <w:lang w:val="en-US"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BB6705C">
      <w:pPr>
        <w:widowControl/>
        <w:tabs>
          <w:tab w:val="left" w:pos="510"/>
          <w:tab w:val="left" w:pos="900"/>
          <w:tab w:val="left" w:pos="1100"/>
        </w:tabs>
        <w:adjustRightInd/>
        <w:spacing w:line="360" w:lineRule="auto"/>
        <w:ind w:firstLine="422" w:firstLineChars="201"/>
        <w:jc w:val="left"/>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8.3.投标保证金</w:t>
      </w:r>
      <w:r>
        <w:rPr>
          <w:rFonts w:hint="eastAsia" w:ascii="宋体" w:hAnsi="宋体"/>
          <w:color w:val="000000" w:themeColor="text1"/>
          <w:sz w:val="21"/>
          <w:szCs w:val="21"/>
          <w:highlight w:val="none"/>
          <w:lang w:val="en-US"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的金额：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931897A">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8" w:name="_Toc20793"/>
      <w:bookmarkStart w:id="39" w:name="_Toc20950"/>
      <w:bookmarkStart w:id="40" w:name="_Toc29126"/>
      <w:r>
        <w:rPr>
          <w:rFonts w:hint="eastAsia" w:ascii="黑体" w:hAnsi="黑体" w:eastAsia="黑体"/>
          <w:b w:val="0"/>
          <w:color w:val="000000" w:themeColor="text1"/>
          <w:sz w:val="28"/>
          <w:szCs w:val="28"/>
          <w:highlight w:val="none"/>
          <w14:textFill>
            <w14:solidFill>
              <w14:schemeClr w14:val="tx1"/>
            </w14:solidFill>
          </w14:textFill>
        </w:rPr>
        <w:t>9.投标文件的递交</w:t>
      </w:r>
      <w:bookmarkEnd w:id="38"/>
      <w:bookmarkEnd w:id="39"/>
      <w:bookmarkEnd w:id="40"/>
    </w:p>
    <w:p w14:paraId="05C6F231">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9.1.本招标项目投标文件采用线上方式递交，投标文件的截止时间（投标截止时间，下同）：</w:t>
      </w:r>
    </w:p>
    <w:p w14:paraId="0A743A4E">
      <w:pPr>
        <w:widowControl/>
        <w:tabs>
          <w:tab w:val="left" w:pos="900"/>
          <w:tab w:val="left" w:pos="1100"/>
        </w:tabs>
        <w:adjustRightInd/>
        <w:spacing w:line="360" w:lineRule="auto"/>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秒，投标人应在截止时间前通过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0"/>
      </w:r>
      <w:r>
        <w:rPr>
          <w:rFonts w:hint="eastAsia" w:ascii="宋体" w:hAnsi="宋体"/>
          <w:color w:val="000000" w:themeColor="text1"/>
          <w:sz w:val="21"/>
          <w:szCs w:val="21"/>
          <w:highlight w:val="none"/>
          <w14:textFill>
            <w14:solidFill>
              <w14:schemeClr w14:val="tx1"/>
            </w14:solidFill>
          </w14:textFill>
        </w:rPr>
        <w:t>递交电子投标文件。</w:t>
      </w:r>
      <w:r>
        <w:rPr>
          <w:rFonts w:hint="eastAsia" w:ascii="宋体" w:hAnsi="宋体" w:cs="瀹嬩綋"/>
          <w:color w:val="000000" w:themeColor="text1"/>
          <w:sz w:val="21"/>
          <w:szCs w:val="21"/>
          <w:highlight w:val="none"/>
          <w14:textFill>
            <w14:solidFill>
              <w14:schemeClr w14:val="tx1"/>
            </w14:solidFill>
          </w14:textFill>
        </w:rPr>
        <w:t>联合投标的，投标文件应由联合体牵头单位的</w:t>
      </w:r>
      <w:r>
        <w:rPr>
          <w:rFonts w:hint="eastAsia" w:ascii="宋体" w:hAnsi="宋体" w:cs="瀹嬩綋"/>
          <w:color w:val="000000" w:themeColor="text1"/>
          <w:sz w:val="21"/>
          <w:szCs w:val="21"/>
          <w:highlight w:val="none"/>
          <w:lang w:eastAsia="zh-CN"/>
          <w14:textFill>
            <w14:solidFill>
              <w14:schemeClr w14:val="tx1"/>
            </w14:solidFill>
          </w14:textFill>
        </w:rPr>
        <w:t>CA证书</w:t>
      </w:r>
      <w:r>
        <w:rPr>
          <w:rFonts w:hint="eastAsia" w:ascii="宋体" w:hAnsi="宋体" w:cs="瀹嬩綋"/>
          <w:color w:val="000000" w:themeColor="text1"/>
          <w:sz w:val="21"/>
          <w:szCs w:val="21"/>
          <w:highlight w:val="none"/>
          <w14:textFill>
            <w14:solidFill>
              <w14:schemeClr w14:val="tx1"/>
            </w14:solidFill>
          </w14:textFill>
        </w:rPr>
        <w:t>加密并上传到电子交易平台，开标时由上传此投标文件的单位</w:t>
      </w:r>
      <w:r>
        <w:rPr>
          <w:rFonts w:hint="eastAsia" w:ascii="宋体" w:hAnsi="宋体" w:cs="瀹嬩綋"/>
          <w:color w:val="000000" w:themeColor="text1"/>
          <w:sz w:val="21"/>
          <w:szCs w:val="21"/>
          <w:highlight w:val="none"/>
          <w:lang w:eastAsia="zh-CN"/>
          <w14:textFill>
            <w14:solidFill>
              <w14:schemeClr w14:val="tx1"/>
            </w14:solidFill>
          </w14:textFill>
        </w:rPr>
        <w:t>CA证书</w:t>
      </w:r>
      <w:r>
        <w:rPr>
          <w:rFonts w:hint="eastAsia" w:ascii="宋体" w:hAnsi="宋体" w:cs="瀹嬩綋"/>
          <w:color w:val="000000" w:themeColor="text1"/>
          <w:sz w:val="21"/>
          <w:szCs w:val="21"/>
          <w:highlight w:val="none"/>
          <w14:textFill>
            <w14:solidFill>
              <w14:schemeClr w14:val="tx1"/>
            </w14:solidFill>
          </w14:textFill>
        </w:rPr>
        <w:t>解密。</w:t>
      </w:r>
    </w:p>
    <w:p w14:paraId="1FE4F2C9">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9.2.逾期递交至指定电子交易平台的投标文件，电子交易平台将不予受理。</w:t>
      </w:r>
    </w:p>
    <w:p w14:paraId="35819D3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1" w:name="_Toc19885"/>
      <w:bookmarkStart w:id="42" w:name="_Toc29852"/>
      <w:bookmarkStart w:id="43" w:name="_Toc24373"/>
      <w:r>
        <w:rPr>
          <w:rFonts w:hint="eastAsia" w:ascii="黑体" w:hAnsi="黑体" w:eastAsia="黑体"/>
          <w:b w:val="0"/>
          <w:color w:val="000000" w:themeColor="text1"/>
          <w:sz w:val="28"/>
          <w:szCs w:val="28"/>
          <w:highlight w:val="none"/>
          <w14:textFill>
            <w14:solidFill>
              <w14:schemeClr w14:val="tx1"/>
            </w14:solidFill>
          </w14:textFill>
        </w:rPr>
        <w:t>10.发布公告的媒体</w:t>
      </w:r>
      <w:bookmarkEnd w:id="41"/>
      <w:bookmarkEnd w:id="42"/>
      <w:bookmarkEnd w:id="43"/>
    </w:p>
    <w:p w14:paraId="7669FEDB">
      <w:pPr>
        <w:widowControl/>
        <w:tabs>
          <w:tab w:val="left" w:pos="900"/>
          <w:tab w:val="left" w:pos="1100"/>
        </w:tabs>
        <w:adjustRightIn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本次招标公告同时在</w:t>
      </w:r>
      <w:r>
        <w:rPr>
          <w:rFonts w:hint="eastAsia" w:ascii="宋体" w:hAnsi="宋体" w:cs="宋体"/>
          <w:color w:val="000000" w:themeColor="text1"/>
          <w:sz w:val="21"/>
          <w:szCs w:val="21"/>
          <w:highlight w:val="none"/>
          <w:u w:val="none"/>
          <w14:textFill>
            <w14:solidFill>
              <w14:schemeClr w14:val="tx1"/>
            </w14:solidFill>
          </w14:textFill>
        </w:rPr>
        <w:t>中国招标投标公共服务平台（http://www.cebpubservice.com/）</w:t>
      </w:r>
      <w:r>
        <w:rPr>
          <w:rFonts w:hint="eastAsia" w:ascii="宋体" w:hAnsi="宋体" w:cs="宋体"/>
          <w:color w:val="000000" w:themeColor="text1"/>
          <w:sz w:val="21"/>
          <w:szCs w:val="21"/>
          <w:highlight w:val="none"/>
          <w:u w:val="none"/>
          <w:lang w:eastAsia="zh-CN"/>
          <w14:textFill>
            <w14:solidFill>
              <w14:schemeClr w14:val="tx1"/>
            </w14:solidFill>
          </w14:textFill>
        </w:rPr>
        <w:t>、</w:t>
      </w:r>
      <w:r>
        <w:rPr>
          <w:rFonts w:hint="eastAsia" w:ascii="宋体" w:hAnsi="宋体" w:cs="宋体"/>
          <w:color w:val="000000" w:themeColor="text1"/>
          <w:sz w:val="21"/>
          <w:szCs w:val="21"/>
          <w:highlight w:val="none"/>
          <w:u w:val="none"/>
          <w14:textFill>
            <w14:solidFill>
              <w14:schemeClr w14:val="tx1"/>
            </w14:solidFill>
          </w14:textFill>
        </w:rPr>
        <w:t>福建省公共资源交易电子公共服务平台（http://ggzyfw.fujian.gov.cn）和厦门市公共资源交易网（http://zyjy.as.xm.gov.cn/）</w:t>
      </w:r>
      <w:r>
        <w:rPr>
          <w:rFonts w:hint="eastAsia" w:ascii="宋体" w:hAnsi="宋体" w:cs="宋体"/>
          <w:color w:val="000000" w:themeColor="text1"/>
          <w:sz w:val="21"/>
          <w:szCs w:val="21"/>
          <w:highlight w:val="none"/>
          <w14:textFill>
            <w14:solidFill>
              <w14:schemeClr w14:val="tx1"/>
            </w14:solidFill>
          </w14:textFill>
        </w:rPr>
        <w:t>上发布。</w:t>
      </w:r>
    </w:p>
    <w:p w14:paraId="2D48E00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4" w:name="_Toc19321"/>
      <w:bookmarkStart w:id="45" w:name="_Toc14268"/>
      <w:bookmarkStart w:id="46" w:name="_Toc18913"/>
      <w:r>
        <w:rPr>
          <w:rFonts w:hint="eastAsia" w:ascii="黑体" w:hAnsi="黑体" w:eastAsia="黑体"/>
          <w:b w:val="0"/>
          <w:color w:val="000000" w:themeColor="text1"/>
          <w:sz w:val="28"/>
          <w:szCs w:val="28"/>
          <w:highlight w:val="none"/>
          <w14:textFill>
            <w14:solidFill>
              <w14:schemeClr w14:val="tx1"/>
            </w14:solidFill>
          </w14:textFill>
        </w:rPr>
        <w:t>11.联系方式</w:t>
      </w:r>
      <w:bookmarkEnd w:id="44"/>
      <w:bookmarkEnd w:id="45"/>
      <w:bookmarkEnd w:id="46"/>
    </w:p>
    <w:p w14:paraId="1E5A3CAE">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00DCF5A4">
      <w:pPr>
        <w:pStyle w:val="13"/>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12E1D7A4">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，传真：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4AC2BABE">
      <w:pPr>
        <w:pStyle w:val="13"/>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79EB73D9">
      <w:pPr>
        <w:pStyle w:val="13"/>
        <w:snapToGrid w:val="0"/>
        <w:spacing w:line="360" w:lineRule="auto"/>
        <w:ind w:firstLine="422" w:firstLineChars="201"/>
        <w:jc w:val="left"/>
        <w:rPr>
          <w:rFonts w:hint="eastAsia" w:ascii="宋体" w:hAnsi="宋体" w:eastAsia="宋体"/>
          <w:color w:val="000000" w:themeColor="text1"/>
          <w:szCs w:val="21"/>
          <w:highlight w:val="none"/>
          <w14:textFill>
            <w14:solidFill>
              <w14:schemeClr w14:val="tx1"/>
            </w14:solidFill>
          </w14:textFill>
        </w:rPr>
      </w:pPr>
    </w:p>
    <w:p w14:paraId="74DB396A">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招标代理机构：</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1EFB5CF7">
      <w:pPr>
        <w:pStyle w:val="13"/>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73D56C60">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，传真：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5557440B">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480C2ABB">
      <w:pPr>
        <w:pStyle w:val="13"/>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电子交易平台名称</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48C0A911">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网址</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18E966D5">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284D1E08">
      <w:pPr>
        <w:pStyle w:val="13"/>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招投标监督机构名称：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16F6BC1A">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01974D0A">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2DED5414">
      <w:pPr>
        <w:pStyle w:val="13"/>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公共资源交易中心名称：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6438198B">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2D1940EA">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15908D15">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14:paraId="4A0A500C">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14:paraId="25A4F798">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14:paraId="53DED880">
      <w:pPr>
        <w:pStyle w:val="3"/>
        <w:jc w:val="center"/>
        <w:rPr>
          <w:rFonts w:ascii="黑体" w:hAnsi="黑体" w:eastAsia="黑体"/>
          <w:b w:val="0"/>
          <w:color w:val="000000" w:themeColor="text1"/>
          <w:sz w:val="28"/>
          <w:szCs w:val="28"/>
          <w:highlight w:val="none"/>
          <w:u w:val="single"/>
          <w14:textFill>
            <w14:solidFill>
              <w14:schemeClr w14:val="tx1"/>
            </w14:solidFill>
          </w14:textFill>
        </w:rPr>
      </w:pPr>
      <w:bookmarkStart w:id="47" w:name="_Toc19206"/>
      <w:bookmarkStart w:id="48" w:name="_Toc9756"/>
      <w:bookmarkStart w:id="49" w:name="_Toc20743"/>
      <w:r>
        <w:rPr>
          <w:rFonts w:hint="eastAsia" w:ascii="黑体" w:hAnsi="黑体" w:eastAsia="黑体"/>
          <w:b w:val="0"/>
          <w:color w:val="000000" w:themeColor="text1"/>
          <w:sz w:val="28"/>
          <w:szCs w:val="28"/>
          <w:highlight w:val="none"/>
          <w14:textFill>
            <w14:solidFill>
              <w14:schemeClr w14:val="tx1"/>
            </w14:solidFill>
          </w14:textFill>
        </w:rPr>
        <w:t>第一章 投标邀请书</w:t>
      </w:r>
      <w:bookmarkEnd w:id="47"/>
      <w:bookmarkEnd w:id="48"/>
      <w:bookmarkEnd w:id="49"/>
    </w:p>
    <w:p w14:paraId="247AFF9C">
      <w:pPr>
        <w:spacing w:beforeLines="50" w:afterLines="50"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1"/>
      </w:r>
      <w:r>
        <w:rPr>
          <w:rFonts w:hint="eastAsia" w:ascii="宋体" w:hAnsi="宋体"/>
          <w:color w:val="000000" w:themeColor="text1"/>
          <w:sz w:val="24"/>
          <w:szCs w:val="24"/>
          <w:highlight w:val="none"/>
          <w14:textFill>
            <w14:solidFill>
              <w14:schemeClr w14:val="tx1"/>
            </w14:solidFill>
          </w14:textFill>
        </w:rPr>
        <w:t>：</w:t>
      </w:r>
    </w:p>
    <w:p w14:paraId="2A6D506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0" w:name="_Toc2779"/>
      <w:bookmarkStart w:id="51" w:name="_Toc18182"/>
      <w:bookmarkStart w:id="52" w:name="_Toc9166"/>
      <w:r>
        <w:rPr>
          <w:rFonts w:hint="eastAsia" w:ascii="黑体" w:hAnsi="黑体" w:eastAsia="黑体"/>
          <w:b w:val="0"/>
          <w:color w:val="000000" w:themeColor="text1"/>
          <w:sz w:val="28"/>
          <w:szCs w:val="28"/>
          <w:highlight w:val="none"/>
          <w14:textFill>
            <w14:solidFill>
              <w14:schemeClr w14:val="tx1"/>
            </w14:solidFill>
          </w14:textFill>
        </w:rPr>
        <w:t>1.招标条件</w:t>
      </w:r>
      <w:bookmarkEnd w:id="50"/>
      <w:bookmarkEnd w:id="51"/>
      <w:bookmarkEnd w:id="52"/>
    </w:p>
    <w:p w14:paraId="223B4E0A">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2"/>
      </w:r>
      <w:r>
        <w:rPr>
          <w:rFonts w:hint="eastAsia" w:ascii="宋体" w:hAnsi="宋体"/>
          <w:color w:val="000000" w:themeColor="text1"/>
          <w:sz w:val="21"/>
          <w:szCs w:val="21"/>
          <w:highlight w:val="none"/>
          <w14:textFill>
            <w14:solidFill>
              <w14:schemeClr w14:val="tx1"/>
            </w14:solidFill>
          </w14:textFill>
        </w:rPr>
        <w:t>已由</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3"/>
      </w:r>
      <w:r>
        <w:rPr>
          <w:rFonts w:hint="eastAsia" w:ascii="宋体" w:hAnsi="宋体"/>
          <w:color w:val="000000" w:themeColor="text1"/>
          <w:sz w:val="21"/>
          <w:szCs w:val="21"/>
          <w:highlight w:val="none"/>
          <w14:textFill>
            <w14:solidFill>
              <w14:schemeClr w14:val="tx1"/>
            </w14:solidFill>
          </w14:textFill>
        </w:rPr>
        <w:t>以</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4"/>
      </w:r>
      <w:r>
        <w:rPr>
          <w:rFonts w:hint="eastAsia" w:ascii="宋体" w:hAnsi="宋体"/>
          <w:color w:val="000000" w:themeColor="text1"/>
          <w:sz w:val="21"/>
          <w:szCs w:val="21"/>
          <w:highlight w:val="none"/>
          <w14:textFill>
            <w14:solidFill>
              <w14:schemeClr w14:val="tx1"/>
            </w14:solidFill>
          </w14:textFill>
        </w:rPr>
        <w:t>批准建设，项目建设单位为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，建设资金来源为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，委托的招标代理单位为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。项目已具备招标条件，</w:t>
      </w:r>
      <w:r>
        <w:rPr>
          <w:rFonts w:hint="eastAsia" w:ascii="宋体" w:hAnsi="宋体"/>
          <w:color w:val="000000" w:themeColor="text1"/>
          <w:sz w:val="21"/>
          <w:szCs w:val="21"/>
          <w:highlight w:val="none"/>
          <w:lang w:val="en-US" w:eastAsia="zh-CN"/>
          <w14:textFill>
            <w14:solidFill>
              <w14:schemeClr w14:val="tx1"/>
            </w14:solidFill>
          </w14:textFill>
        </w:rPr>
        <w:t>采用“评定分离”办法进行招标，</w:t>
      </w:r>
      <w:r>
        <w:rPr>
          <w:rFonts w:hint="eastAsia" w:ascii="宋体" w:hAnsi="宋体"/>
          <w:color w:val="000000" w:themeColor="text1"/>
          <w:sz w:val="21"/>
          <w:szCs w:val="21"/>
          <w:highlight w:val="none"/>
          <w14:textFill>
            <w14:solidFill>
              <w14:schemeClr w14:val="tx1"/>
            </w14:solidFill>
          </w14:textFill>
        </w:rPr>
        <w:t>现邀请你单位参加本次</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5"/>
      </w:r>
      <w:r>
        <w:rPr>
          <w:rFonts w:hint="eastAsia" w:ascii="宋体" w:hAnsi="宋体"/>
          <w:color w:val="000000" w:themeColor="text1"/>
          <w:sz w:val="21"/>
          <w:szCs w:val="21"/>
          <w:highlight w:val="none"/>
          <w14:textFill>
            <w14:solidFill>
              <w14:schemeClr w14:val="tx1"/>
            </w14:solidFill>
          </w14:textFill>
        </w:rPr>
        <w:t>投标。</w:t>
      </w:r>
    </w:p>
    <w:p w14:paraId="1FEC427C">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3" w:name="_Toc786"/>
      <w:bookmarkStart w:id="54" w:name="_Toc32304"/>
      <w:bookmarkStart w:id="55" w:name="_Toc29356"/>
      <w:r>
        <w:rPr>
          <w:rFonts w:hint="eastAsia" w:ascii="黑体" w:hAnsi="黑体" w:eastAsia="黑体"/>
          <w:b w:val="0"/>
          <w:color w:val="000000" w:themeColor="text1"/>
          <w:sz w:val="28"/>
          <w:szCs w:val="28"/>
          <w:highlight w:val="none"/>
          <w14:textFill>
            <w14:solidFill>
              <w14:schemeClr w14:val="tx1"/>
            </w14:solidFill>
          </w14:textFill>
        </w:rPr>
        <w:t>2.项目概况与招标范围</w:t>
      </w:r>
      <w:bookmarkEnd w:id="53"/>
      <w:bookmarkEnd w:id="54"/>
      <w:bookmarkEnd w:id="55"/>
    </w:p>
    <w:p w14:paraId="13D7A561">
      <w:pPr>
        <w:widowControl/>
        <w:tabs>
          <w:tab w:val="left" w:pos="510"/>
        </w:tabs>
        <w:adjustRightInd/>
        <w:spacing w:line="360" w:lineRule="auto"/>
        <w:ind w:firstLine="422" w:firstLineChars="201"/>
        <w:jc w:val="left"/>
        <w:textAlignment w:val="auto"/>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2.1.项目概况</w:t>
      </w:r>
    </w:p>
    <w:p w14:paraId="495AF878">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建设地点：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4C2B958">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工程建设规模：</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6"/>
      </w:r>
      <w:r>
        <w:rPr>
          <w:rFonts w:hint="eastAsia" w:ascii="宋体" w:hAnsi="宋体"/>
          <w:color w:val="000000" w:themeColor="text1"/>
          <w:sz w:val="21"/>
          <w:szCs w:val="21"/>
          <w:highlight w:val="none"/>
          <w14:textFill>
            <w14:solidFill>
              <w14:schemeClr w14:val="tx1"/>
            </w14:solidFill>
          </w14:textFill>
        </w:rPr>
        <w:t>。</w:t>
      </w:r>
    </w:p>
    <w:p w14:paraId="2D3C02F1">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投资总额：人民币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万元。其中，工程费用限额：人民币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w:t>
      </w:r>
    </w:p>
    <w:p w14:paraId="3F41E872">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2.1.4</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最高投标报价限价：设计费最高投标报价限价为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元，发包内容包含勘察的，勘察最高投标报价限价为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p>
    <w:p w14:paraId="2BF95B26">
      <w:pPr>
        <w:widowControl/>
        <w:tabs>
          <w:tab w:val="left" w:pos="510"/>
        </w:tabs>
        <w:adjustRightInd/>
        <w:spacing w:line="360" w:lineRule="auto"/>
        <w:ind w:firstLine="422" w:firstLineChars="201"/>
        <w:jc w:val="left"/>
        <w:textAlignment w:val="auto"/>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2.2.招标范围与内容</w:t>
      </w:r>
    </w:p>
    <w:p w14:paraId="426AC807">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工程类别：</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7"/>
      </w:r>
      <w:r>
        <w:rPr>
          <w:rFonts w:hint="eastAsia" w:ascii="宋体" w:hAnsi="宋体"/>
          <w:color w:val="000000" w:themeColor="text1"/>
          <w:sz w:val="21"/>
          <w:szCs w:val="21"/>
          <w:highlight w:val="none"/>
          <w14:textFill>
            <w14:solidFill>
              <w14:schemeClr w14:val="tx1"/>
            </w14:solidFill>
          </w14:textFill>
        </w:rPr>
        <w:t>。</w:t>
      </w:r>
    </w:p>
    <w:p w14:paraId="6AF444A6">
      <w:pPr>
        <w:widowControl/>
        <w:tabs>
          <w:tab w:val="left" w:pos="510"/>
        </w:tabs>
        <w:adjustRightInd/>
        <w:spacing w:line="360" w:lineRule="auto"/>
        <w:ind w:firstLine="422" w:firstLineChars="201"/>
        <w:jc w:val="left"/>
        <w:textAlignment w:val="auto"/>
        <w:rPr>
          <w:rFonts w:ascii="宋体" w:hAnsi="宋体"/>
          <w:b/>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招标类型：</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8"/>
      </w:r>
      <w:r>
        <w:rPr>
          <w:rFonts w:hint="eastAsia" w:ascii="宋体" w:hAnsi="宋体"/>
          <w:color w:val="000000" w:themeColor="text1"/>
          <w:sz w:val="21"/>
          <w:szCs w:val="21"/>
          <w:highlight w:val="none"/>
          <w14:textFill>
            <w14:solidFill>
              <w14:schemeClr w14:val="tx1"/>
            </w14:solidFill>
          </w14:textFill>
        </w:rPr>
        <w:t>。</w:t>
      </w:r>
    </w:p>
    <w:p w14:paraId="02491690">
      <w:pPr>
        <w:widowControl/>
        <w:tabs>
          <w:tab w:val="left" w:pos="510"/>
        </w:tabs>
        <w:adjustRightInd/>
        <w:spacing w:line="360" w:lineRule="auto"/>
        <w:ind w:firstLine="422" w:firstLineChars="201"/>
        <w:jc w:val="left"/>
        <w:textAlignment w:val="auto"/>
        <w:rPr>
          <w:rFonts w:ascii="宋体" w:hAnsi="宋体"/>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招标范围：</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9"/>
      </w:r>
      <w:r>
        <w:rPr>
          <w:rFonts w:hint="eastAsia" w:ascii="宋体" w:hAnsi="宋体"/>
          <w:color w:val="000000" w:themeColor="text1"/>
          <w:sz w:val="21"/>
          <w:szCs w:val="21"/>
          <w:highlight w:val="none"/>
          <w14:textFill>
            <w14:solidFill>
              <w14:schemeClr w14:val="tx1"/>
            </w14:solidFill>
          </w14:textFill>
        </w:rPr>
        <w:t>。</w:t>
      </w:r>
    </w:p>
    <w:p w14:paraId="122AFDA5">
      <w:pPr>
        <w:widowControl/>
        <w:adjustRightInd/>
        <w:spacing w:line="360" w:lineRule="auto"/>
        <w:ind w:firstLine="422" w:firstLineChars="201"/>
        <w:jc w:val="left"/>
        <w:textAlignment w:val="auto"/>
        <w:rPr>
          <w:rFonts w:ascii="宋体" w:hAnsi="宋体"/>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2.2.4.内容</w:t>
      </w:r>
    </w:p>
    <w:p w14:paraId="201EC005">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（1）设计内容：</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0"/>
      </w:r>
      <w:r>
        <w:rPr>
          <w:rFonts w:hint="eastAsia" w:ascii="宋体" w:hAnsi="宋体"/>
          <w:color w:val="000000" w:themeColor="text1"/>
          <w:sz w:val="21"/>
          <w:szCs w:val="21"/>
          <w:highlight w:val="none"/>
          <w14:textFill>
            <w14:solidFill>
              <w14:schemeClr w14:val="tx1"/>
            </w14:solidFill>
          </w14:textFill>
        </w:rPr>
        <w:t>；其中施工图设计包括</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专业工程。</w:t>
      </w:r>
    </w:p>
    <w:p w14:paraId="743B7B6D">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（2）工程勘察内容：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95D32A2">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2.2.5</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本招标项目</w:t>
      </w:r>
      <w:r>
        <w:rPr>
          <w:rFonts w:hint="eastAsia" w:ascii="宋体"/>
          <w:color w:val="000000" w:themeColor="text1"/>
          <w:sz w:val="21"/>
          <w:szCs w:val="21"/>
          <w:highlight w:val="none"/>
          <w:u w:val="single"/>
          <w14:textFill>
            <w14:solidFill>
              <w14:schemeClr w14:val="tx1"/>
            </w14:solidFill>
          </w14:textFill>
        </w:rPr>
        <w:t xml:space="preserve">             </w:t>
      </w:r>
      <w:r>
        <w:rPr>
          <w:rStyle w:val="49"/>
          <w:rFonts w:ascii="宋体" w:hAnsi="宋体" w:eastAsiaTheme="minorEastAsia" w:cstheme="minorBidi"/>
          <w:color w:val="000000" w:themeColor="text1"/>
          <w:sz w:val="21"/>
          <w:szCs w:val="21"/>
          <w:highlight w:val="none"/>
          <w:u w:val="single"/>
          <w14:textFill>
            <w14:solidFill>
              <w14:schemeClr w14:val="tx1"/>
            </w14:solidFill>
          </w14:textFill>
        </w:rPr>
        <w:footnoteReference w:id="31"/>
      </w:r>
      <w:r>
        <w:rPr>
          <w:rFonts w:hint="eastAsia" w:ascii="宋体" w:hAnsi="宋体"/>
          <w:color w:val="000000" w:themeColor="text1"/>
          <w:sz w:val="21"/>
          <w:szCs w:val="21"/>
          <w:highlight w:val="none"/>
          <w14:textFill>
            <w14:solidFill>
              <w14:schemeClr w14:val="tx1"/>
            </w14:solidFill>
          </w14:textFill>
        </w:rPr>
        <w:t>建筑信息模型（</w:t>
      </w:r>
      <w:r>
        <w:rPr>
          <w:rFonts w:ascii="宋体" w:hAnsi="宋体"/>
          <w:color w:val="000000" w:themeColor="text1"/>
          <w:sz w:val="21"/>
          <w:szCs w:val="21"/>
          <w:highlight w:val="none"/>
          <w14:textFill>
            <w14:solidFill>
              <w14:schemeClr w14:val="tx1"/>
            </w14:solidFill>
          </w14:textFill>
        </w:rPr>
        <w:t>BIM</w:t>
      </w:r>
      <w:r>
        <w:rPr>
          <w:rFonts w:hint="eastAsia" w:ascii="宋体" w:hAnsi="宋体"/>
          <w:color w:val="000000" w:themeColor="text1"/>
          <w:sz w:val="21"/>
          <w:szCs w:val="21"/>
          <w:highlight w:val="none"/>
          <w14:textFill>
            <w14:solidFill>
              <w14:schemeClr w14:val="tx1"/>
            </w14:solidFill>
          </w14:textFill>
        </w:rPr>
        <w:t>）技术（以下简称</w:t>
      </w:r>
      <w:r>
        <w:rPr>
          <w:rFonts w:ascii="宋体" w:hAnsi="宋体"/>
          <w:color w:val="000000" w:themeColor="text1"/>
          <w:sz w:val="21"/>
          <w:szCs w:val="21"/>
          <w:highlight w:val="none"/>
          <w14:textFill>
            <w14:solidFill>
              <w14:schemeClr w14:val="tx1"/>
            </w14:solidFill>
          </w14:textFill>
        </w:rPr>
        <w:t>BIM</w:t>
      </w:r>
      <w:r>
        <w:rPr>
          <w:rFonts w:hint="eastAsia" w:ascii="宋体" w:hAnsi="宋体"/>
          <w:color w:val="000000" w:themeColor="text1"/>
          <w:sz w:val="21"/>
          <w:szCs w:val="21"/>
          <w:highlight w:val="none"/>
          <w14:textFill>
            <w14:solidFill>
              <w14:schemeClr w14:val="tx1"/>
            </w14:solidFill>
          </w14:textFill>
        </w:rPr>
        <w:t>技术），应用的范围和内容：包括</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46A9045">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2.2.6</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标段划分：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EFE9837">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6" w:name="_Toc22986"/>
      <w:bookmarkStart w:id="57" w:name="_Toc30461"/>
      <w:bookmarkStart w:id="58" w:name="_Toc10964"/>
      <w:r>
        <w:rPr>
          <w:rFonts w:hint="eastAsia" w:ascii="黑体" w:hAnsi="黑体" w:eastAsia="黑体"/>
          <w:b w:val="0"/>
          <w:color w:val="000000" w:themeColor="text1"/>
          <w:sz w:val="28"/>
          <w:szCs w:val="28"/>
          <w:highlight w:val="none"/>
          <w14:textFill>
            <w14:solidFill>
              <w14:schemeClr w14:val="tx1"/>
            </w14:solidFill>
          </w14:textFill>
        </w:rPr>
        <w:t>3.投标人资格要求</w:t>
      </w:r>
      <w:bookmarkEnd w:id="56"/>
      <w:bookmarkEnd w:id="57"/>
      <w:bookmarkEnd w:id="58"/>
    </w:p>
    <w:p w14:paraId="7C957444">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3.1.本招标项目要求投标人具备住房城乡建设行政主管部门核发的有效的</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2"/>
      </w:r>
      <w:r>
        <w:rPr>
          <w:rFonts w:hint="eastAsia" w:ascii="宋体" w:hAnsi="宋体"/>
          <w:color w:val="000000" w:themeColor="text1"/>
          <w:sz w:val="21"/>
          <w:szCs w:val="21"/>
          <w:highlight w:val="none"/>
          <w14:textFill>
            <w14:solidFill>
              <w14:schemeClr w14:val="tx1"/>
            </w14:solidFill>
          </w14:textFill>
        </w:rPr>
        <w:t>资质。</w:t>
      </w:r>
    </w:p>
    <w:p w14:paraId="13E15BC6">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3.2.本招标项目</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3"/>
      </w:r>
      <w:r>
        <w:rPr>
          <w:rFonts w:hint="eastAsia" w:ascii="宋体" w:hAnsi="宋体"/>
          <w:color w:val="000000" w:themeColor="text1"/>
          <w:sz w:val="21"/>
          <w:szCs w:val="21"/>
          <w:highlight w:val="none"/>
          <w14:textFill>
            <w14:solidFill>
              <w14:schemeClr w14:val="tx1"/>
            </w14:solidFill>
          </w14:textFill>
        </w:rPr>
        <w:t>联合体投标。发包内容包含勘察的，允许由具有设计、勘察资质的单位组成联合体参加投标；自愿组成联合体的应由具有招标项目相适应的设计资质的单位为联合体牵头人，且各方均应具备其所承担招标项目工作内容的相应资质条件；承担相同工作内容的专业单位组成联合体的，按照资质等级较低的单位确定资质等级。</w:t>
      </w:r>
    </w:p>
    <w:p w14:paraId="5AD57314">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3.3.投标人拟派出担任本招标项目的设计负责人应具备有效的</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4"/>
      </w:r>
      <w:r>
        <w:rPr>
          <w:rFonts w:hint="eastAsia" w:ascii="宋体" w:hAnsi="宋体"/>
          <w:color w:val="000000" w:themeColor="text1"/>
          <w:sz w:val="21"/>
          <w:szCs w:val="21"/>
          <w:highlight w:val="none"/>
          <w14:textFill>
            <w14:solidFill>
              <w14:schemeClr w14:val="tx1"/>
            </w14:solidFill>
          </w14:textFill>
        </w:rPr>
        <w:t>。</w:t>
      </w:r>
    </w:p>
    <w:p w14:paraId="06E2343E">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3.4.投标人及其拟派出担任本设计项目负责人均应具备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hint="eastAsia" w:ascii="宋体" w:hAnsi="宋体"/>
          <w:color w:val="000000" w:themeColor="text1"/>
          <w:sz w:val="21"/>
          <w:szCs w:val="21"/>
          <w:highlight w:val="none"/>
          <w:u w:val="single"/>
          <w14:textFill>
            <w14:solidFill>
              <w14:schemeClr w14:val="tx1"/>
            </w14:solidFill>
          </w14:textFill>
        </w:rPr>
        <w:footnoteReference w:id="35"/>
      </w:r>
      <w:r>
        <w:rPr>
          <w:rFonts w:hint="eastAsia" w:ascii="宋体" w:hAnsi="宋体"/>
          <w:color w:val="000000" w:themeColor="text1"/>
          <w:sz w:val="21"/>
          <w:szCs w:val="21"/>
          <w:highlight w:val="none"/>
          <w14:textFill>
            <w14:solidFill>
              <w14:schemeClr w14:val="tx1"/>
            </w14:solidFill>
          </w14:textFill>
        </w:rPr>
        <w:t>项类似项目设计业绩（本条仅适用于大型工程设计项目。联合体投标的，类似项目设计业绩必须由牵头人提供）。类似工程业绩是指（下同）：自本投标邀请书发布之日的前三年内（以施工图审查合格日期为准，不含发布投标邀请书当日）完成设计的并经施工图审查合格的</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6"/>
      </w:r>
      <w:r>
        <w:rPr>
          <w:rFonts w:hint="eastAsia" w:ascii="宋体" w:hAnsi="宋体"/>
          <w:color w:val="000000" w:themeColor="text1"/>
          <w:sz w:val="21"/>
          <w:szCs w:val="21"/>
          <w:highlight w:val="none"/>
          <w14:textFill>
            <w14:solidFill>
              <w14:schemeClr w14:val="tx1"/>
            </w14:solidFill>
          </w14:textFill>
        </w:rPr>
        <w:t>。</w:t>
      </w:r>
    </w:p>
    <w:p w14:paraId="49BF11B2">
      <w:pPr>
        <w:widowControl/>
        <w:tabs>
          <w:tab w:val="left" w:pos="510"/>
          <w:tab w:val="left" w:pos="900"/>
          <w:tab w:val="left" w:pos="1100"/>
        </w:tabs>
        <w:adjustRightInd/>
        <w:spacing w:line="360" w:lineRule="auto"/>
        <w:ind w:firstLine="422" w:firstLineChars="201"/>
        <w:jc w:val="left"/>
        <w:textAlignment w:val="auto"/>
        <w:rPr>
          <w:rFonts w:ascii="宋体" w:hAnsi="宋体" w:cs="瀹嬩綋"/>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w:t>
      </w:r>
      <w:r>
        <w:rPr>
          <w:rFonts w:hint="eastAsia" w:ascii="宋体" w:hAnsi="宋体" w:cs="瀹嬩綋"/>
          <w:color w:val="000000" w:themeColor="text1"/>
          <w:sz w:val="21"/>
          <w:szCs w:val="21"/>
          <w:highlight w:val="none"/>
          <w14:textFill>
            <w14:solidFill>
              <w14:schemeClr w14:val="tx1"/>
            </w14:solidFill>
          </w14:textFill>
        </w:rPr>
        <w:t>投标人均可就本招标项目中的所有标段提出投标申请，但招标人允许中标的标段数量为</w:t>
      </w:r>
    </w:p>
    <w:p w14:paraId="028FC2AA">
      <w:pPr>
        <w:widowControl/>
        <w:tabs>
          <w:tab w:val="left" w:pos="510"/>
          <w:tab w:val="left" w:pos="900"/>
          <w:tab w:val="left" w:pos="1100"/>
        </w:tabs>
        <w:adjustRightInd/>
        <w:spacing w:line="360" w:lineRule="auto"/>
        <w:jc w:val="left"/>
        <w:textAlignment w:val="auto"/>
        <w:rPr>
          <w:rFonts w:ascii="宋体" w:hAnsi="宋体" w:cs="瀹嬩綋"/>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个标段</w:t>
      </w:r>
      <w:r>
        <w:rPr>
          <w:rFonts w:hint="eastAsia" w:ascii="宋体" w:hAnsi="宋体" w:cs="瀹嬩綋"/>
          <w:color w:val="000000" w:themeColor="text1"/>
          <w:sz w:val="21"/>
          <w:szCs w:val="21"/>
          <w:highlight w:val="none"/>
          <w14:textFill>
            <w14:solidFill>
              <w14:schemeClr w14:val="tx1"/>
            </w14:solidFill>
          </w14:textFill>
        </w:rPr>
        <w:t>。</w:t>
      </w:r>
    </w:p>
    <w:p w14:paraId="290C2B5A">
      <w:pPr>
        <w:widowControl/>
        <w:tabs>
          <w:tab w:val="left" w:pos="510"/>
          <w:tab w:val="left" w:pos="900"/>
          <w:tab w:val="left" w:pos="1100"/>
        </w:tabs>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3.6.本招标项目不要求中标人在项目所在地设立分(子)公司，中标人应当依法履行纳税义务。</w:t>
      </w:r>
    </w:p>
    <w:p w14:paraId="2ED050FC">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3.7.</w:t>
      </w:r>
      <w:r>
        <w:rPr>
          <w:rFonts w:hint="eastAsia" w:ascii="宋体" w:hAnsi="宋体" w:cs="瀹嬩綋"/>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14:textFill>
            <w14:solidFill>
              <w14:schemeClr w14:val="tx1"/>
            </w14:solidFill>
          </w14:textFill>
        </w:rPr>
        <w:t>其他主要人员要求以及资格审查的其他条件要求的具体内容见招标文件。</w:t>
      </w:r>
    </w:p>
    <w:p w14:paraId="2FB9BC88">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3.8.本招标项目招标人对投标人的资格审查采用资格后审方式。</w:t>
      </w:r>
    </w:p>
    <w:p w14:paraId="480521D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9" w:name="_Toc17981"/>
      <w:bookmarkStart w:id="60" w:name="_Toc3840"/>
      <w:bookmarkStart w:id="61" w:name="_Toc25004"/>
      <w:r>
        <w:rPr>
          <w:rFonts w:hint="eastAsia" w:ascii="黑体" w:hAnsi="黑体" w:eastAsia="黑体"/>
          <w:b w:val="0"/>
          <w:color w:val="000000" w:themeColor="text1"/>
          <w:sz w:val="28"/>
          <w:szCs w:val="28"/>
          <w:highlight w:val="none"/>
          <w14:textFill>
            <w14:solidFill>
              <w14:schemeClr w14:val="tx1"/>
            </w14:solidFill>
          </w14:textFill>
        </w:rPr>
        <w:t>4.技术成果经济补偿</w:t>
      </w:r>
      <w:bookmarkEnd w:id="59"/>
      <w:bookmarkEnd w:id="60"/>
      <w:bookmarkEnd w:id="61"/>
    </w:p>
    <w:p w14:paraId="06297302">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w:t>
      </w:r>
      <w:r>
        <w:rPr>
          <w:rFonts w:ascii="宋体" w:hAnsi="宋体"/>
          <w:color w:val="000000" w:themeColor="text1"/>
          <w:sz w:val="21"/>
          <w:szCs w:val="21"/>
          <w:highlight w:val="none"/>
          <w14:textFill>
            <w14:solidFill>
              <w14:schemeClr w14:val="tx1"/>
            </w14:solidFill>
          </w14:textFill>
        </w:rPr>
        <w:t>对未中标人投标文件中的技术成果</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7"/>
      </w:r>
      <w:r>
        <w:rPr>
          <w:rFonts w:ascii="宋体" w:hAnsi="宋体"/>
          <w:color w:val="000000" w:themeColor="text1"/>
          <w:sz w:val="21"/>
          <w:szCs w:val="21"/>
          <w:highlight w:val="none"/>
          <w14:textFill>
            <w14:solidFill>
              <w14:schemeClr w14:val="tx1"/>
            </w14:solidFill>
          </w14:textFill>
        </w:rPr>
        <w:t>经济补偿。给予</w:t>
      </w:r>
      <w:r>
        <w:rPr>
          <w:rFonts w:ascii="宋体" w:hAnsi="宋体"/>
          <w:color w:val="000000" w:themeColor="text1"/>
          <w:spacing w:val="-3"/>
          <w:sz w:val="21"/>
          <w:szCs w:val="21"/>
          <w:highlight w:val="none"/>
          <w14:textFill>
            <w14:solidFill>
              <w14:schemeClr w14:val="tx1"/>
            </w14:solidFill>
          </w14:textFill>
        </w:rPr>
        <w:t>经</w:t>
      </w:r>
      <w:r>
        <w:rPr>
          <w:rFonts w:ascii="宋体" w:hAnsi="宋体"/>
          <w:color w:val="000000" w:themeColor="text1"/>
          <w:sz w:val="21"/>
          <w:szCs w:val="21"/>
          <w:highlight w:val="none"/>
          <w14:textFill>
            <w14:solidFill>
              <w14:schemeClr w14:val="tx1"/>
            </w14:solidFill>
          </w14:textFill>
        </w:rPr>
        <w:t>济</w:t>
      </w:r>
      <w:r>
        <w:rPr>
          <w:rFonts w:ascii="宋体" w:hAnsi="宋体"/>
          <w:color w:val="000000" w:themeColor="text1"/>
          <w:spacing w:val="-3"/>
          <w:sz w:val="21"/>
          <w:szCs w:val="21"/>
          <w:highlight w:val="none"/>
          <w14:textFill>
            <w14:solidFill>
              <w14:schemeClr w14:val="tx1"/>
            </w14:solidFill>
          </w14:textFill>
        </w:rPr>
        <w:t>补</w:t>
      </w:r>
      <w:r>
        <w:rPr>
          <w:rFonts w:ascii="宋体" w:hAnsi="宋体"/>
          <w:color w:val="000000" w:themeColor="text1"/>
          <w:sz w:val="21"/>
          <w:szCs w:val="21"/>
          <w:highlight w:val="none"/>
          <w14:textFill>
            <w14:solidFill>
              <w14:schemeClr w14:val="tx1"/>
            </w14:solidFill>
          </w14:textFill>
        </w:rPr>
        <w:t>偿的</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招</w:t>
      </w:r>
      <w:r>
        <w:rPr>
          <w:rFonts w:ascii="宋体" w:hAnsi="宋体"/>
          <w:color w:val="000000" w:themeColor="text1"/>
          <w:spacing w:val="-3"/>
          <w:sz w:val="21"/>
          <w:szCs w:val="21"/>
          <w:highlight w:val="none"/>
          <w14:textFill>
            <w14:solidFill>
              <w14:schemeClr w14:val="tx1"/>
            </w14:solidFill>
          </w14:textFill>
        </w:rPr>
        <w:t>标</w:t>
      </w:r>
      <w:r>
        <w:rPr>
          <w:rFonts w:ascii="宋体" w:hAnsi="宋体"/>
          <w:color w:val="000000" w:themeColor="text1"/>
          <w:sz w:val="21"/>
          <w:szCs w:val="21"/>
          <w:highlight w:val="none"/>
          <w14:textFill>
            <w14:solidFill>
              <w14:schemeClr w14:val="tx1"/>
            </w14:solidFill>
          </w14:textFill>
        </w:rPr>
        <w:t>人</w:t>
      </w:r>
      <w:r>
        <w:rPr>
          <w:rFonts w:ascii="宋体" w:hAnsi="宋体"/>
          <w:color w:val="000000" w:themeColor="text1"/>
          <w:spacing w:val="-3"/>
          <w:sz w:val="21"/>
          <w:szCs w:val="21"/>
          <w:highlight w:val="none"/>
          <w14:textFill>
            <w14:solidFill>
              <w14:schemeClr w14:val="tx1"/>
            </w14:solidFill>
          </w14:textFill>
        </w:rPr>
        <w:t>将</w:t>
      </w:r>
      <w:r>
        <w:rPr>
          <w:rFonts w:ascii="宋体" w:hAnsi="宋体"/>
          <w:color w:val="000000" w:themeColor="text1"/>
          <w:sz w:val="21"/>
          <w:szCs w:val="21"/>
          <w:highlight w:val="none"/>
          <w14:textFill>
            <w14:solidFill>
              <w14:schemeClr w14:val="tx1"/>
            </w14:solidFill>
          </w14:textFill>
        </w:rPr>
        <w:t>按</w:t>
      </w:r>
      <w:r>
        <w:rPr>
          <w:rFonts w:hint="eastAsia" w:ascii="宋体" w:hAnsi="宋体"/>
          <w:color w:val="000000" w:themeColor="text1"/>
          <w:sz w:val="21"/>
          <w:szCs w:val="21"/>
          <w:highlight w:val="none"/>
          <w14:textFill>
            <w14:solidFill>
              <w14:schemeClr w14:val="tx1"/>
            </w14:solidFill>
          </w14:textFill>
        </w:rPr>
        <w:t>投标人须知前附表第31项</w:t>
      </w:r>
      <w:r>
        <w:rPr>
          <w:rFonts w:ascii="宋体" w:hAnsi="宋体"/>
          <w:color w:val="000000" w:themeColor="text1"/>
          <w:sz w:val="21"/>
          <w:szCs w:val="21"/>
          <w:highlight w:val="none"/>
          <w14:textFill>
            <w14:solidFill>
              <w14:schemeClr w14:val="tx1"/>
            </w14:solidFill>
          </w14:textFill>
        </w:rPr>
        <w:t>标</w:t>
      </w:r>
      <w:r>
        <w:rPr>
          <w:rFonts w:ascii="宋体" w:hAnsi="宋体"/>
          <w:color w:val="000000" w:themeColor="text1"/>
          <w:spacing w:val="-3"/>
          <w:sz w:val="21"/>
          <w:szCs w:val="21"/>
          <w:highlight w:val="none"/>
          <w14:textFill>
            <w14:solidFill>
              <w14:schemeClr w14:val="tx1"/>
            </w14:solidFill>
          </w14:textFill>
        </w:rPr>
        <w:t>准</w:t>
      </w:r>
      <w:r>
        <w:rPr>
          <w:rFonts w:ascii="宋体" w:hAnsi="宋体"/>
          <w:color w:val="000000" w:themeColor="text1"/>
          <w:sz w:val="21"/>
          <w:szCs w:val="21"/>
          <w:highlight w:val="none"/>
          <w14:textFill>
            <w14:solidFill>
              <w14:schemeClr w14:val="tx1"/>
            </w14:solidFill>
          </w14:textFill>
        </w:rPr>
        <w:t>支</w:t>
      </w:r>
      <w:r>
        <w:rPr>
          <w:rFonts w:ascii="宋体" w:hAnsi="宋体"/>
          <w:color w:val="000000" w:themeColor="text1"/>
          <w:spacing w:val="-3"/>
          <w:sz w:val="21"/>
          <w:szCs w:val="21"/>
          <w:highlight w:val="none"/>
          <w14:textFill>
            <w14:solidFill>
              <w14:schemeClr w14:val="tx1"/>
            </w14:solidFill>
          </w14:textFill>
        </w:rPr>
        <w:t>付</w:t>
      </w:r>
      <w:r>
        <w:rPr>
          <w:rFonts w:ascii="宋体" w:hAnsi="宋体"/>
          <w:color w:val="000000" w:themeColor="text1"/>
          <w:sz w:val="21"/>
          <w:szCs w:val="21"/>
          <w:highlight w:val="none"/>
          <w14:textFill>
            <w14:solidFill>
              <w14:schemeClr w14:val="tx1"/>
            </w14:solidFill>
          </w14:textFill>
        </w:rPr>
        <w:t>经</w:t>
      </w:r>
      <w:r>
        <w:rPr>
          <w:rFonts w:ascii="宋体" w:hAnsi="宋体"/>
          <w:color w:val="000000" w:themeColor="text1"/>
          <w:spacing w:val="-3"/>
          <w:sz w:val="21"/>
          <w:szCs w:val="21"/>
          <w:highlight w:val="none"/>
          <w14:textFill>
            <w14:solidFill>
              <w14:schemeClr w14:val="tx1"/>
            </w14:solidFill>
          </w14:textFill>
        </w:rPr>
        <w:t>济</w:t>
      </w:r>
      <w:r>
        <w:rPr>
          <w:rFonts w:ascii="宋体" w:hAnsi="宋体"/>
          <w:color w:val="000000" w:themeColor="text1"/>
          <w:sz w:val="21"/>
          <w:szCs w:val="21"/>
          <w:highlight w:val="none"/>
          <w14:textFill>
            <w14:solidFill>
              <w14:schemeClr w14:val="tx1"/>
            </w14:solidFill>
          </w14:textFill>
        </w:rPr>
        <w:t>补</w:t>
      </w:r>
      <w:r>
        <w:rPr>
          <w:rFonts w:ascii="宋体" w:hAnsi="宋体"/>
          <w:color w:val="000000" w:themeColor="text1"/>
          <w:spacing w:val="-3"/>
          <w:sz w:val="21"/>
          <w:szCs w:val="21"/>
          <w:highlight w:val="none"/>
          <w14:textFill>
            <w14:solidFill>
              <w14:schemeClr w14:val="tx1"/>
            </w14:solidFill>
          </w14:textFill>
        </w:rPr>
        <w:t>偿</w:t>
      </w:r>
      <w:r>
        <w:rPr>
          <w:rFonts w:ascii="宋体" w:hAnsi="宋体"/>
          <w:color w:val="000000" w:themeColor="text1"/>
          <w:sz w:val="21"/>
          <w:szCs w:val="21"/>
          <w:highlight w:val="none"/>
          <w14:textFill>
            <w14:solidFill>
              <w14:schemeClr w14:val="tx1"/>
            </w14:solidFill>
          </w14:textFill>
        </w:rPr>
        <w:t>费</w:t>
      </w:r>
      <w:r>
        <w:rPr>
          <w:rFonts w:hint="eastAsia" w:ascii="宋体" w:hAnsi="宋体"/>
          <w:color w:val="000000" w:themeColor="text1"/>
          <w:sz w:val="21"/>
          <w:szCs w:val="21"/>
          <w:highlight w:val="none"/>
          <w14:textFill>
            <w14:solidFill>
              <w14:schemeClr w14:val="tx1"/>
            </w14:solidFill>
          </w14:textFill>
        </w:rPr>
        <w:t>。</w:t>
      </w:r>
    </w:p>
    <w:p w14:paraId="19E0A27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2" w:name="_Toc3049"/>
      <w:bookmarkStart w:id="63" w:name="_Toc21098"/>
      <w:bookmarkStart w:id="64" w:name="_Toc25345"/>
      <w:r>
        <w:rPr>
          <w:rFonts w:hint="eastAsia" w:ascii="黑体" w:hAnsi="黑体" w:eastAsia="黑体"/>
          <w:b w:val="0"/>
          <w:color w:val="000000" w:themeColor="text1"/>
          <w:sz w:val="28"/>
          <w:szCs w:val="28"/>
          <w:highlight w:val="none"/>
          <w14:textFill>
            <w14:solidFill>
              <w14:schemeClr w14:val="tx1"/>
            </w14:solidFill>
          </w14:textFill>
        </w:rPr>
        <w:t>5.招标文件的获取</w:t>
      </w:r>
      <w:bookmarkEnd w:id="62"/>
      <w:bookmarkEnd w:id="63"/>
      <w:bookmarkEnd w:id="64"/>
    </w:p>
    <w:p w14:paraId="79E367EF">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请被邀请参加投标的投标人于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日，每天上午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秒，下午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秒（北京时间，下同），通过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8"/>
      </w:r>
      <w:r>
        <w:rPr>
          <w:rFonts w:hint="eastAsia" w:ascii="宋体" w:hAnsi="宋体"/>
          <w:color w:val="000000" w:themeColor="text1"/>
          <w:sz w:val="21"/>
          <w:szCs w:val="21"/>
          <w:highlight w:val="none"/>
          <w14:textFill>
            <w14:solidFill>
              <w14:schemeClr w14:val="tx1"/>
            </w14:solidFill>
          </w14:textFill>
        </w:rPr>
        <w:t>采用无记名方式免费下载招标文件。</w:t>
      </w:r>
      <w:r>
        <w:rPr>
          <w:rFonts w:hint="eastAsia" w:ascii="宋体" w:hAnsi="宋体" w:cs="瀹嬩綋"/>
          <w:color w:val="000000" w:themeColor="text1"/>
          <w:sz w:val="21"/>
          <w:szCs w:val="21"/>
          <w:highlight w:val="none"/>
          <w14:textFill>
            <w14:solidFill>
              <w14:schemeClr w14:val="tx1"/>
            </w14:solidFill>
          </w14:textFill>
        </w:rPr>
        <w:t>本招标项目电子招标文件使用</w:t>
      </w:r>
      <w:r>
        <w:rPr>
          <w:rFonts w:hint="eastAsia" w:ascii="宋体" w:hAnsi="宋体" w:cs="瀹嬩綋"/>
          <w:color w:val="000000" w:themeColor="text1"/>
          <w:sz w:val="21"/>
          <w:szCs w:val="21"/>
          <w:highlight w:val="none"/>
          <w:u w:val="single"/>
          <w14:textFill>
            <w14:solidFill>
              <w14:schemeClr w14:val="tx1"/>
            </w14:solidFill>
          </w14:textFill>
        </w:rPr>
        <w:t xml:space="preserve">                          </w:t>
      </w:r>
      <w:r>
        <w:rPr>
          <w:rStyle w:val="49"/>
          <w:rFonts w:ascii="宋体" w:hAnsi="宋体" w:cs="瀹嬩綋"/>
          <w:color w:val="000000" w:themeColor="text1"/>
          <w:sz w:val="21"/>
          <w:szCs w:val="21"/>
          <w:highlight w:val="none"/>
          <w:u w:val="single"/>
          <w14:textFill>
            <w14:solidFill>
              <w14:schemeClr w14:val="tx1"/>
            </w14:solidFill>
          </w14:textFill>
        </w:rPr>
        <w:footnoteReference w:id="39"/>
      </w:r>
      <w:r>
        <w:rPr>
          <w:rFonts w:hint="eastAsia" w:ascii="宋体" w:hAnsi="宋体" w:cs="瀹嬩綋"/>
          <w:color w:val="000000" w:themeColor="text1"/>
          <w:sz w:val="21"/>
          <w:szCs w:val="21"/>
          <w:highlight w:val="none"/>
          <w14:textFill>
            <w14:solidFill>
              <w14:schemeClr w14:val="tx1"/>
            </w14:solidFill>
          </w14:textFill>
        </w:rPr>
        <w:t>打开。</w:t>
      </w:r>
    </w:p>
    <w:p w14:paraId="02B3242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5" w:name="_Toc8661"/>
      <w:bookmarkStart w:id="66" w:name="_Toc26306"/>
      <w:bookmarkStart w:id="67" w:name="_Toc2706"/>
      <w:r>
        <w:rPr>
          <w:rFonts w:hint="eastAsia" w:ascii="黑体" w:hAnsi="黑体" w:eastAsia="黑体"/>
          <w:b w:val="0"/>
          <w:color w:val="000000" w:themeColor="text1"/>
          <w:sz w:val="28"/>
          <w:szCs w:val="28"/>
          <w:highlight w:val="none"/>
          <w14:textFill>
            <w14:solidFill>
              <w14:schemeClr w14:val="tx1"/>
            </w14:solidFill>
          </w14:textFill>
        </w:rPr>
        <w:t>6.评标办法</w:t>
      </w:r>
      <w:bookmarkEnd w:id="65"/>
      <w:bookmarkEnd w:id="66"/>
      <w:bookmarkEnd w:id="67"/>
    </w:p>
    <w:p w14:paraId="758CE01C">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本招标项目采用的评标办法：</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40"/>
      </w:r>
      <w:r>
        <w:rPr>
          <w:rFonts w:hint="eastAsia" w:ascii="宋体" w:hAnsi="宋体"/>
          <w:color w:val="000000" w:themeColor="text1"/>
          <w:sz w:val="21"/>
          <w:szCs w:val="21"/>
          <w:highlight w:val="none"/>
          <w14:textFill>
            <w14:solidFill>
              <w14:schemeClr w14:val="tx1"/>
            </w14:solidFill>
          </w14:textFill>
        </w:rPr>
        <w:t>。</w:t>
      </w:r>
    </w:p>
    <w:p w14:paraId="77C0691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8" w:name="_Toc24393"/>
      <w:bookmarkStart w:id="69" w:name="_Toc19248"/>
      <w:bookmarkStart w:id="70" w:name="_Toc28084"/>
      <w:r>
        <w:rPr>
          <w:rFonts w:hint="eastAsia" w:ascii="黑体" w:hAnsi="黑体" w:eastAsia="黑体"/>
          <w:b w:val="0"/>
          <w:color w:val="000000" w:themeColor="text1"/>
          <w:sz w:val="28"/>
          <w:szCs w:val="28"/>
          <w:highlight w:val="none"/>
          <w14:textFill>
            <w14:solidFill>
              <w14:schemeClr w14:val="tx1"/>
            </w14:solidFill>
          </w14:textFill>
        </w:rPr>
        <w:t>7.定标</w:t>
      </w:r>
      <w:r>
        <w:rPr>
          <w:rFonts w:hint="eastAsia" w:ascii="黑体" w:hAnsi="黑体" w:eastAsia="黑体"/>
          <w:b w:val="0"/>
          <w:color w:val="000000" w:themeColor="text1"/>
          <w:sz w:val="28"/>
          <w:szCs w:val="28"/>
          <w:highlight w:val="none"/>
          <w:lang w:val="en-US" w:eastAsia="zh-CN"/>
          <w14:textFill>
            <w14:solidFill>
              <w14:schemeClr w14:val="tx1"/>
            </w14:solidFill>
          </w14:textFill>
        </w:rPr>
        <w:t>方</w:t>
      </w:r>
      <w:r>
        <w:rPr>
          <w:rFonts w:hint="eastAsia" w:ascii="黑体" w:hAnsi="黑体" w:eastAsia="黑体"/>
          <w:b w:val="0"/>
          <w:color w:val="000000" w:themeColor="text1"/>
          <w:sz w:val="28"/>
          <w:szCs w:val="28"/>
          <w:highlight w:val="none"/>
          <w14:textFill>
            <w14:solidFill>
              <w14:schemeClr w14:val="tx1"/>
            </w14:solidFill>
          </w14:textFill>
        </w:rPr>
        <w:t>法</w:t>
      </w:r>
      <w:bookmarkEnd w:id="68"/>
      <w:bookmarkEnd w:id="69"/>
      <w:bookmarkEnd w:id="70"/>
    </w:p>
    <w:p w14:paraId="0D164404">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本招标项目采用的定标方法：</w:t>
      </w:r>
      <w:r>
        <w:rPr>
          <w:rFonts w:hint="eastAsia" w:ascii="宋体" w:hAnsi="宋体"/>
          <w:color w:val="000000" w:themeColor="text1"/>
          <w:sz w:val="21"/>
          <w:szCs w:val="21"/>
          <w:highlight w:val="none"/>
          <w:u w:val="single"/>
          <w:lang w:val="en-US" w:eastAsia="zh-CN"/>
          <w14:textFill>
            <w14:solidFill>
              <w14:schemeClr w14:val="tx1"/>
            </w14:solidFill>
          </w14:textFill>
        </w:rPr>
        <w:t>直接票决法</w:t>
      </w:r>
      <w:r>
        <w:rPr>
          <w:rFonts w:hint="eastAsia" w:ascii="宋体" w:hAnsi="宋体"/>
          <w:color w:val="000000" w:themeColor="text1"/>
          <w:sz w:val="21"/>
          <w:szCs w:val="21"/>
          <w:highlight w:val="none"/>
          <w14:textFill>
            <w14:solidFill>
              <w14:schemeClr w14:val="tx1"/>
            </w14:solidFill>
          </w14:textFill>
        </w:rPr>
        <w:t>。</w:t>
      </w:r>
    </w:p>
    <w:p w14:paraId="4E88E41B">
      <w:pPr>
        <w:pStyle w:val="4"/>
        <w:spacing w:beforeLines="50" w:afterLines="50" w:line="360" w:lineRule="auto"/>
        <w:rPr>
          <w:rFonts w:hint="eastAsia" w:ascii="黑体" w:hAnsi="黑体" w:eastAsia="黑体"/>
          <w:b w:val="0"/>
          <w:color w:val="000000" w:themeColor="text1"/>
          <w:sz w:val="28"/>
          <w:szCs w:val="28"/>
          <w:highlight w:val="none"/>
          <w:lang w:eastAsia="zh-CN"/>
          <w14:textFill>
            <w14:solidFill>
              <w14:schemeClr w14:val="tx1"/>
            </w14:solidFill>
          </w14:textFill>
        </w:rPr>
      </w:pPr>
      <w:bookmarkStart w:id="71" w:name="_Toc31222"/>
      <w:bookmarkStart w:id="72" w:name="_Toc31153"/>
      <w:bookmarkStart w:id="73" w:name="_Toc31869"/>
      <w:r>
        <w:rPr>
          <w:rFonts w:hint="eastAsia" w:ascii="黑体" w:hAnsi="黑体" w:eastAsia="黑体"/>
          <w:b w:val="0"/>
          <w:color w:val="000000" w:themeColor="text1"/>
          <w:sz w:val="28"/>
          <w:szCs w:val="28"/>
          <w:highlight w:val="none"/>
          <w14:textFill>
            <w14:solidFill>
              <w14:schemeClr w14:val="tx1"/>
            </w14:solidFill>
          </w14:textFill>
        </w:rPr>
        <w:t>8.投标保证金的</w:t>
      </w:r>
      <w:r>
        <w:rPr>
          <w:rFonts w:hint="eastAsia" w:ascii="黑体" w:hAnsi="黑体" w:eastAsia="黑体"/>
          <w:b w:val="0"/>
          <w:color w:val="000000" w:themeColor="text1"/>
          <w:sz w:val="28"/>
          <w:szCs w:val="28"/>
          <w:highlight w:val="none"/>
          <w:lang w:val="en-US" w:eastAsia="zh-CN"/>
          <w14:textFill>
            <w14:solidFill>
              <w14:schemeClr w14:val="tx1"/>
            </w14:solidFill>
          </w14:textFill>
        </w:rPr>
        <w:t>递交</w:t>
      </w:r>
      <w:bookmarkEnd w:id="71"/>
      <w:bookmarkEnd w:id="72"/>
      <w:bookmarkEnd w:id="73"/>
    </w:p>
    <w:p w14:paraId="5CDCD6F1">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8.1.投标保证金</w:t>
      </w:r>
      <w:r>
        <w:rPr>
          <w:rFonts w:hint="eastAsia" w:ascii="宋体" w:hAnsi="宋体"/>
          <w:color w:val="000000" w:themeColor="text1"/>
          <w:sz w:val="21"/>
          <w:szCs w:val="21"/>
          <w:highlight w:val="none"/>
          <w:lang w:val="en-US"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的时间：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7DEB3E0">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8.2.投标保证金</w:t>
      </w:r>
      <w:r>
        <w:rPr>
          <w:rFonts w:hint="eastAsia" w:ascii="宋体" w:hAnsi="宋体"/>
          <w:color w:val="000000" w:themeColor="text1"/>
          <w:sz w:val="21"/>
          <w:szCs w:val="21"/>
          <w:highlight w:val="none"/>
          <w:lang w:val="en-US"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46EA545">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8.3.投标保证金</w:t>
      </w:r>
      <w:r>
        <w:rPr>
          <w:rFonts w:hint="eastAsia" w:ascii="宋体" w:hAnsi="宋体"/>
          <w:color w:val="000000" w:themeColor="text1"/>
          <w:sz w:val="21"/>
          <w:szCs w:val="21"/>
          <w:highlight w:val="none"/>
          <w:lang w:val="en-US"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的金额：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0E0041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4" w:name="_Toc5764"/>
      <w:bookmarkStart w:id="75" w:name="_Toc223"/>
      <w:bookmarkStart w:id="76" w:name="_Toc22565"/>
      <w:r>
        <w:rPr>
          <w:rFonts w:hint="eastAsia" w:ascii="黑体" w:hAnsi="黑体" w:eastAsia="黑体"/>
          <w:b w:val="0"/>
          <w:color w:val="000000" w:themeColor="text1"/>
          <w:sz w:val="28"/>
          <w:szCs w:val="28"/>
          <w:highlight w:val="none"/>
          <w14:textFill>
            <w14:solidFill>
              <w14:schemeClr w14:val="tx1"/>
            </w14:solidFill>
          </w14:textFill>
        </w:rPr>
        <w:t>9.投标文件的递交</w:t>
      </w:r>
      <w:bookmarkEnd w:id="74"/>
      <w:bookmarkEnd w:id="75"/>
      <w:bookmarkEnd w:id="76"/>
    </w:p>
    <w:p w14:paraId="6FD9DEE8">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9.1.本招标项目投标文件采用线上方式递交，投标文件的截止时间（投标截止时间，下同）：</w:t>
      </w:r>
    </w:p>
    <w:p w14:paraId="0888D2DD">
      <w:pPr>
        <w:widowControl/>
        <w:tabs>
          <w:tab w:val="left" w:pos="900"/>
          <w:tab w:val="left" w:pos="1100"/>
        </w:tabs>
        <w:adjustRightInd/>
        <w:spacing w:line="360" w:lineRule="auto"/>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秒，投标人应在截止时间前通过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41"/>
      </w:r>
      <w:r>
        <w:rPr>
          <w:rFonts w:hint="eastAsia" w:ascii="宋体" w:hAnsi="宋体"/>
          <w:color w:val="000000" w:themeColor="text1"/>
          <w:sz w:val="21"/>
          <w:szCs w:val="21"/>
          <w:highlight w:val="none"/>
          <w14:textFill>
            <w14:solidFill>
              <w14:schemeClr w14:val="tx1"/>
            </w14:solidFill>
          </w14:textFill>
        </w:rPr>
        <w:t>递交电子投标文件。</w:t>
      </w:r>
      <w:r>
        <w:rPr>
          <w:rFonts w:hint="eastAsia" w:ascii="宋体" w:hAnsi="宋体" w:cs="瀹嬩綋"/>
          <w:color w:val="000000" w:themeColor="text1"/>
          <w:sz w:val="21"/>
          <w:szCs w:val="21"/>
          <w:highlight w:val="none"/>
          <w14:textFill>
            <w14:solidFill>
              <w14:schemeClr w14:val="tx1"/>
            </w14:solidFill>
          </w14:textFill>
        </w:rPr>
        <w:t>联合投标的，投标文件应由联合体牵头单位的</w:t>
      </w:r>
      <w:r>
        <w:rPr>
          <w:rFonts w:hint="eastAsia" w:ascii="宋体" w:hAnsi="宋体" w:cs="瀹嬩綋"/>
          <w:color w:val="000000" w:themeColor="text1"/>
          <w:sz w:val="21"/>
          <w:szCs w:val="21"/>
          <w:highlight w:val="none"/>
          <w:lang w:eastAsia="zh-CN"/>
          <w14:textFill>
            <w14:solidFill>
              <w14:schemeClr w14:val="tx1"/>
            </w14:solidFill>
          </w14:textFill>
        </w:rPr>
        <w:t>CA证书</w:t>
      </w:r>
      <w:r>
        <w:rPr>
          <w:rFonts w:hint="eastAsia" w:ascii="宋体" w:hAnsi="宋体" w:cs="瀹嬩綋"/>
          <w:color w:val="000000" w:themeColor="text1"/>
          <w:sz w:val="21"/>
          <w:szCs w:val="21"/>
          <w:highlight w:val="none"/>
          <w14:textFill>
            <w14:solidFill>
              <w14:schemeClr w14:val="tx1"/>
            </w14:solidFill>
          </w14:textFill>
        </w:rPr>
        <w:t>加密并上传到电子交易平台，开标时由上传此投标文件的单位</w:t>
      </w:r>
      <w:r>
        <w:rPr>
          <w:rFonts w:hint="eastAsia" w:ascii="宋体" w:hAnsi="宋体" w:cs="瀹嬩綋"/>
          <w:color w:val="000000" w:themeColor="text1"/>
          <w:sz w:val="21"/>
          <w:szCs w:val="21"/>
          <w:highlight w:val="none"/>
          <w:lang w:eastAsia="zh-CN"/>
          <w14:textFill>
            <w14:solidFill>
              <w14:schemeClr w14:val="tx1"/>
            </w14:solidFill>
          </w14:textFill>
        </w:rPr>
        <w:t>CA证书</w:t>
      </w:r>
      <w:r>
        <w:rPr>
          <w:rFonts w:hint="eastAsia" w:ascii="宋体" w:hAnsi="宋体" w:cs="瀹嬩綋"/>
          <w:color w:val="000000" w:themeColor="text1"/>
          <w:sz w:val="21"/>
          <w:szCs w:val="21"/>
          <w:highlight w:val="none"/>
          <w14:textFill>
            <w14:solidFill>
              <w14:schemeClr w14:val="tx1"/>
            </w14:solidFill>
          </w14:textFill>
        </w:rPr>
        <w:t>解密。</w:t>
      </w:r>
    </w:p>
    <w:p w14:paraId="79DD4DAA">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9.2.逾期上传至指定电子交易平台的投标文件，电子交易平台将不予受理。</w:t>
      </w:r>
    </w:p>
    <w:p w14:paraId="19283FC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7" w:name="_Toc16903"/>
      <w:bookmarkStart w:id="78" w:name="_Toc26742"/>
      <w:bookmarkStart w:id="79" w:name="_Toc15384"/>
      <w:r>
        <w:rPr>
          <w:rFonts w:hint="eastAsia" w:ascii="黑体" w:hAnsi="黑体" w:eastAsia="黑体"/>
          <w:b w:val="0"/>
          <w:color w:val="000000" w:themeColor="text1"/>
          <w:sz w:val="28"/>
          <w:szCs w:val="28"/>
          <w:highlight w:val="none"/>
          <w14:textFill>
            <w14:solidFill>
              <w14:schemeClr w14:val="tx1"/>
            </w14:solidFill>
          </w14:textFill>
        </w:rPr>
        <w:t>10.确认</w:t>
      </w:r>
      <w:bookmarkEnd w:id="77"/>
      <w:bookmarkEnd w:id="78"/>
      <w:bookmarkEnd w:id="79"/>
    </w:p>
    <w:p w14:paraId="373AEC46">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你单位收到本邀请书后，请于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秒前，通过电子交易平台确认是否参加投标（确认通知格式附后）。在本邀请书规定的时间内未表示是否参加投标或明确表示不参加投标的，不得再参加投标。</w:t>
      </w:r>
    </w:p>
    <w:p w14:paraId="1B1315E4">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0" w:name="_Toc23633"/>
      <w:bookmarkStart w:id="81" w:name="_Toc30974"/>
      <w:bookmarkStart w:id="82" w:name="_Toc27457"/>
      <w:r>
        <w:rPr>
          <w:rFonts w:hint="eastAsia" w:ascii="黑体" w:hAnsi="黑体" w:eastAsia="黑体"/>
          <w:b w:val="0"/>
          <w:color w:val="000000" w:themeColor="text1"/>
          <w:sz w:val="28"/>
          <w:szCs w:val="28"/>
          <w:highlight w:val="none"/>
          <w14:textFill>
            <w14:solidFill>
              <w14:schemeClr w14:val="tx1"/>
            </w14:solidFill>
          </w14:textFill>
        </w:rPr>
        <w:t>11.联系方式</w:t>
      </w:r>
      <w:bookmarkEnd w:id="80"/>
      <w:bookmarkEnd w:id="81"/>
      <w:bookmarkEnd w:id="82"/>
    </w:p>
    <w:p w14:paraId="3555777A">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0DCD1B27">
      <w:pPr>
        <w:pStyle w:val="13"/>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3D80323D">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，传真：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627E18B1">
      <w:pPr>
        <w:pStyle w:val="13"/>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1357F95D">
      <w:pPr>
        <w:pStyle w:val="13"/>
        <w:snapToGrid w:val="0"/>
        <w:spacing w:line="360" w:lineRule="auto"/>
        <w:ind w:firstLine="422" w:firstLineChars="201"/>
        <w:jc w:val="left"/>
        <w:rPr>
          <w:rFonts w:hint="eastAsia" w:ascii="宋体" w:hAnsi="宋体" w:eastAsia="宋体"/>
          <w:color w:val="000000" w:themeColor="text1"/>
          <w:szCs w:val="21"/>
          <w:highlight w:val="none"/>
          <w14:textFill>
            <w14:solidFill>
              <w14:schemeClr w14:val="tx1"/>
            </w14:solidFill>
          </w14:textFill>
        </w:rPr>
      </w:pPr>
    </w:p>
    <w:p w14:paraId="2A632166">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招标代理机构：</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4CAFBF08">
      <w:pPr>
        <w:pStyle w:val="13"/>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6E7B8986">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，传真：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477C87C6">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61B861E7">
      <w:pPr>
        <w:pStyle w:val="13"/>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电子交易平台名称</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12CCBD0E">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网址</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45226C28">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55AC3874">
      <w:pPr>
        <w:pStyle w:val="13"/>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招投标监督机构名称：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4E8FF3B7">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379A0C33">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3ADB1AE2">
      <w:pPr>
        <w:pStyle w:val="13"/>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公共资源交易中心名称：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05478642">
      <w:pPr>
        <w:pStyle w:val="13"/>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60396F80">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theme="minorBidi"/>
          <w:color w:val="000000" w:themeColor="text1"/>
          <w:sz w:val="21"/>
          <w:szCs w:val="21"/>
          <w:highlight w:val="none"/>
          <w14:textFill>
            <w14:solidFill>
              <w14:schemeClr w14:val="tx1"/>
            </w14:solidFill>
          </w14:textFill>
        </w:rPr>
        <w:t>联系电话</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71EDF5D">
      <w:pPr>
        <w:pStyle w:val="4"/>
        <w:rPr>
          <w:rFonts w:hint="eastAsia" w:ascii="黑体" w:hAnsi="黑体" w:eastAsia="黑体"/>
          <w:b w:val="0"/>
          <w:color w:val="000000" w:themeColor="text1"/>
          <w:sz w:val="21"/>
          <w:szCs w:val="21"/>
          <w:highlight w:val="none"/>
          <w14:textFill>
            <w14:solidFill>
              <w14:schemeClr w14:val="tx1"/>
            </w14:solidFill>
          </w14:textFill>
        </w:rPr>
      </w:pPr>
    </w:p>
    <w:p w14:paraId="06DC814B">
      <w:pPr>
        <w:rPr>
          <w:rFonts w:hint="eastAsia"/>
          <w:color w:val="000000" w:themeColor="text1"/>
          <w:highlight w:val="none"/>
          <w14:textFill>
            <w14:solidFill>
              <w14:schemeClr w14:val="tx1"/>
            </w14:solidFill>
          </w14:textFill>
        </w:rPr>
      </w:pPr>
    </w:p>
    <w:p w14:paraId="7CD54F3E">
      <w:pPr>
        <w:pStyle w:val="4"/>
        <w:rPr>
          <w:rFonts w:ascii="宋体" w:hAnsi="宋体"/>
          <w:color w:val="000000" w:themeColor="text1"/>
          <w:sz w:val="28"/>
          <w:szCs w:val="28"/>
          <w:highlight w:val="none"/>
          <w14:textFill>
            <w14:solidFill>
              <w14:schemeClr w14:val="tx1"/>
            </w14:solidFill>
          </w14:textFill>
        </w:rPr>
      </w:pPr>
      <w:bookmarkStart w:id="83" w:name="_Toc16643"/>
      <w:bookmarkStart w:id="84" w:name="_Toc31076"/>
      <w:bookmarkStart w:id="85" w:name="_Toc7773"/>
      <w:r>
        <w:rPr>
          <w:rFonts w:hint="eastAsia" w:ascii="黑体" w:hAnsi="黑体" w:eastAsia="黑体"/>
          <w:b w:val="0"/>
          <w:color w:val="000000" w:themeColor="text1"/>
          <w:sz w:val="21"/>
          <w:szCs w:val="21"/>
          <w:highlight w:val="none"/>
          <w14:textFill>
            <w14:solidFill>
              <w14:schemeClr w14:val="tx1"/>
            </w14:solidFill>
          </w14:textFill>
        </w:rPr>
        <w:t>附件1-1：确认通知（格式）</w:t>
      </w:r>
      <w:bookmarkEnd w:id="83"/>
      <w:bookmarkEnd w:id="84"/>
      <w:bookmarkEnd w:id="85"/>
    </w:p>
    <w:p w14:paraId="601B8458">
      <w:pPr>
        <w:pStyle w:val="57"/>
        <w:jc w:val="center"/>
        <w:rPr>
          <w:rFonts w:hAnsi="黑体"/>
          <w:b/>
          <w:color w:val="000000" w:themeColor="text1"/>
          <w:sz w:val="28"/>
          <w:szCs w:val="28"/>
          <w:highlight w:val="none"/>
          <w14:textFill>
            <w14:solidFill>
              <w14:schemeClr w14:val="tx1"/>
            </w14:solidFill>
          </w14:textFill>
        </w:rPr>
      </w:pPr>
      <w:r>
        <w:rPr>
          <w:rFonts w:hint="eastAsia" w:hAnsi="黑体"/>
          <w:b/>
          <w:color w:val="000000" w:themeColor="text1"/>
          <w:sz w:val="28"/>
          <w:szCs w:val="28"/>
          <w:highlight w:val="none"/>
          <w14:textFill>
            <w14:solidFill>
              <w14:schemeClr w14:val="tx1"/>
            </w14:solidFill>
          </w14:textFill>
        </w:rPr>
        <w:t>确认通知</w:t>
      </w:r>
    </w:p>
    <w:p w14:paraId="1813CC98">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49"/>
          <w:rFonts w:ascii="宋体" w:hAnsi="宋体" w:eastAsia="宋体" w:cs="宋体"/>
          <w:color w:val="000000" w:themeColor="text1"/>
          <w:sz w:val="21"/>
          <w:szCs w:val="21"/>
          <w:highlight w:val="none"/>
          <w:u w:val="single"/>
          <w14:textFill>
            <w14:solidFill>
              <w14:schemeClr w14:val="tx1"/>
            </w14:solidFill>
          </w14:textFill>
        </w:rPr>
        <w:footnoteReference w:id="42"/>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14:paraId="5DEFF67B">
      <w:pPr>
        <w:pStyle w:val="57"/>
        <w:spacing w:line="36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我方已于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日收到你方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日发出的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49"/>
          <w:rFonts w:ascii="宋体" w:hAnsi="宋体" w:eastAsia="宋体" w:cs="宋体"/>
          <w:color w:val="000000" w:themeColor="text1"/>
          <w:sz w:val="21"/>
          <w:szCs w:val="21"/>
          <w:highlight w:val="none"/>
          <w:u w:val="single"/>
          <w14:textFill>
            <w14:solidFill>
              <w14:schemeClr w14:val="tx1"/>
            </w14:solidFill>
          </w14:textFill>
        </w:rPr>
        <w:footnoteReference w:id="43"/>
      </w:r>
      <w:r>
        <w:rPr>
          <w:rFonts w:hint="eastAsia" w:ascii="宋体" w:hAnsi="宋体" w:eastAsia="宋体" w:cs="宋体"/>
          <w:color w:val="000000" w:themeColor="text1"/>
          <w:sz w:val="21"/>
          <w:szCs w:val="21"/>
          <w:highlight w:val="none"/>
          <w14:textFill>
            <w14:solidFill>
              <w14:schemeClr w14:val="tx1"/>
            </w14:solidFill>
          </w14:textFill>
        </w:rPr>
        <w:t>招标的投标邀请书，并确认</w:t>
      </w:r>
      <w:r>
        <w:rPr>
          <w:rFonts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49"/>
          <w:rFonts w:ascii="宋体" w:hAnsi="宋体" w:eastAsia="宋体" w:cs="宋体"/>
          <w:color w:val="000000" w:themeColor="text1"/>
          <w:sz w:val="21"/>
          <w:szCs w:val="21"/>
          <w:highlight w:val="none"/>
          <w:u w:val="single"/>
          <w14:textFill>
            <w14:solidFill>
              <w14:schemeClr w14:val="tx1"/>
            </w14:solidFill>
          </w14:textFill>
        </w:rPr>
        <w:footnoteReference w:id="44"/>
      </w:r>
      <w:r>
        <w:rPr>
          <w:rFonts w:hint="eastAsia" w:ascii="宋体" w:hAnsi="宋体" w:eastAsia="宋体" w:cs="宋体"/>
          <w:color w:val="000000" w:themeColor="text1"/>
          <w:sz w:val="21"/>
          <w:szCs w:val="21"/>
          <w:highlight w:val="none"/>
          <w14:textFill>
            <w14:solidFill>
              <w14:schemeClr w14:val="tx1"/>
            </w14:solidFill>
          </w14:textFill>
        </w:rPr>
        <w:t>投标。</w:t>
      </w:r>
      <w:r>
        <w:rPr>
          <w:rFonts w:ascii="宋体" w:hAnsi="宋体" w:eastAsia="宋体" w:cs="宋体"/>
          <w:color w:val="000000" w:themeColor="text1"/>
          <w:sz w:val="21"/>
          <w:szCs w:val="21"/>
          <w:highlight w:val="none"/>
          <w14:textFill>
            <w14:solidFill>
              <w14:schemeClr w14:val="tx1"/>
            </w14:solidFill>
          </w14:textFill>
        </w:rPr>
        <w:t xml:space="preserve"> </w:t>
      </w:r>
    </w:p>
    <w:p w14:paraId="060BE712">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特此确认。</w:t>
      </w:r>
      <w:r>
        <w:rPr>
          <w:rFonts w:ascii="宋体" w:hAnsi="宋体" w:eastAsia="宋体" w:cs="宋体"/>
          <w:color w:val="000000" w:themeColor="text1"/>
          <w:sz w:val="21"/>
          <w:szCs w:val="21"/>
          <w:highlight w:val="none"/>
          <w14:textFill>
            <w14:solidFill>
              <w14:schemeClr w14:val="tx1"/>
            </w14:solidFill>
          </w14:textFill>
        </w:rPr>
        <w:t xml:space="preserve"> </w:t>
      </w:r>
    </w:p>
    <w:p w14:paraId="6390A66A">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14:paraId="30F79DF0">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被邀请单位名称：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（盖单位公章）</w:t>
      </w:r>
      <w:r>
        <w:rPr>
          <w:rFonts w:ascii="宋体" w:hAnsi="宋体" w:eastAsia="宋体" w:cs="宋体"/>
          <w:color w:val="000000" w:themeColor="text1"/>
          <w:sz w:val="21"/>
          <w:szCs w:val="21"/>
          <w:highlight w:val="none"/>
          <w14:textFill>
            <w14:solidFill>
              <w14:schemeClr w14:val="tx1"/>
            </w14:solidFill>
          </w14:textFill>
        </w:rPr>
        <w:t xml:space="preserve"> </w:t>
      </w:r>
    </w:p>
    <w:p w14:paraId="5969A271">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（签字或盖章）</w:t>
      </w:r>
    </w:p>
    <w:p w14:paraId="6EC9B2B5">
      <w:pPr>
        <w:pStyle w:val="57"/>
        <w:spacing w:line="360" w:lineRule="auto"/>
        <w:ind w:firstLine="3402" w:firstLineChars="162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30422A9A">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14:paraId="11203F61">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14:paraId="6FD19571">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14:paraId="0672F8BE">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14:paraId="1DA7C373">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14:paraId="4ACE802D">
      <w:pPr>
        <w:pStyle w:val="57"/>
        <w:spacing w:line="360" w:lineRule="auto"/>
        <w:jc w:val="center"/>
        <w:rPr>
          <w:rFonts w:ascii="宋体" w:hAnsi="宋体" w:eastAsia="宋体"/>
          <w:b/>
          <w:color w:val="000000" w:themeColor="text1"/>
          <w:sz w:val="44"/>
          <w:szCs w:val="44"/>
          <w:highlight w:val="none"/>
          <w14:textFill>
            <w14:solidFill>
              <w14:schemeClr w14:val="tx1"/>
            </w14:solidFill>
          </w14:textFill>
        </w:rPr>
      </w:pPr>
    </w:p>
    <w:p w14:paraId="0E63230D">
      <w:pPr>
        <w:pStyle w:val="57"/>
        <w:spacing w:line="360" w:lineRule="auto"/>
        <w:jc w:val="center"/>
        <w:rPr>
          <w:rFonts w:ascii="宋体" w:hAnsi="宋体" w:eastAsia="宋体"/>
          <w:b/>
          <w:color w:val="000000" w:themeColor="text1"/>
          <w:sz w:val="44"/>
          <w:szCs w:val="44"/>
          <w:highlight w:val="none"/>
          <w14:textFill>
            <w14:solidFill>
              <w14:schemeClr w14:val="tx1"/>
            </w14:solidFill>
          </w14:textFill>
        </w:rPr>
      </w:pPr>
    </w:p>
    <w:p w14:paraId="313588C5">
      <w:pPr>
        <w:pStyle w:val="57"/>
        <w:spacing w:line="360" w:lineRule="auto"/>
        <w:jc w:val="center"/>
        <w:rPr>
          <w:rFonts w:ascii="宋体" w:hAnsi="宋体" w:eastAsia="宋体"/>
          <w:b/>
          <w:color w:val="000000" w:themeColor="text1"/>
          <w:sz w:val="44"/>
          <w:szCs w:val="44"/>
          <w:highlight w:val="none"/>
          <w14:textFill>
            <w14:solidFill>
              <w14:schemeClr w14:val="tx1"/>
            </w14:solidFill>
          </w14:textFill>
        </w:rPr>
      </w:pPr>
    </w:p>
    <w:p w14:paraId="59B8D548">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14:paraId="3780D36E">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14:paraId="1BC459C0">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14:paraId="3D0666E4">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14:paraId="5F477BE7">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14:paraId="4BFAF8E7">
      <w:pPr>
        <w:pStyle w:val="57"/>
        <w:spacing w:beforeLines="700" w:line="360" w:lineRule="auto"/>
        <w:jc w:val="center"/>
        <w:outlineLvl w:val="1"/>
        <w:rPr>
          <w:rFonts w:hint="eastAsia" w:hAnsi="黑体"/>
          <w:color w:val="000000" w:themeColor="text1"/>
          <w:sz w:val="44"/>
          <w:szCs w:val="44"/>
          <w:highlight w:val="none"/>
          <w14:textFill>
            <w14:solidFill>
              <w14:schemeClr w14:val="tx1"/>
            </w14:solidFill>
          </w14:textFill>
        </w:rPr>
      </w:pPr>
      <w:bookmarkStart w:id="86" w:name="_Toc3748"/>
      <w:bookmarkStart w:id="87" w:name="_Toc3677"/>
    </w:p>
    <w:p w14:paraId="52FB70FA">
      <w:pPr>
        <w:pStyle w:val="57"/>
        <w:spacing w:beforeLines="700" w:line="360" w:lineRule="auto"/>
        <w:jc w:val="center"/>
        <w:outlineLvl w:val="1"/>
        <w:rPr>
          <w:rFonts w:hAnsi="黑体"/>
          <w:color w:val="000000" w:themeColor="text1"/>
          <w:sz w:val="44"/>
          <w:szCs w:val="44"/>
          <w:highlight w:val="none"/>
          <w14:textFill>
            <w14:solidFill>
              <w14:schemeClr w14:val="tx1"/>
            </w14:solidFill>
          </w14:textFill>
        </w:rPr>
      </w:pPr>
      <w:bookmarkStart w:id="88" w:name="_Toc5641"/>
      <w:r>
        <w:rPr>
          <w:rFonts w:hint="eastAsia" w:hAnsi="黑体"/>
          <w:color w:val="000000" w:themeColor="text1"/>
          <w:sz w:val="44"/>
          <w:szCs w:val="44"/>
          <w:highlight w:val="none"/>
          <w14:textFill>
            <w14:solidFill>
              <w14:schemeClr w14:val="tx1"/>
            </w14:solidFill>
          </w14:textFill>
        </w:rPr>
        <w:t>第二章 投标人须知</w:t>
      </w:r>
      <w:bookmarkEnd w:id="86"/>
      <w:bookmarkEnd w:id="87"/>
      <w:bookmarkEnd w:id="88"/>
    </w:p>
    <w:p w14:paraId="0C4ACB21">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58B9B2FC">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29E82254">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1878E581">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4B81E4F6">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7007C6CA">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6AA3E7D4">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641F1531">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23481F88">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380B24C0">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73D486C0">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20725278">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54F1281B">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0F592999">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1AF4A260">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2B998DF1">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5FD59364">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4CCFADAD">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14:paraId="2A0F2A9E">
      <w:pPr>
        <w:spacing w:before="0" w:after="0" w:line="360" w:lineRule="auto"/>
        <w:jc w:val="center"/>
        <w:rPr>
          <w:rFonts w:hint="eastAsia" w:ascii="黑体" w:hAnsi="黑体" w:eastAsia="黑体"/>
          <w:b w:val="0"/>
          <w:color w:val="000000" w:themeColor="text1"/>
          <w:highlight w:val="none"/>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br w:type="page"/>
      </w:r>
    </w:p>
    <w:p w14:paraId="79ED6243">
      <w:pPr>
        <w:pStyle w:val="4"/>
        <w:spacing w:before="0" w:after="0" w:line="360" w:lineRule="auto"/>
        <w:jc w:val="center"/>
        <w:rPr>
          <w:rFonts w:ascii="黑体" w:hAnsi="黑体" w:eastAsia="黑体"/>
          <w:b w:val="0"/>
          <w:color w:val="000000" w:themeColor="text1"/>
          <w:sz w:val="28"/>
          <w:szCs w:val="28"/>
          <w:highlight w:val="none"/>
          <w14:textFill>
            <w14:solidFill>
              <w14:schemeClr w14:val="tx1"/>
            </w14:solidFill>
          </w14:textFill>
        </w:rPr>
      </w:pPr>
      <w:bookmarkStart w:id="89" w:name="_Toc6255"/>
      <w:bookmarkStart w:id="90" w:name="_Toc485"/>
      <w:bookmarkStart w:id="91" w:name="_Toc8534"/>
      <w:r>
        <w:rPr>
          <w:rFonts w:hint="eastAsia" w:ascii="黑体" w:hAnsi="黑体" w:eastAsia="黑体"/>
          <w:b w:val="0"/>
          <w:color w:val="000000" w:themeColor="text1"/>
          <w:sz w:val="28"/>
          <w:szCs w:val="28"/>
          <w:highlight w:val="none"/>
          <w14:textFill>
            <w14:solidFill>
              <w14:schemeClr w14:val="tx1"/>
            </w14:solidFill>
          </w14:textFill>
        </w:rPr>
        <w:t>第二章 投标人须知</w:t>
      </w:r>
      <w:bookmarkEnd w:id="89"/>
      <w:bookmarkEnd w:id="90"/>
      <w:bookmarkEnd w:id="91"/>
    </w:p>
    <w:p w14:paraId="77063974">
      <w:pPr>
        <w:pStyle w:val="4"/>
        <w:spacing w:before="0" w:after="0" w:line="360" w:lineRule="auto"/>
        <w:rPr>
          <w:rFonts w:ascii="黑体" w:hAnsi="黑体" w:eastAsia="黑体"/>
          <w:b w:val="0"/>
          <w:color w:val="000000" w:themeColor="text1"/>
          <w:sz w:val="21"/>
          <w:szCs w:val="21"/>
          <w:highlight w:val="none"/>
          <w14:textFill>
            <w14:solidFill>
              <w14:schemeClr w14:val="tx1"/>
            </w14:solidFill>
          </w14:textFill>
        </w:rPr>
      </w:pPr>
      <w:bookmarkStart w:id="92" w:name="_Toc693"/>
      <w:bookmarkStart w:id="93" w:name="_Toc26366"/>
      <w:bookmarkStart w:id="94" w:name="_Toc12700"/>
      <w:r>
        <w:rPr>
          <w:rFonts w:hint="eastAsia" w:ascii="黑体" w:hAnsi="黑体" w:eastAsia="黑体"/>
          <w:b w:val="0"/>
          <w:color w:val="000000" w:themeColor="text1"/>
          <w:sz w:val="21"/>
          <w:szCs w:val="21"/>
          <w:highlight w:val="none"/>
          <w14:textFill>
            <w14:solidFill>
              <w14:schemeClr w14:val="tx1"/>
            </w14:solidFill>
          </w14:textFill>
        </w:rPr>
        <w:t>投标人须知前附表</w:t>
      </w:r>
      <w:bookmarkEnd w:id="92"/>
      <w:bookmarkEnd w:id="93"/>
      <w:bookmarkEnd w:id="94"/>
    </w:p>
    <w:tbl>
      <w:tblPr>
        <w:tblStyle w:val="41"/>
        <w:tblW w:w="9498" w:type="dxa"/>
        <w:tblInd w:w="-3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1559"/>
        <w:gridCol w:w="6237"/>
      </w:tblGrid>
      <w:tr w14:paraId="24ECA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09" w:type="dxa"/>
            <w:tcBorders>
              <w:tl2br w:val="nil"/>
              <w:tr2bl w:val="nil"/>
            </w:tcBorders>
            <w:vAlign w:val="center"/>
          </w:tcPr>
          <w:p w14:paraId="4314865B">
            <w:pPr>
              <w:pStyle w:val="13"/>
              <w:snapToGrid w:val="0"/>
              <w:spacing w:line="40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项号</w:t>
            </w:r>
          </w:p>
        </w:tc>
        <w:tc>
          <w:tcPr>
            <w:tcW w:w="993" w:type="dxa"/>
            <w:tcBorders>
              <w:tl2br w:val="nil"/>
              <w:tr2bl w:val="nil"/>
            </w:tcBorders>
            <w:vAlign w:val="center"/>
          </w:tcPr>
          <w:p w14:paraId="0CF5F8B6">
            <w:pPr>
              <w:pStyle w:val="13"/>
              <w:snapToGrid w:val="0"/>
              <w:spacing w:line="40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条款号</w:t>
            </w:r>
          </w:p>
        </w:tc>
        <w:tc>
          <w:tcPr>
            <w:tcW w:w="1559" w:type="dxa"/>
            <w:tcBorders>
              <w:tl2br w:val="nil"/>
              <w:tr2bl w:val="nil"/>
            </w:tcBorders>
            <w:vAlign w:val="center"/>
          </w:tcPr>
          <w:p w14:paraId="21A5E01A">
            <w:pPr>
              <w:pStyle w:val="13"/>
              <w:snapToGrid w:val="0"/>
              <w:spacing w:line="40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条款名称</w:t>
            </w:r>
          </w:p>
        </w:tc>
        <w:tc>
          <w:tcPr>
            <w:tcW w:w="6237" w:type="dxa"/>
            <w:tcBorders>
              <w:tl2br w:val="nil"/>
              <w:tr2bl w:val="nil"/>
            </w:tcBorders>
            <w:vAlign w:val="center"/>
          </w:tcPr>
          <w:p w14:paraId="1A668BA9">
            <w:pPr>
              <w:pStyle w:val="13"/>
              <w:snapToGrid w:val="0"/>
              <w:spacing w:line="40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编列内容</w:t>
            </w:r>
            <w:r>
              <w:rPr>
                <w:rStyle w:val="49"/>
                <w:rFonts w:ascii="黑体" w:hAnsi="黑体" w:eastAsia="黑体"/>
                <w:color w:val="000000" w:themeColor="text1"/>
                <w:szCs w:val="21"/>
                <w:highlight w:val="none"/>
                <w14:textFill>
                  <w14:solidFill>
                    <w14:schemeClr w14:val="tx1"/>
                  </w14:solidFill>
                </w14:textFill>
              </w:rPr>
              <w:footnoteReference w:id="45"/>
            </w:r>
          </w:p>
        </w:tc>
      </w:tr>
      <w:tr w14:paraId="134AE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tl2br w:val="nil"/>
              <w:tr2bl w:val="nil"/>
            </w:tcBorders>
            <w:vAlign w:val="center"/>
          </w:tcPr>
          <w:p w14:paraId="609F6326">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p>
        </w:tc>
        <w:tc>
          <w:tcPr>
            <w:tcW w:w="993" w:type="dxa"/>
            <w:tcBorders>
              <w:tl2br w:val="nil"/>
              <w:tr2bl w:val="nil"/>
            </w:tcBorders>
            <w:vAlign w:val="center"/>
          </w:tcPr>
          <w:p w14:paraId="761603EC">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1.1.1</w:t>
            </w:r>
          </w:p>
        </w:tc>
        <w:tc>
          <w:tcPr>
            <w:tcW w:w="1559" w:type="dxa"/>
            <w:tcBorders>
              <w:tl2br w:val="nil"/>
              <w:tr2bl w:val="nil"/>
            </w:tcBorders>
            <w:vAlign w:val="center"/>
          </w:tcPr>
          <w:p w14:paraId="1D15813E">
            <w:pPr>
              <w:pStyle w:val="13"/>
              <w:snapToGrid w:val="0"/>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招标人和招标代理机构</w:t>
            </w:r>
          </w:p>
        </w:tc>
        <w:tc>
          <w:tcPr>
            <w:tcW w:w="6237" w:type="dxa"/>
            <w:tcBorders>
              <w:tl2br w:val="nil"/>
              <w:tr2bl w:val="nil"/>
            </w:tcBorders>
            <w:vAlign w:val="center"/>
          </w:tcPr>
          <w:p w14:paraId="6588BECD">
            <w:pPr>
              <w:pStyle w:val="13"/>
              <w:snapToGrid w:val="0"/>
              <w:spacing w:line="300" w:lineRule="auto"/>
              <w:ind w:firstLine="420" w:firstLineChars="200"/>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w:t>
            </w:r>
            <w:r>
              <w:rPr>
                <w:rFonts w:hint="eastAsia" w:ascii="宋体" w:hAnsi="宋体" w:eastAsia="宋体"/>
                <w:color w:val="000000" w:themeColor="text1"/>
                <w:szCs w:val="21"/>
                <w:highlight w:val="none"/>
                <w:u w:val="single"/>
                <w14:textFill>
                  <w14:solidFill>
                    <w14:schemeClr w14:val="tx1"/>
                  </w14:solidFill>
                </w14:textFill>
              </w:rPr>
              <w:t xml:space="preserve">                         </w:t>
            </w:r>
          </w:p>
          <w:p w14:paraId="00B0DC0F">
            <w:pPr>
              <w:pStyle w:val="13"/>
              <w:snapToGrid w:val="0"/>
              <w:spacing w:line="300" w:lineRule="auto"/>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p>
          <w:p w14:paraId="2CE99AD3">
            <w:pPr>
              <w:pStyle w:val="13"/>
              <w:snapToGrid w:val="0"/>
              <w:spacing w:line="300" w:lineRule="auto"/>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p>
          <w:p w14:paraId="52A95EEF">
            <w:pPr>
              <w:pStyle w:val="13"/>
              <w:snapToGrid w:val="0"/>
              <w:spacing w:line="300" w:lineRule="auto"/>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14:paraId="33B8304F">
            <w:pPr>
              <w:pStyle w:val="13"/>
              <w:snapToGrid w:val="0"/>
              <w:spacing w:line="300" w:lineRule="auto"/>
              <w:ind w:firstLine="420"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招标代理机构：</w:t>
            </w:r>
            <w:r>
              <w:rPr>
                <w:rFonts w:hint="eastAsia" w:ascii="宋体" w:hAnsi="宋体" w:eastAsia="宋体"/>
                <w:color w:val="000000" w:themeColor="text1"/>
                <w:szCs w:val="21"/>
                <w:highlight w:val="none"/>
                <w:u w:val="single"/>
                <w14:textFill>
                  <w14:solidFill>
                    <w14:schemeClr w14:val="tx1"/>
                  </w14:solidFill>
                </w14:textFill>
              </w:rPr>
              <w:t xml:space="preserve">                   </w:t>
            </w:r>
          </w:p>
          <w:p w14:paraId="6E0AEFED">
            <w:pPr>
              <w:pStyle w:val="13"/>
              <w:snapToGrid w:val="0"/>
              <w:spacing w:line="300" w:lineRule="auto"/>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14:paraId="572018D8">
            <w:pPr>
              <w:pStyle w:val="13"/>
              <w:snapToGrid w:val="0"/>
              <w:spacing w:line="300" w:lineRule="auto"/>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p>
          <w:p w14:paraId="4308320E">
            <w:pPr>
              <w:pStyle w:val="13"/>
              <w:snapToGrid w:val="0"/>
              <w:spacing w:line="300" w:lineRule="auto"/>
              <w:ind w:firstLineChars="200"/>
              <w:jc w:val="left"/>
              <w:rPr>
                <w:rFonts w:ascii="宋体" w:hAnsi="宋体" w:eastAsia="宋体"/>
                <w:i/>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tc>
      </w:tr>
      <w:tr w14:paraId="46584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tl2br w:val="nil"/>
              <w:tr2bl w:val="nil"/>
            </w:tcBorders>
            <w:vAlign w:val="center"/>
          </w:tcPr>
          <w:p w14:paraId="4265BD5F">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p>
        </w:tc>
        <w:tc>
          <w:tcPr>
            <w:tcW w:w="993" w:type="dxa"/>
            <w:tcBorders>
              <w:tl2br w:val="nil"/>
              <w:tr2bl w:val="nil"/>
            </w:tcBorders>
            <w:vAlign w:val="center"/>
          </w:tcPr>
          <w:p w14:paraId="1258B27E">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1.1.2</w:t>
            </w:r>
          </w:p>
        </w:tc>
        <w:tc>
          <w:tcPr>
            <w:tcW w:w="1559" w:type="dxa"/>
            <w:tcBorders>
              <w:tl2br w:val="nil"/>
              <w:tr2bl w:val="nil"/>
            </w:tcBorders>
            <w:vAlign w:val="center"/>
          </w:tcPr>
          <w:p w14:paraId="6C73FB0C">
            <w:pPr>
              <w:pStyle w:val="13"/>
              <w:snapToGrid w:val="0"/>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招标项目名称、报建编号、招标编号</w:t>
            </w:r>
          </w:p>
        </w:tc>
        <w:tc>
          <w:tcPr>
            <w:tcW w:w="6237" w:type="dxa"/>
            <w:tcBorders>
              <w:tl2br w:val="nil"/>
              <w:tr2bl w:val="nil"/>
            </w:tcBorders>
            <w:vAlign w:val="center"/>
          </w:tcPr>
          <w:p w14:paraId="39404E8C">
            <w:pPr>
              <w:pStyle w:val="13"/>
              <w:snapToGrid w:val="0"/>
              <w:spacing w:line="300" w:lineRule="auto"/>
              <w:ind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招标项目名称：</w:t>
            </w:r>
            <w:r>
              <w:rPr>
                <w:rFonts w:hint="eastAsia" w:ascii="宋体" w:hAnsi="宋体" w:eastAsia="宋体"/>
                <w:color w:val="000000" w:themeColor="text1"/>
                <w:szCs w:val="21"/>
                <w:highlight w:val="none"/>
                <w:u w:val="single"/>
                <w14:textFill>
                  <w14:solidFill>
                    <w14:schemeClr w14:val="tx1"/>
                  </w14:solidFill>
                </w14:textFill>
              </w:rPr>
              <w:t xml:space="preserve">                   </w:t>
            </w:r>
          </w:p>
          <w:p w14:paraId="77AC0F59">
            <w:pPr>
              <w:pStyle w:val="13"/>
              <w:snapToGrid w:val="0"/>
              <w:spacing w:line="300" w:lineRule="auto"/>
              <w:ind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报建编号：</w:t>
            </w:r>
            <w:r>
              <w:rPr>
                <w:rFonts w:hint="eastAsia" w:ascii="宋体" w:hAnsi="宋体" w:eastAsia="宋体"/>
                <w:color w:val="000000" w:themeColor="text1"/>
                <w:szCs w:val="21"/>
                <w:highlight w:val="none"/>
                <w:u w:val="single"/>
                <w14:textFill>
                  <w14:solidFill>
                    <w14:schemeClr w14:val="tx1"/>
                  </w14:solidFill>
                </w14:textFill>
              </w:rPr>
              <w:t xml:space="preserve">                       </w:t>
            </w:r>
          </w:p>
          <w:p w14:paraId="610E0CAA">
            <w:pPr>
              <w:pStyle w:val="13"/>
              <w:snapToGrid w:val="0"/>
              <w:spacing w:line="300" w:lineRule="auto"/>
              <w:ind w:firstLineChars="200"/>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招标编号：</w:t>
            </w:r>
            <w:r>
              <w:rPr>
                <w:rFonts w:hint="eastAsia" w:ascii="宋体" w:hAnsi="宋体" w:eastAsia="宋体"/>
                <w:color w:val="000000" w:themeColor="text1"/>
                <w:szCs w:val="21"/>
                <w:highlight w:val="none"/>
                <w:u w:val="single"/>
                <w14:textFill>
                  <w14:solidFill>
                    <w14:schemeClr w14:val="tx1"/>
                  </w14:solidFill>
                </w14:textFill>
              </w:rPr>
              <w:t xml:space="preserve">                       </w:t>
            </w:r>
          </w:p>
        </w:tc>
      </w:tr>
      <w:tr w14:paraId="1B4AA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tl2br w:val="nil"/>
              <w:tr2bl w:val="nil"/>
            </w:tcBorders>
            <w:vAlign w:val="center"/>
          </w:tcPr>
          <w:p w14:paraId="14C9CED5">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w:t>
            </w:r>
          </w:p>
        </w:tc>
        <w:tc>
          <w:tcPr>
            <w:tcW w:w="993" w:type="dxa"/>
            <w:tcBorders>
              <w:tl2br w:val="nil"/>
              <w:tr2bl w:val="nil"/>
            </w:tcBorders>
            <w:vAlign w:val="center"/>
          </w:tcPr>
          <w:p w14:paraId="49D7E678">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1.1.3</w:t>
            </w:r>
          </w:p>
        </w:tc>
        <w:tc>
          <w:tcPr>
            <w:tcW w:w="1559" w:type="dxa"/>
            <w:tcBorders>
              <w:tl2br w:val="nil"/>
              <w:tr2bl w:val="nil"/>
            </w:tcBorders>
            <w:vAlign w:val="center"/>
          </w:tcPr>
          <w:p w14:paraId="0C10A062">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建设地点</w:t>
            </w:r>
          </w:p>
        </w:tc>
        <w:tc>
          <w:tcPr>
            <w:tcW w:w="6237" w:type="dxa"/>
            <w:tcBorders>
              <w:tl2br w:val="nil"/>
              <w:tr2bl w:val="nil"/>
            </w:tcBorders>
            <w:vAlign w:val="center"/>
          </w:tcPr>
          <w:p w14:paraId="65A9CA18">
            <w:pPr>
              <w:pStyle w:val="13"/>
              <w:snapToGrid w:val="0"/>
              <w:spacing w:line="300" w:lineRule="auto"/>
              <w:ind w:firstLineChars="200"/>
              <w:jc w:val="left"/>
              <w:rPr>
                <w:rFonts w:hint="default"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p>
        </w:tc>
      </w:tr>
      <w:tr w14:paraId="497C6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09" w:type="dxa"/>
            <w:tcBorders>
              <w:tl2br w:val="nil"/>
              <w:tr2bl w:val="nil"/>
            </w:tcBorders>
            <w:vAlign w:val="center"/>
          </w:tcPr>
          <w:p w14:paraId="16E91578">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w:t>
            </w:r>
          </w:p>
        </w:tc>
        <w:tc>
          <w:tcPr>
            <w:tcW w:w="993" w:type="dxa"/>
            <w:tcBorders>
              <w:tl2br w:val="nil"/>
              <w:tr2bl w:val="nil"/>
            </w:tcBorders>
            <w:vAlign w:val="center"/>
          </w:tcPr>
          <w:p w14:paraId="53ADF34A">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1.1.4</w:t>
            </w:r>
          </w:p>
        </w:tc>
        <w:tc>
          <w:tcPr>
            <w:tcW w:w="1559" w:type="dxa"/>
            <w:tcBorders>
              <w:tl2br w:val="nil"/>
              <w:tr2bl w:val="nil"/>
            </w:tcBorders>
            <w:vAlign w:val="center"/>
          </w:tcPr>
          <w:p w14:paraId="54B619D4">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建设规模</w:t>
            </w:r>
          </w:p>
        </w:tc>
        <w:tc>
          <w:tcPr>
            <w:tcW w:w="6237" w:type="dxa"/>
            <w:tcBorders>
              <w:tl2br w:val="nil"/>
              <w:tr2bl w:val="nil"/>
            </w:tcBorders>
            <w:vAlign w:val="center"/>
          </w:tcPr>
          <w:p w14:paraId="203D1690">
            <w:pPr>
              <w:pStyle w:val="13"/>
              <w:snapToGrid w:val="0"/>
              <w:spacing w:line="300" w:lineRule="auto"/>
              <w:ind w:firstLine="315" w:firstLineChars="150"/>
              <w:jc w:val="left"/>
              <w:rPr>
                <w:rFonts w:hint="default"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p>
        </w:tc>
      </w:tr>
      <w:tr w14:paraId="0BC81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09" w:type="dxa"/>
            <w:tcBorders>
              <w:tl2br w:val="nil"/>
              <w:tr2bl w:val="nil"/>
            </w:tcBorders>
            <w:vAlign w:val="center"/>
          </w:tcPr>
          <w:p w14:paraId="432D9098">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w:t>
            </w:r>
          </w:p>
        </w:tc>
        <w:tc>
          <w:tcPr>
            <w:tcW w:w="993" w:type="dxa"/>
            <w:tcBorders>
              <w:tl2br w:val="nil"/>
              <w:tr2bl w:val="nil"/>
            </w:tcBorders>
            <w:vAlign w:val="center"/>
          </w:tcPr>
          <w:p w14:paraId="1F216D21">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w:t>
            </w:r>
          </w:p>
        </w:tc>
        <w:tc>
          <w:tcPr>
            <w:tcW w:w="1559" w:type="dxa"/>
            <w:tcBorders>
              <w:tl2br w:val="nil"/>
              <w:tr2bl w:val="nil"/>
            </w:tcBorders>
            <w:vAlign w:val="center"/>
          </w:tcPr>
          <w:p w14:paraId="5449C100">
            <w:pPr>
              <w:pStyle w:val="13"/>
              <w:snapToGrid w:val="0"/>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资金来源和落实情况</w:t>
            </w:r>
          </w:p>
        </w:tc>
        <w:tc>
          <w:tcPr>
            <w:tcW w:w="6237" w:type="dxa"/>
            <w:tcBorders>
              <w:tl2br w:val="nil"/>
              <w:tr2bl w:val="nil"/>
            </w:tcBorders>
            <w:vAlign w:val="center"/>
          </w:tcPr>
          <w:p w14:paraId="750D5F83">
            <w:pPr>
              <w:pStyle w:val="13"/>
              <w:snapToGrid w:val="0"/>
              <w:spacing w:line="300" w:lineRule="auto"/>
              <w:ind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资金来源：</w:t>
            </w:r>
            <w:r>
              <w:rPr>
                <w:rFonts w:hint="eastAsia" w:ascii="宋体" w:hAnsi="宋体" w:eastAsia="宋体"/>
                <w:color w:val="000000" w:themeColor="text1"/>
                <w:szCs w:val="21"/>
                <w:highlight w:val="none"/>
                <w:u w:val="single"/>
                <w14:textFill>
                  <w14:solidFill>
                    <w14:schemeClr w14:val="tx1"/>
                  </w14:solidFill>
                </w14:textFill>
              </w:rPr>
              <w:t xml:space="preserve">                       </w:t>
            </w:r>
          </w:p>
          <w:p w14:paraId="2CB07A9F">
            <w:pPr>
              <w:pStyle w:val="13"/>
              <w:snapToGrid w:val="0"/>
              <w:spacing w:line="300" w:lineRule="auto"/>
              <w:ind w:firstLineChars="200"/>
              <w:jc w:val="left"/>
              <w:rPr>
                <w:rFonts w:ascii="宋体" w:hAnsi="宋体" w:eastAsia="宋体"/>
                <w:i/>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资金落实情况：</w:t>
            </w:r>
            <w:r>
              <w:rPr>
                <w:rFonts w:hint="eastAsia" w:ascii="宋体" w:hAnsi="宋体" w:eastAsia="宋体"/>
                <w:color w:val="000000" w:themeColor="text1"/>
                <w:szCs w:val="21"/>
                <w:highlight w:val="none"/>
                <w:u w:val="single"/>
                <w14:textFill>
                  <w14:solidFill>
                    <w14:schemeClr w14:val="tx1"/>
                  </w14:solidFill>
                </w14:textFill>
              </w:rPr>
              <w:t xml:space="preserve">                   </w:t>
            </w:r>
          </w:p>
        </w:tc>
      </w:tr>
      <w:tr w14:paraId="37AD3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09" w:type="dxa"/>
            <w:tcBorders>
              <w:tl2br w:val="nil"/>
              <w:tr2bl w:val="nil"/>
            </w:tcBorders>
            <w:vAlign w:val="center"/>
          </w:tcPr>
          <w:p w14:paraId="70BB8A95">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w:t>
            </w:r>
          </w:p>
        </w:tc>
        <w:tc>
          <w:tcPr>
            <w:tcW w:w="993" w:type="dxa"/>
            <w:tcBorders>
              <w:tl2br w:val="nil"/>
              <w:tr2bl w:val="nil"/>
            </w:tcBorders>
            <w:vAlign w:val="center"/>
          </w:tcPr>
          <w:p w14:paraId="5138944C">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1.3.1</w:t>
            </w:r>
          </w:p>
        </w:tc>
        <w:tc>
          <w:tcPr>
            <w:tcW w:w="1559" w:type="dxa"/>
            <w:tcBorders>
              <w:tl2br w:val="nil"/>
              <w:tr2bl w:val="nil"/>
            </w:tcBorders>
            <w:vAlign w:val="center"/>
          </w:tcPr>
          <w:p w14:paraId="7B43D6F3">
            <w:pPr>
              <w:pStyle w:val="13"/>
              <w:snapToGrid w:val="0"/>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招标范围与内容</w:t>
            </w:r>
          </w:p>
        </w:tc>
        <w:tc>
          <w:tcPr>
            <w:tcW w:w="6237" w:type="dxa"/>
            <w:tcBorders>
              <w:tl2br w:val="nil"/>
              <w:tr2bl w:val="nil"/>
            </w:tcBorders>
          </w:tcPr>
          <w:p w14:paraId="5C730F76">
            <w:pPr>
              <w:pStyle w:val="13"/>
              <w:snapToGrid w:val="0"/>
              <w:spacing w:line="300" w:lineRule="auto"/>
              <w:ind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（1）招标范围：包括</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 xml:space="preserve">     </w:t>
            </w:r>
          </w:p>
          <w:p w14:paraId="28DB7C8B">
            <w:pPr>
              <w:pStyle w:val="13"/>
              <w:snapToGrid w:val="0"/>
              <w:spacing w:line="300" w:lineRule="auto"/>
              <w:ind w:firstLineChars="200"/>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（2）内容：包括</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 xml:space="preserve">         </w:t>
            </w:r>
          </w:p>
          <w:p w14:paraId="73436648">
            <w:pPr>
              <w:pStyle w:val="13"/>
              <w:snapToGrid w:val="0"/>
              <w:spacing w:line="300" w:lineRule="auto"/>
              <w:ind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（3）本招标项目</w:t>
            </w:r>
            <w:r>
              <w:rPr>
                <w:rFonts w:hint="eastAsia" w:ascii="宋体" w:hAnsi="宋体" w:eastAsia="宋体"/>
                <w:color w:val="000000" w:themeColor="text1"/>
                <w:szCs w:val="21"/>
                <w:highlight w:val="none"/>
                <w:u w:val="single"/>
                <w14:textFill>
                  <w14:solidFill>
                    <w14:schemeClr w14:val="tx1"/>
                  </w14:solidFill>
                </w14:textFill>
              </w:rPr>
              <w:t xml:space="preserve">           </w:t>
            </w:r>
            <w:r>
              <w:rPr>
                <w:rStyle w:val="49"/>
                <w:rFonts w:ascii="宋体" w:hAnsi="宋体" w:eastAsia="宋体"/>
                <w:color w:val="000000" w:themeColor="text1"/>
                <w:szCs w:val="21"/>
                <w:highlight w:val="none"/>
                <w:u w:val="single"/>
                <w14:textFill>
                  <w14:solidFill>
                    <w14:schemeClr w14:val="tx1"/>
                  </w14:solidFill>
                </w14:textFill>
              </w:rPr>
              <w:footnoteReference w:id="46"/>
            </w:r>
            <w:r>
              <w:rPr>
                <w:rFonts w:hint="eastAsia" w:ascii="宋体" w:hAnsi="宋体" w:eastAsia="宋体"/>
                <w:color w:val="000000" w:themeColor="text1"/>
                <w:szCs w:val="21"/>
                <w:highlight w:val="none"/>
                <w14:textFill>
                  <w14:solidFill>
                    <w14:schemeClr w14:val="tx1"/>
                  </w14:solidFill>
                </w14:textFill>
              </w:rPr>
              <w:t>建筑信息模型（</w:t>
            </w:r>
            <w:r>
              <w:rPr>
                <w:rFonts w:ascii="宋体" w:hAnsi="宋体" w:eastAsia="宋体"/>
                <w:color w:val="000000" w:themeColor="text1"/>
                <w:szCs w:val="21"/>
                <w:highlight w:val="none"/>
                <w14:textFill>
                  <w14:solidFill>
                    <w14:schemeClr w14:val="tx1"/>
                  </w14:solidFill>
                </w14:textFill>
              </w:rPr>
              <w:t>BIM</w:t>
            </w:r>
            <w:r>
              <w:rPr>
                <w:rFonts w:hint="eastAsia" w:ascii="宋体" w:hAnsi="宋体" w:eastAsia="宋体"/>
                <w:color w:val="000000" w:themeColor="text1"/>
                <w:szCs w:val="21"/>
                <w:highlight w:val="none"/>
                <w14:textFill>
                  <w14:solidFill>
                    <w14:schemeClr w14:val="tx1"/>
                  </w14:solidFill>
                </w14:textFill>
              </w:rPr>
              <w:t>）技术（以下简称</w:t>
            </w:r>
            <w:r>
              <w:rPr>
                <w:rFonts w:ascii="宋体" w:hAnsi="宋体" w:eastAsia="宋体"/>
                <w:color w:val="000000" w:themeColor="text1"/>
                <w:szCs w:val="21"/>
                <w:highlight w:val="none"/>
                <w14:textFill>
                  <w14:solidFill>
                    <w14:schemeClr w14:val="tx1"/>
                  </w14:solidFill>
                </w14:textFill>
              </w:rPr>
              <w:t>BIM</w:t>
            </w:r>
            <w:r>
              <w:rPr>
                <w:rFonts w:hint="eastAsia" w:ascii="宋体" w:hAnsi="宋体" w:eastAsia="宋体"/>
                <w:color w:val="000000" w:themeColor="text1"/>
                <w:szCs w:val="21"/>
                <w:highlight w:val="none"/>
                <w14:textFill>
                  <w14:solidFill>
                    <w14:schemeClr w14:val="tx1"/>
                  </w14:solidFill>
                </w14:textFill>
              </w:rPr>
              <w:t>技术），应用的范围和内容：包括</w:t>
            </w:r>
            <w:r>
              <w:rPr>
                <w:rFonts w:hint="eastAsia" w:ascii="宋体" w:hAnsi="宋体" w:eastAsia="宋体"/>
                <w:color w:val="000000" w:themeColor="text1"/>
                <w:szCs w:val="21"/>
                <w:highlight w:val="none"/>
                <w:u w:val="single"/>
                <w14:textFill>
                  <w14:solidFill>
                    <w14:schemeClr w14:val="tx1"/>
                  </w14:solidFill>
                </w14:textFill>
              </w:rPr>
              <w:t xml:space="preserve">                </w:t>
            </w:r>
          </w:p>
          <w:p w14:paraId="49C1CFA9">
            <w:pPr>
              <w:pStyle w:val="13"/>
              <w:snapToGrid w:val="0"/>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 xml:space="preserve">                                                    </w:t>
            </w:r>
          </w:p>
          <w:p w14:paraId="76C62631">
            <w:pPr>
              <w:pStyle w:val="13"/>
              <w:snapToGrid w:val="0"/>
              <w:spacing w:line="300" w:lineRule="auto"/>
              <w:ind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（4）招标人在本栏中已约定只要求中标人承担方案阶段设计而不再承担后续设计和服务的，则其设计费为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万元（占全过程设计费总额的</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tc>
      </w:tr>
      <w:tr w14:paraId="18D1D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709" w:type="dxa"/>
            <w:tcBorders>
              <w:tl2br w:val="nil"/>
              <w:tr2bl w:val="nil"/>
            </w:tcBorders>
            <w:vAlign w:val="center"/>
          </w:tcPr>
          <w:p w14:paraId="6E464846">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993" w:type="dxa"/>
            <w:tcBorders>
              <w:tl2br w:val="nil"/>
              <w:tr2bl w:val="nil"/>
            </w:tcBorders>
            <w:vAlign w:val="center"/>
          </w:tcPr>
          <w:p w14:paraId="4F8FBB71">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w:t>
            </w:r>
          </w:p>
        </w:tc>
        <w:tc>
          <w:tcPr>
            <w:tcW w:w="1559" w:type="dxa"/>
            <w:tcBorders>
              <w:tl2br w:val="nil"/>
              <w:tr2bl w:val="nil"/>
            </w:tcBorders>
            <w:vAlign w:val="center"/>
          </w:tcPr>
          <w:p w14:paraId="1B109F57">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标段划分</w:t>
            </w:r>
          </w:p>
        </w:tc>
        <w:tc>
          <w:tcPr>
            <w:tcW w:w="6237" w:type="dxa"/>
            <w:tcBorders>
              <w:tl2br w:val="nil"/>
              <w:tr2bl w:val="nil"/>
            </w:tcBorders>
            <w:vAlign w:val="center"/>
          </w:tcPr>
          <w:p w14:paraId="2C92F8E8">
            <w:pPr>
              <w:snapToGrid w:val="0"/>
              <w:spacing w:line="300" w:lineRule="auto"/>
              <w:ind w:firstLine="420" w:firstLineChars="200"/>
              <w:jc w:val="left"/>
              <w:rPr>
                <w:rFonts w:hint="eastAsia" w:ascii="宋体" w:hAnsi="宋体" w:cs="宋体"/>
                <w:color w:val="000000" w:themeColor="text1"/>
                <w:kern w:val="2"/>
                <w:sz w:val="21"/>
                <w:szCs w:val="21"/>
                <w:highlight w:val="none"/>
                <w:u w:val="singl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标段名称：</w:t>
            </w:r>
            <w:r>
              <w:rPr>
                <w:rFonts w:hint="eastAsia" w:ascii="宋体" w:hAnsi="宋体" w:cs="宋体"/>
                <w:color w:val="000000" w:themeColor="text1"/>
                <w:kern w:val="2"/>
                <w:sz w:val="21"/>
                <w:szCs w:val="21"/>
                <w:highlight w:val="none"/>
                <w:u w:val="single"/>
                <w14:textFill>
                  <w14:solidFill>
                    <w14:schemeClr w14:val="tx1"/>
                  </w14:solidFill>
                </w14:textFill>
              </w:rPr>
              <w:t xml:space="preserve">                      </w:t>
            </w:r>
          </w:p>
          <w:p w14:paraId="368B7B2B">
            <w:pPr>
              <w:snapToGrid w:val="0"/>
              <w:spacing w:line="300" w:lineRule="auto"/>
              <w:ind w:firstLine="420" w:firstLineChars="200"/>
              <w:jc w:val="left"/>
              <w:rPr>
                <w:rFonts w:hint="eastAsia" w:ascii="宋体" w:hAnsi="宋体" w:cs="宋体"/>
                <w:color w:val="000000" w:themeColor="text1"/>
                <w:kern w:val="2"/>
                <w:sz w:val="21"/>
                <w:szCs w:val="21"/>
                <w:highlight w:val="none"/>
                <w:u w:val="singl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标段编号：</w:t>
            </w:r>
            <w:r>
              <w:rPr>
                <w:rFonts w:hint="eastAsia" w:ascii="宋体" w:hAnsi="宋体" w:cs="宋体"/>
                <w:color w:val="000000" w:themeColor="text1"/>
                <w:kern w:val="2"/>
                <w:sz w:val="21"/>
                <w:szCs w:val="21"/>
                <w:highlight w:val="none"/>
                <w:u w:val="single"/>
                <w14:textFill>
                  <w14:solidFill>
                    <w14:schemeClr w14:val="tx1"/>
                  </w14:solidFill>
                </w14:textFill>
              </w:rPr>
              <w:t xml:space="preserve">                      </w:t>
            </w:r>
          </w:p>
          <w:p w14:paraId="2926B719">
            <w:pPr>
              <w:pStyle w:val="13"/>
              <w:snapToGrid w:val="0"/>
              <w:spacing w:line="300" w:lineRule="auto"/>
              <w:ind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投标人均可就本招标项目中的所有标段提出投标申请，但招标人允许中标的标段数量和规定：</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304B9C8">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14:paraId="6364C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709" w:type="dxa"/>
            <w:tcBorders>
              <w:tl2br w:val="nil"/>
              <w:tr2bl w:val="nil"/>
            </w:tcBorders>
            <w:vAlign w:val="center"/>
          </w:tcPr>
          <w:p w14:paraId="667B8A40">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993" w:type="dxa"/>
            <w:tcBorders>
              <w:tl2br w:val="nil"/>
              <w:tr2bl w:val="nil"/>
            </w:tcBorders>
            <w:vAlign w:val="center"/>
          </w:tcPr>
          <w:p w14:paraId="61DA8C52">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w:t>
            </w:r>
          </w:p>
        </w:tc>
        <w:tc>
          <w:tcPr>
            <w:tcW w:w="1559" w:type="dxa"/>
            <w:tcBorders>
              <w:tl2br w:val="nil"/>
              <w:tr2bl w:val="nil"/>
            </w:tcBorders>
            <w:vAlign w:val="center"/>
          </w:tcPr>
          <w:p w14:paraId="434BD5E9">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设计（勘察）服务期限</w:t>
            </w:r>
          </w:p>
        </w:tc>
        <w:tc>
          <w:tcPr>
            <w:tcW w:w="6237" w:type="dxa"/>
            <w:tcBorders>
              <w:tl2br w:val="nil"/>
              <w:tr2bl w:val="nil"/>
            </w:tcBorders>
            <w:vAlign w:val="center"/>
          </w:tcPr>
          <w:p w14:paraId="2190A88A">
            <w:pPr>
              <w:spacing w:line="300" w:lineRule="auto"/>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（1）设计服务期限：</w:t>
            </w:r>
          </w:p>
          <w:p w14:paraId="6525FA21">
            <w:pPr>
              <w:spacing w:line="300" w:lineRule="auto"/>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方案设计优化：</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日历日</w:t>
            </w:r>
          </w:p>
          <w:p w14:paraId="5BAF4465">
            <w:pPr>
              <w:spacing w:line="300" w:lineRule="auto"/>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初步设计：</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日历日</w:t>
            </w:r>
          </w:p>
          <w:p w14:paraId="6E806B44">
            <w:pPr>
              <w:pStyle w:val="13"/>
              <w:snapToGrid w:val="0"/>
              <w:spacing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施工图设计：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日历日</w:t>
            </w:r>
          </w:p>
          <w:p w14:paraId="611E742D">
            <w:pPr>
              <w:pStyle w:val="13"/>
              <w:snapToGrid w:val="0"/>
              <w:spacing w:line="300" w:lineRule="auto"/>
              <w:ind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（2）工程勘察服务期限：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8075E25">
            <w:pPr>
              <w:pStyle w:val="13"/>
              <w:snapToGrid w:val="0"/>
              <w:spacing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14:paraId="6E0C0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09" w:type="dxa"/>
            <w:tcBorders>
              <w:tl2br w:val="nil"/>
              <w:tr2bl w:val="nil"/>
            </w:tcBorders>
            <w:vAlign w:val="center"/>
          </w:tcPr>
          <w:p w14:paraId="1858124E">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993" w:type="dxa"/>
            <w:tcBorders>
              <w:tl2br w:val="nil"/>
              <w:tr2bl w:val="nil"/>
            </w:tcBorders>
            <w:vAlign w:val="center"/>
          </w:tcPr>
          <w:p w14:paraId="49CFB68C">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p>
        </w:tc>
        <w:tc>
          <w:tcPr>
            <w:tcW w:w="1559" w:type="dxa"/>
            <w:tcBorders>
              <w:tl2br w:val="nil"/>
              <w:tr2bl w:val="nil"/>
            </w:tcBorders>
            <w:vAlign w:val="center"/>
          </w:tcPr>
          <w:p w14:paraId="5A6E3240">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质量标准</w:t>
            </w:r>
          </w:p>
        </w:tc>
        <w:tc>
          <w:tcPr>
            <w:tcW w:w="6237" w:type="dxa"/>
            <w:tcBorders>
              <w:tl2br w:val="nil"/>
              <w:tr2bl w:val="nil"/>
            </w:tcBorders>
            <w:vAlign w:val="center"/>
          </w:tcPr>
          <w:p w14:paraId="25459A61">
            <w:pPr>
              <w:spacing w:line="300" w:lineRule="auto"/>
              <w:ind w:firstLine="420" w:firstLineChars="200"/>
              <w:jc w:val="left"/>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tc>
      </w:tr>
      <w:tr w14:paraId="3E7D0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09" w:type="dxa"/>
            <w:tcBorders>
              <w:tl2br w:val="nil"/>
              <w:tr2bl w:val="nil"/>
            </w:tcBorders>
            <w:vAlign w:val="center"/>
          </w:tcPr>
          <w:p w14:paraId="7107AA00">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993" w:type="dxa"/>
            <w:tcBorders>
              <w:tl2br w:val="nil"/>
              <w:tr2bl w:val="nil"/>
            </w:tcBorders>
            <w:vAlign w:val="center"/>
          </w:tcPr>
          <w:p w14:paraId="659BD48E">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1559" w:type="dxa"/>
            <w:tcBorders>
              <w:tl2br w:val="nil"/>
              <w:tr2bl w:val="nil"/>
            </w:tcBorders>
            <w:vAlign w:val="center"/>
          </w:tcPr>
          <w:p w14:paraId="23111602">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资格审查方式</w:t>
            </w:r>
          </w:p>
        </w:tc>
        <w:tc>
          <w:tcPr>
            <w:tcW w:w="6237" w:type="dxa"/>
            <w:tcBorders>
              <w:tl2br w:val="nil"/>
              <w:tr2bl w:val="nil"/>
            </w:tcBorders>
            <w:vAlign w:val="center"/>
          </w:tcPr>
          <w:p w14:paraId="20D2CC5C">
            <w:pPr>
              <w:pStyle w:val="13"/>
              <w:snapToGrid w:val="0"/>
              <w:spacing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采用资格后审方式。</w:t>
            </w:r>
          </w:p>
        </w:tc>
      </w:tr>
      <w:tr w14:paraId="3EE79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709" w:type="dxa"/>
            <w:tcBorders>
              <w:tl2br w:val="nil"/>
              <w:tr2bl w:val="nil"/>
            </w:tcBorders>
            <w:vAlign w:val="center"/>
          </w:tcPr>
          <w:p w14:paraId="617627D6">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993" w:type="dxa"/>
            <w:tcBorders>
              <w:tl2br w:val="nil"/>
              <w:tr2bl w:val="nil"/>
            </w:tcBorders>
            <w:vAlign w:val="center"/>
          </w:tcPr>
          <w:p w14:paraId="4FBE8043">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1.5.1（4）</w:t>
            </w:r>
          </w:p>
        </w:tc>
        <w:tc>
          <w:tcPr>
            <w:tcW w:w="1559" w:type="dxa"/>
            <w:tcBorders>
              <w:tl2br w:val="nil"/>
              <w:tr2bl w:val="nil"/>
            </w:tcBorders>
            <w:vAlign w:val="center"/>
          </w:tcPr>
          <w:p w14:paraId="6CD0DF82">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合格投标人资格条件</w:t>
            </w:r>
          </w:p>
        </w:tc>
        <w:tc>
          <w:tcPr>
            <w:tcW w:w="6237" w:type="dxa"/>
            <w:tcBorders>
              <w:tl2br w:val="nil"/>
              <w:tr2bl w:val="nil"/>
            </w:tcBorders>
            <w:vAlign w:val="center"/>
          </w:tcPr>
          <w:p w14:paraId="6252EED5">
            <w:pPr>
              <w:pStyle w:val="13"/>
              <w:tabs>
                <w:tab w:val="left" w:pos="0"/>
              </w:tabs>
              <w:snapToGrid w:val="0"/>
              <w:spacing w:line="300" w:lineRule="auto"/>
              <w:ind w:firstLine="218" w:firstLineChars="1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（1）资质要求：见附录1。</w:t>
            </w:r>
          </w:p>
          <w:p w14:paraId="53236241">
            <w:pPr>
              <w:pStyle w:val="13"/>
              <w:tabs>
                <w:tab w:val="left" w:pos="0"/>
              </w:tabs>
              <w:snapToGrid w:val="0"/>
              <w:spacing w:line="300" w:lineRule="auto"/>
              <w:ind w:firstLine="218" w:firstLineChars="1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（2）项目人员配置：见附录1。</w:t>
            </w:r>
          </w:p>
          <w:p w14:paraId="4143E131">
            <w:pPr>
              <w:pStyle w:val="13"/>
              <w:tabs>
                <w:tab w:val="left" w:pos="0"/>
              </w:tabs>
              <w:snapToGrid w:val="0"/>
              <w:spacing w:line="300" w:lineRule="auto"/>
              <w:ind w:firstLine="218" w:firstLineChars="1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（3）类似项目业绩：见附录1。</w:t>
            </w:r>
          </w:p>
          <w:p w14:paraId="303D2DF3">
            <w:pPr>
              <w:pStyle w:val="13"/>
              <w:tabs>
                <w:tab w:val="left" w:pos="0"/>
              </w:tabs>
              <w:snapToGrid w:val="0"/>
              <w:spacing w:line="300" w:lineRule="auto"/>
              <w:ind w:firstLine="218" w:firstLineChars="1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（4）信用：见附录1。</w:t>
            </w:r>
          </w:p>
          <w:p w14:paraId="42B39F49">
            <w:pPr>
              <w:pStyle w:val="13"/>
              <w:tabs>
                <w:tab w:val="left" w:pos="510"/>
              </w:tabs>
              <w:snapToGrid w:val="0"/>
              <w:spacing w:line="300" w:lineRule="auto"/>
              <w:ind w:firstLine="218" w:firstLineChars="10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（5）其他：见附录1。</w:t>
            </w:r>
          </w:p>
          <w:p w14:paraId="3DC3E0F9">
            <w:pPr>
              <w:pStyle w:val="13"/>
              <w:tabs>
                <w:tab w:val="left" w:pos="510"/>
              </w:tabs>
              <w:snapToGrid w:val="0"/>
              <w:spacing w:beforeLines="50" w:line="300" w:lineRule="auto"/>
              <w:ind w:firstLine="323" w:firstLineChars="154"/>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投标人应当按本章和第七章投标文件格式之“资格审查文件”规定的格式（包括脚注要求和说明）和内容要求提交有关资料。合格投标人的评审办法见第三章评标办法的相关规定。</w:t>
            </w:r>
          </w:p>
        </w:tc>
      </w:tr>
      <w:tr w14:paraId="44FEB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tcBorders>
              <w:tl2br w:val="nil"/>
              <w:tr2bl w:val="nil"/>
            </w:tcBorders>
            <w:vAlign w:val="center"/>
          </w:tcPr>
          <w:p w14:paraId="0BEEA870">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993" w:type="dxa"/>
            <w:tcBorders>
              <w:tl2br w:val="nil"/>
              <w:tr2bl w:val="nil"/>
            </w:tcBorders>
            <w:vAlign w:val="center"/>
          </w:tcPr>
          <w:p w14:paraId="60D31CAD">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w:t>
            </w:r>
          </w:p>
        </w:tc>
        <w:tc>
          <w:tcPr>
            <w:tcW w:w="1559" w:type="dxa"/>
            <w:tcBorders>
              <w:tl2br w:val="nil"/>
              <w:tr2bl w:val="nil"/>
            </w:tcBorders>
            <w:vAlign w:val="center"/>
          </w:tcPr>
          <w:p w14:paraId="782872F7">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是否接受联合体投标</w:t>
            </w:r>
          </w:p>
        </w:tc>
        <w:tc>
          <w:tcPr>
            <w:tcW w:w="6237" w:type="dxa"/>
            <w:tcBorders>
              <w:tl2br w:val="nil"/>
              <w:tr2bl w:val="nil"/>
            </w:tcBorders>
            <w:vAlign w:val="center"/>
          </w:tcPr>
          <w:p w14:paraId="7F46299A">
            <w:pPr>
              <w:pStyle w:val="57"/>
              <w:spacing w:line="300" w:lineRule="auto"/>
              <w:ind w:firstLine="359" w:firstLineChars="171"/>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□不接受 </w:t>
            </w:r>
          </w:p>
          <w:p w14:paraId="4A964327">
            <w:pPr>
              <w:pStyle w:val="57"/>
              <w:spacing w:line="300" w:lineRule="auto"/>
              <w:ind w:firstLine="359" w:firstLineChars="171"/>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□接受，联合体所有成员数量不得超过</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家。</w:t>
            </w:r>
          </w:p>
        </w:tc>
      </w:tr>
      <w:tr w14:paraId="3DA5F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09" w:type="dxa"/>
            <w:tcBorders>
              <w:tl2br w:val="nil"/>
              <w:tr2bl w:val="nil"/>
            </w:tcBorders>
            <w:vAlign w:val="center"/>
          </w:tcPr>
          <w:p w14:paraId="5A09BD85">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993" w:type="dxa"/>
            <w:tcBorders>
              <w:tl2br w:val="nil"/>
              <w:tr2bl w:val="nil"/>
            </w:tcBorders>
            <w:vAlign w:val="center"/>
          </w:tcPr>
          <w:p w14:paraId="79425B27">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1.5.4（16）</w:t>
            </w:r>
          </w:p>
        </w:tc>
        <w:tc>
          <w:tcPr>
            <w:tcW w:w="1559" w:type="dxa"/>
            <w:tcBorders>
              <w:tl2br w:val="nil"/>
              <w:tr2bl w:val="nil"/>
            </w:tcBorders>
            <w:vAlign w:val="center"/>
          </w:tcPr>
          <w:p w14:paraId="7D30A67E">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投标人（包括联合体成员）不得存在其他情形</w:t>
            </w:r>
          </w:p>
        </w:tc>
        <w:tc>
          <w:tcPr>
            <w:tcW w:w="6237" w:type="dxa"/>
            <w:tcBorders>
              <w:tl2br w:val="nil"/>
              <w:tr2bl w:val="nil"/>
            </w:tcBorders>
            <w:vAlign w:val="center"/>
          </w:tcPr>
          <w:p w14:paraId="1DCC2231">
            <w:pPr>
              <w:pStyle w:val="57"/>
              <w:spacing w:line="300" w:lineRule="auto"/>
              <w:ind w:firstLine="359" w:firstLineChars="171"/>
              <w:rPr>
                <w:rFonts w:hint="default"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p>
        </w:tc>
      </w:tr>
      <w:tr w14:paraId="0FFE5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5" w:hRule="atLeast"/>
        </w:trPr>
        <w:tc>
          <w:tcPr>
            <w:tcW w:w="709" w:type="dxa"/>
            <w:tcBorders>
              <w:tl2br w:val="nil"/>
              <w:tr2bl w:val="nil"/>
            </w:tcBorders>
            <w:vAlign w:val="center"/>
          </w:tcPr>
          <w:p w14:paraId="54EDF0A9">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14</w:t>
            </w:r>
          </w:p>
        </w:tc>
        <w:tc>
          <w:tcPr>
            <w:tcW w:w="993" w:type="dxa"/>
            <w:tcBorders>
              <w:tl2br w:val="nil"/>
              <w:tr2bl w:val="nil"/>
            </w:tcBorders>
            <w:vAlign w:val="center"/>
          </w:tcPr>
          <w:p w14:paraId="3B77A54D">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1.9.1/1.9.3</w:t>
            </w:r>
          </w:p>
        </w:tc>
        <w:tc>
          <w:tcPr>
            <w:tcW w:w="1559" w:type="dxa"/>
            <w:tcBorders>
              <w:tl2br w:val="nil"/>
              <w:tr2bl w:val="nil"/>
            </w:tcBorders>
            <w:vAlign w:val="center"/>
          </w:tcPr>
          <w:p w14:paraId="0D5EA698">
            <w:pPr>
              <w:pStyle w:val="13"/>
              <w:snapToGrid w:val="0"/>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踏勘现场和标前会时间地点</w:t>
            </w:r>
          </w:p>
        </w:tc>
        <w:tc>
          <w:tcPr>
            <w:tcW w:w="6237" w:type="dxa"/>
            <w:tcBorders>
              <w:tl2br w:val="nil"/>
              <w:tr2bl w:val="nil"/>
            </w:tcBorders>
            <w:vAlign w:val="center"/>
          </w:tcPr>
          <w:p w14:paraId="63E500DE">
            <w:pPr>
              <w:pStyle w:val="13"/>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（1）踏勘现场：□不组织  </w:t>
            </w:r>
          </w:p>
          <w:p w14:paraId="62578BB3">
            <w:pPr>
              <w:pStyle w:val="13"/>
              <w:spacing w:line="300" w:lineRule="auto"/>
              <w:ind w:firstLine="1575" w:firstLineChars="75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□组织,踏勘时间：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14:paraId="2F80B09D">
            <w:pPr>
              <w:pStyle w:val="13"/>
              <w:spacing w:line="300" w:lineRule="auto"/>
              <w:ind w:firstLine="2310" w:firstLineChars="11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踏勘集中地点：</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14:paraId="00C46531">
            <w:pPr>
              <w:pStyle w:val="13"/>
              <w:snapToGrid w:val="0"/>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（2）标前会议：□不组织  </w:t>
            </w:r>
          </w:p>
          <w:p w14:paraId="389448C7">
            <w:pPr>
              <w:pStyle w:val="13"/>
              <w:snapToGrid w:val="0"/>
              <w:spacing w:line="300" w:lineRule="auto"/>
              <w:ind w:firstLine="1575" w:firstLineChars="750"/>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□组织,召开时间：</w:t>
            </w:r>
            <w:r>
              <w:rPr>
                <w:rFonts w:hint="eastAsia" w:ascii="宋体" w:hAnsi="宋体" w:eastAsia="宋体"/>
                <w:color w:val="000000" w:themeColor="text1"/>
                <w:szCs w:val="21"/>
                <w:highlight w:val="none"/>
                <w:u w:val="single"/>
                <w14:textFill>
                  <w14:solidFill>
                    <w14:schemeClr w14:val="tx1"/>
                  </w14:solidFill>
                </w14:textFill>
              </w:rPr>
              <w:t xml:space="preserve">                        </w:t>
            </w:r>
          </w:p>
          <w:p w14:paraId="53D8A421">
            <w:pPr>
              <w:pStyle w:val="13"/>
              <w:snapToGrid w:val="0"/>
              <w:spacing w:line="300" w:lineRule="auto"/>
              <w:ind w:firstLine="2310" w:firstLineChars="11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召开地点：</w:t>
            </w:r>
            <w:r>
              <w:rPr>
                <w:rFonts w:hint="eastAsia" w:ascii="宋体" w:hAnsi="宋体" w:eastAsia="宋体"/>
                <w:color w:val="000000" w:themeColor="text1"/>
                <w:szCs w:val="21"/>
                <w:highlight w:val="none"/>
                <w:u w:val="single"/>
                <w14:textFill>
                  <w14:solidFill>
                    <w14:schemeClr w14:val="tx1"/>
                  </w14:solidFill>
                </w14:textFill>
              </w:rPr>
              <w:t xml:space="preserve">                        </w:t>
            </w:r>
          </w:p>
          <w:p w14:paraId="04B9BFBD">
            <w:pPr>
              <w:pStyle w:val="13"/>
              <w:snapToGrid w:val="0"/>
              <w:spacing w:line="300" w:lineRule="auto"/>
              <w:ind w:firstLine="0"/>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（3）投标人在标前会议前提出问题的时间和方式：</w:t>
            </w:r>
            <w:r>
              <w:rPr>
                <w:rFonts w:hint="eastAsia" w:ascii="宋体" w:hAnsi="宋体" w:eastAsia="宋体"/>
                <w:color w:val="000000" w:themeColor="text1"/>
                <w:szCs w:val="21"/>
                <w:highlight w:val="none"/>
                <w:u w:val="single"/>
                <w14:textFill>
                  <w14:solidFill>
                    <w14:schemeClr w14:val="tx1"/>
                  </w14:solidFill>
                </w14:textFill>
              </w:rPr>
              <w:t xml:space="preserve">           </w:t>
            </w:r>
          </w:p>
          <w:p w14:paraId="40657920">
            <w:pPr>
              <w:pStyle w:val="13"/>
              <w:snapToGrid w:val="0"/>
              <w:spacing w:line="300" w:lineRule="auto"/>
              <w:ind w:firstLine="0"/>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u w:val="single"/>
                <w14:textFill>
                  <w14:solidFill>
                    <w14:schemeClr w14:val="tx1"/>
                  </w14:solidFill>
                </w14:textFill>
              </w:rPr>
              <w:t xml:space="preserve">                                                        </w:t>
            </w:r>
          </w:p>
        </w:tc>
      </w:tr>
      <w:tr w14:paraId="6B27C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92" w:hRule="atLeast"/>
        </w:trPr>
        <w:tc>
          <w:tcPr>
            <w:tcW w:w="709" w:type="dxa"/>
            <w:tcBorders>
              <w:tl2br w:val="nil"/>
              <w:tr2bl w:val="nil"/>
            </w:tcBorders>
            <w:vAlign w:val="center"/>
          </w:tcPr>
          <w:p w14:paraId="22379D58">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w:t>
            </w:r>
          </w:p>
        </w:tc>
        <w:tc>
          <w:tcPr>
            <w:tcW w:w="993" w:type="dxa"/>
            <w:tcBorders>
              <w:tl2br w:val="nil"/>
              <w:tr2bl w:val="nil"/>
            </w:tcBorders>
            <w:vAlign w:val="center"/>
          </w:tcPr>
          <w:p w14:paraId="798E6271">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2.2/2.3</w:t>
            </w:r>
          </w:p>
        </w:tc>
        <w:tc>
          <w:tcPr>
            <w:tcW w:w="1559" w:type="dxa"/>
            <w:tcBorders>
              <w:tl2br w:val="nil"/>
              <w:tr2bl w:val="nil"/>
            </w:tcBorders>
            <w:vAlign w:val="center"/>
          </w:tcPr>
          <w:p w14:paraId="66F09CBB">
            <w:pPr>
              <w:pStyle w:val="13"/>
              <w:snapToGrid w:val="0"/>
              <w:spacing w:line="30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招标文件的澄清、修改、补充</w:t>
            </w:r>
          </w:p>
        </w:tc>
        <w:tc>
          <w:tcPr>
            <w:tcW w:w="6237" w:type="dxa"/>
            <w:tcBorders>
              <w:tl2br w:val="nil"/>
              <w:tr2bl w:val="nil"/>
            </w:tcBorders>
            <w:vAlign w:val="center"/>
          </w:tcPr>
          <w:p w14:paraId="72D69D50">
            <w:pPr>
              <w:pStyle w:val="13"/>
              <w:snapToGrid w:val="0"/>
              <w:spacing w:line="300" w:lineRule="auto"/>
              <w:ind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投标人提交要求澄清文件的方式：通过发布招标公告（</w:t>
            </w:r>
            <w:r>
              <w:rPr>
                <w:rFonts w:hint="eastAsia" w:ascii="宋体" w:hAnsi="宋体" w:eastAsia="宋体"/>
                <w:color w:val="000000" w:themeColor="text1"/>
                <w:szCs w:val="21"/>
                <w:highlight w:val="none"/>
                <w:lang w:eastAsia="zh-CN"/>
                <w14:textFill>
                  <w14:solidFill>
                    <w14:schemeClr w14:val="tx1"/>
                  </w14:solidFill>
                </w14:textFill>
              </w:rPr>
              <w:t>或投标邀请书</w:t>
            </w:r>
            <w:r>
              <w:rPr>
                <w:rFonts w:hint="eastAsia" w:ascii="宋体" w:hAnsi="宋体" w:eastAsia="宋体"/>
                <w:color w:val="000000" w:themeColor="text1"/>
                <w:szCs w:val="21"/>
                <w:highlight w:val="none"/>
                <w14:textFill>
                  <w14:solidFill>
                    <w14:schemeClr w14:val="tx1"/>
                  </w14:solidFill>
                </w14:textFill>
              </w:rPr>
              <w:t>）的电子交易平台提交需要澄清的文件。</w:t>
            </w:r>
          </w:p>
          <w:p w14:paraId="79821C8B">
            <w:pPr>
              <w:pStyle w:val="13"/>
              <w:snapToGrid w:val="0"/>
              <w:spacing w:line="300" w:lineRule="auto"/>
              <w:ind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要求澄清的截止时间：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时</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秒</w:t>
            </w:r>
            <w:r>
              <w:rPr>
                <w:rFonts w:hint="eastAsia" w:ascii="宋体" w:hAnsi="宋体" w:eastAsia="宋体"/>
                <w:color w:val="000000" w:themeColor="text1"/>
                <w:szCs w:val="21"/>
                <w:highlight w:val="none"/>
                <w14:textFill>
                  <w14:solidFill>
                    <w14:schemeClr w14:val="tx1"/>
                  </w14:solidFill>
                </w14:textFill>
              </w:rPr>
              <w:t>之前。</w:t>
            </w:r>
          </w:p>
          <w:p w14:paraId="529355CA">
            <w:pPr>
              <w:pStyle w:val="13"/>
              <w:snapToGrid w:val="0"/>
              <w:spacing w:line="300" w:lineRule="auto"/>
              <w:ind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招标人发送澄清、修改、补充的方式：通过发布招标公告（</w:t>
            </w:r>
            <w:r>
              <w:rPr>
                <w:rFonts w:hint="eastAsia" w:ascii="宋体" w:hAnsi="宋体" w:eastAsia="宋体"/>
                <w:color w:val="000000" w:themeColor="text1"/>
                <w:szCs w:val="21"/>
                <w:highlight w:val="none"/>
                <w:lang w:eastAsia="zh-CN"/>
                <w14:textFill>
                  <w14:solidFill>
                    <w14:schemeClr w14:val="tx1"/>
                  </w14:solidFill>
                </w14:textFill>
              </w:rPr>
              <w:t>或投标邀请书</w:t>
            </w:r>
            <w:r>
              <w:rPr>
                <w:rFonts w:hint="eastAsia" w:ascii="宋体" w:hAnsi="宋体" w:eastAsia="宋体"/>
                <w:color w:val="000000" w:themeColor="text1"/>
                <w:szCs w:val="21"/>
                <w:highlight w:val="none"/>
                <w14:textFill>
                  <w14:solidFill>
                    <w14:schemeClr w14:val="tx1"/>
                  </w14:solidFill>
                </w14:textFill>
              </w:rPr>
              <w:t>）的电子交易平台发布。</w:t>
            </w:r>
          </w:p>
        </w:tc>
      </w:tr>
      <w:tr w14:paraId="41F88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709" w:type="dxa"/>
            <w:tcBorders>
              <w:tl2br w:val="nil"/>
              <w:tr2bl w:val="nil"/>
            </w:tcBorders>
            <w:vAlign w:val="center"/>
          </w:tcPr>
          <w:p w14:paraId="043ED408">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16</w:t>
            </w:r>
          </w:p>
        </w:tc>
        <w:tc>
          <w:tcPr>
            <w:tcW w:w="993" w:type="dxa"/>
            <w:tcBorders>
              <w:tl2br w:val="nil"/>
              <w:tr2bl w:val="nil"/>
            </w:tcBorders>
            <w:vAlign w:val="center"/>
          </w:tcPr>
          <w:p w14:paraId="41772E1C">
            <w:pPr>
              <w:pStyle w:val="13"/>
              <w:snapToGrid w:val="0"/>
              <w:spacing w:line="300" w:lineRule="auto"/>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3.1.3</w:t>
            </w:r>
          </w:p>
        </w:tc>
        <w:tc>
          <w:tcPr>
            <w:tcW w:w="1559" w:type="dxa"/>
            <w:tcBorders>
              <w:tl2br w:val="nil"/>
              <w:tr2bl w:val="nil"/>
            </w:tcBorders>
            <w:vAlign w:val="center"/>
          </w:tcPr>
          <w:p w14:paraId="0E6EB7CB">
            <w:pPr>
              <w:pStyle w:val="13"/>
              <w:snapToGrid w:val="0"/>
              <w:spacing w:line="300" w:lineRule="auto"/>
              <w:ind w:firstLine="0"/>
              <w:jc w:val="left"/>
              <w:rPr>
                <w:rFonts w:asci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是否要求</w:t>
            </w:r>
            <w:r>
              <w:rPr>
                <w:rFonts w:hint="eastAsia" w:ascii="宋体" w:hAnsi="宋体" w:eastAsia="宋体"/>
                <w:color w:val="000000" w:themeColor="text1"/>
                <w:szCs w:val="21"/>
                <w:highlight w:val="none"/>
                <w:lang w:val="en-US" w:eastAsia="zh-CN"/>
                <w14:textFill>
                  <w14:solidFill>
                    <w14:schemeClr w14:val="tx1"/>
                  </w14:solidFill>
                </w14:textFill>
              </w:rPr>
              <w:t>提交</w:t>
            </w:r>
            <w:r>
              <w:rPr>
                <w:rFonts w:hint="eastAsia" w:ascii="宋体" w:hAnsi="宋体" w:eastAsia="宋体"/>
                <w:color w:val="000000" w:themeColor="text1"/>
                <w:szCs w:val="21"/>
                <w:highlight w:val="none"/>
                <w14:textFill>
                  <w14:solidFill>
                    <w14:schemeClr w14:val="tx1"/>
                  </w14:solidFill>
                </w14:textFill>
              </w:rPr>
              <w:t>展示图、演示盘、模型和</w:t>
            </w:r>
            <w:r>
              <w:rPr>
                <w:rFonts w:ascii="宋体" w:hAnsi="宋体"/>
                <w:color w:val="000000" w:themeColor="text1"/>
                <w:szCs w:val="21"/>
                <w:highlight w:val="none"/>
                <w14:textFill>
                  <w14:solidFill>
                    <w14:schemeClr w14:val="tx1"/>
                  </w14:solidFill>
                </w14:textFill>
              </w:rPr>
              <w:t>BIM</w:t>
            </w:r>
            <w:r>
              <w:rPr>
                <w:rFonts w:hint="eastAsia" w:ascii="宋体" w:hAnsi="宋体"/>
                <w:color w:val="000000" w:themeColor="text1"/>
                <w:szCs w:val="21"/>
                <w:highlight w:val="none"/>
                <w14:textFill>
                  <w14:solidFill>
                    <w14:schemeClr w14:val="tx1"/>
                  </w14:solidFill>
                </w14:textFill>
              </w:rPr>
              <w:t>动态演示视频</w:t>
            </w:r>
          </w:p>
        </w:tc>
        <w:tc>
          <w:tcPr>
            <w:tcW w:w="6237" w:type="dxa"/>
            <w:tcBorders>
              <w:tl2br w:val="nil"/>
              <w:tr2bl w:val="nil"/>
            </w:tcBorders>
            <w:vAlign w:val="center"/>
          </w:tcPr>
          <w:p w14:paraId="42A5BCE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展示图：</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不要求，</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要求、</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线上</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线下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提交</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14:paraId="469AD1E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演示盘：</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不要求，</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要求、</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线上</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线下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提交</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14:paraId="36E4515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建筑模型：</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不要求，</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要求、</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线上</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线下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提交</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14:paraId="5B8CA55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both"/>
              <w:textAlignment w:val="baseline"/>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BIM动态演示视频：</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不要求，</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要求、</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线上</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线下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提交，视频格式：</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t xml:space="preserve"> 演示时间不超过</w:t>
            </w:r>
            <w:r>
              <w:rPr>
                <w:rFonts w:hint="eastAsia" w:ascii="宋体" w:hAnsi="宋体" w:eastAsia="宋体" w:cs="宋体"/>
                <w:snapToGrid w:val="0"/>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t>分钟</w:t>
            </w:r>
            <w:r>
              <w:rPr>
                <w:rFonts w:hint="eastAsia" w:ascii="宋体" w:hAnsi="宋体" w:cs="宋体"/>
                <w:snapToGrid w:val="0"/>
                <w:color w:val="000000" w:themeColor="text1"/>
                <w:kern w:val="2"/>
                <w:sz w:val="21"/>
                <w:szCs w:val="21"/>
                <w:highlight w:val="none"/>
                <w:lang w:val="en-US" w:eastAsia="zh-CN" w:bidi="ar-SA"/>
                <w14:textFill>
                  <w14:solidFill>
                    <w14:schemeClr w14:val="tx1"/>
                  </w14:solidFill>
                </w14:textFill>
              </w:rPr>
              <w:t>。</w:t>
            </w:r>
          </w:p>
          <w:p w14:paraId="365B0708">
            <w:pPr>
              <w:keepNext w:val="0"/>
              <w:keepLines w:val="0"/>
              <w:pageBreakBefore w:val="0"/>
              <w:widowControl w:val="0"/>
              <w:kinsoku/>
              <w:wordWrap/>
              <w:overflowPunct/>
              <w:topLinePunct w:val="0"/>
              <w:autoSpaceDE/>
              <w:autoSpaceDN/>
              <w:bidi w:val="0"/>
              <w:adjustRightInd w:val="0"/>
              <w:snapToGrid w:val="0"/>
              <w:spacing w:before="313" w:beforeLines="100" w:line="360" w:lineRule="exact"/>
              <w:ind w:firstLine="420"/>
              <w:jc w:val="both"/>
              <w:textAlignment w:val="baseline"/>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color w:val="000000" w:themeColor="text1"/>
                <w:kern w:val="2"/>
                <w:sz w:val="21"/>
                <w:szCs w:val="21"/>
                <w:highlight w:val="none"/>
                <w:lang w:val="en-US" w:eastAsia="zh-CN" w:bidi="ar-SA"/>
                <w14:textFill>
                  <w14:solidFill>
                    <w14:schemeClr w14:val="tx1"/>
                  </w14:solidFill>
                </w14:textFill>
              </w:rPr>
              <w:t>提交</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的截止时间为：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月</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时</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分（北京时间，同商务文件和技术文件递交的截止时间），招标人在截止时间前</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分钟开始接收。</w:t>
            </w:r>
          </w:p>
          <w:p w14:paraId="33FEC6C8">
            <w:pPr>
              <w:keepNext w:val="0"/>
              <w:keepLines w:val="0"/>
              <w:pageBreakBefore w:val="0"/>
              <w:widowControl w:val="0"/>
              <w:kinsoku/>
              <w:wordWrap/>
              <w:overflowPunct/>
              <w:topLinePunct w:val="0"/>
              <w:autoSpaceDE/>
              <w:autoSpaceDN/>
              <w:bidi w:val="0"/>
              <w:adjustRightInd w:val="0"/>
              <w:snapToGrid w:val="0"/>
              <w:spacing w:line="360" w:lineRule="exact"/>
              <w:ind w:left="-8" w:leftChars="-4" w:firstLine="411" w:firstLineChars="196"/>
              <w:jc w:val="both"/>
              <w:textAlignment w:val="baseline"/>
              <w:rPr>
                <w:rFonts w:hint="eastAsia" w:ascii="宋体" w:hAnsi="宋体" w:eastAsia="宋体" w:cs="宋体"/>
                <w:i/>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地点：</w:t>
            </w:r>
            <w:r>
              <w:rPr>
                <w:rFonts w:hint="eastAsia" w:ascii="宋体" w:hAnsi="宋体" w:eastAsia="宋体" w:cs="宋体"/>
                <w:i/>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cs="宋体"/>
                <w:i/>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i/>
                <w:color w:val="000000" w:themeColor="text1"/>
                <w:kern w:val="2"/>
                <w:sz w:val="21"/>
                <w:szCs w:val="21"/>
                <w:highlight w:val="none"/>
                <w:u w:val="single"/>
                <w:lang w:val="en-US" w:eastAsia="zh-CN" w:bidi="ar-SA"/>
                <w14:textFill>
                  <w14:solidFill>
                    <w14:schemeClr w14:val="tx1"/>
                  </w14:solidFill>
                </w14:textFill>
              </w:rPr>
              <w:t xml:space="preserve">   </w:t>
            </w:r>
          </w:p>
          <w:p w14:paraId="65A0EFAD">
            <w:pPr>
              <w:pStyle w:val="13"/>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asciiTheme="minorEastAsia" w:hAnsiTheme="minorEastAsia"/>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收件人：</w:t>
            </w:r>
            <w:r>
              <w:rPr>
                <w:rFonts w:hint="eastAsia" w:ascii="宋体" w:hAnsi="宋体" w:eastAsia="宋体" w:cs="宋体"/>
                <w:i/>
                <w:color w:val="000000" w:themeColor="text1"/>
                <w:kern w:val="2"/>
                <w:sz w:val="21"/>
                <w:szCs w:val="21"/>
                <w:highlight w:val="none"/>
                <w:u w:val="single"/>
                <w:lang w:val="en-US" w:eastAsia="zh-CN" w:bidi="ar-SA"/>
                <w14:textFill>
                  <w14:solidFill>
                    <w14:schemeClr w14:val="tx1"/>
                  </w14:solidFill>
                </w14:textFill>
              </w:rPr>
              <w:t xml:space="preserve">                  </w:t>
            </w:r>
          </w:p>
        </w:tc>
      </w:tr>
      <w:tr w14:paraId="636B0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9" w:type="dxa"/>
            <w:tcBorders>
              <w:tl2br w:val="nil"/>
              <w:tr2bl w:val="nil"/>
            </w:tcBorders>
            <w:vAlign w:val="center"/>
          </w:tcPr>
          <w:p w14:paraId="6236FEF2">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w:t>
            </w:r>
          </w:p>
        </w:tc>
        <w:tc>
          <w:tcPr>
            <w:tcW w:w="993" w:type="dxa"/>
            <w:tcBorders>
              <w:tl2br w:val="nil"/>
              <w:tr2bl w:val="nil"/>
            </w:tcBorders>
            <w:vAlign w:val="center"/>
          </w:tcPr>
          <w:p w14:paraId="5CAAB847">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3.2.1</w:t>
            </w:r>
          </w:p>
        </w:tc>
        <w:tc>
          <w:tcPr>
            <w:tcW w:w="1559" w:type="dxa"/>
            <w:tcBorders>
              <w:tl2br w:val="nil"/>
              <w:tr2bl w:val="nil"/>
            </w:tcBorders>
            <w:vAlign w:val="center"/>
          </w:tcPr>
          <w:p w14:paraId="0E076980">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最高投标报价限价金额和计算办法</w:t>
            </w:r>
          </w:p>
        </w:tc>
        <w:tc>
          <w:tcPr>
            <w:tcW w:w="6237" w:type="dxa"/>
            <w:tcBorders>
              <w:tl2br w:val="nil"/>
              <w:tr2bl w:val="nil"/>
            </w:tcBorders>
            <w:vAlign w:val="center"/>
          </w:tcPr>
          <w:p w14:paraId="025F7886">
            <w:pPr>
              <w:widowControl/>
              <w:tabs>
                <w:tab w:val="left" w:pos="900"/>
                <w:tab w:val="left" w:pos="1100"/>
              </w:tabs>
              <w:adjustRightInd/>
              <w:spacing w:line="300" w:lineRule="auto"/>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□采用综合收费方式</w:t>
            </w:r>
          </w:p>
          <w:p w14:paraId="0D909945">
            <w:pPr>
              <w:keepNext w:val="0"/>
              <w:keepLines w:val="0"/>
              <w:pageBreakBefore w:val="0"/>
              <w:widowControl/>
              <w:tabs>
                <w:tab w:val="left" w:pos="900"/>
                <w:tab w:val="left" w:pos="1100"/>
              </w:tabs>
              <w:kinsoku/>
              <w:wordWrap/>
              <w:overflowPunct/>
              <w:topLinePunct w:val="0"/>
              <w:autoSpaceDE/>
              <w:autoSpaceDN/>
              <w:bidi w:val="0"/>
              <w:adjustRightInd/>
              <w:spacing w:line="30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招标人公布设计项目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的设计费总额</w:t>
            </w:r>
            <w:r>
              <w:rPr>
                <w:rFonts w:hint="eastAsia" w:ascii="宋体" w:hAnsi="宋体" w:eastAsia="宋体" w:cs="宋体"/>
                <w:color w:val="000000" w:themeColor="text1"/>
                <w:sz w:val="21"/>
                <w:szCs w:val="21"/>
                <w:highlight w:val="none"/>
                <w14:textFill>
                  <w14:solidFill>
                    <w14:schemeClr w14:val="tx1"/>
                  </w14:solidFill>
                </w14:textFill>
              </w:rPr>
              <w:t xml:space="preserve">为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其中：</w:t>
            </w:r>
          </w:p>
          <w:p w14:paraId="2B5A3F44">
            <w:pPr>
              <w:keepNext w:val="0"/>
              <w:keepLines w:val="0"/>
              <w:pageBreakBefore w:val="0"/>
              <w:widowControl/>
              <w:tabs>
                <w:tab w:val="left" w:pos="900"/>
                <w:tab w:val="left" w:pos="1100"/>
              </w:tabs>
              <w:kinsoku/>
              <w:wordWrap/>
              <w:overflowPunct/>
              <w:topLinePunct w:val="0"/>
              <w:autoSpaceDE/>
              <w:autoSpaceDN/>
              <w:bidi w:val="0"/>
              <w:adjustRightInd/>
              <w:spacing w:line="30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 xml:space="preserve">工程设计收费计费额（即招标时的设计费计费基数）为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元，估算的工程设计收费金额为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元，其工程设计收费基准价、浮动幅度值和计算办法如下：</w:t>
            </w:r>
          </w:p>
          <w:p w14:paraId="15F4F0AD">
            <w:pPr>
              <w:keepNext w:val="0"/>
              <w:keepLines w:val="0"/>
              <w:pageBreakBefore w:val="0"/>
              <w:widowControl/>
              <w:tabs>
                <w:tab w:val="left" w:pos="900"/>
                <w:tab w:val="left" w:pos="1100"/>
              </w:tabs>
              <w:kinsoku/>
              <w:wordWrap/>
              <w:overflowPunct/>
              <w:topLinePunct w:val="0"/>
              <w:autoSpaceDE/>
              <w:autoSpaceDN/>
              <w:bidi w:val="0"/>
              <w:adjustRightInd/>
              <w:spacing w:line="30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（1）工程设计收费基准价：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，浮动幅度值：</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69640A90">
            <w:pPr>
              <w:keepNext w:val="0"/>
              <w:keepLines w:val="0"/>
              <w:pageBreakBefore w:val="0"/>
              <w:widowControl/>
              <w:tabs>
                <w:tab w:val="left" w:pos="900"/>
                <w:tab w:val="left" w:pos="1100"/>
              </w:tabs>
              <w:kinsoku/>
              <w:wordWrap/>
              <w:overflowPunct/>
              <w:topLinePunct w:val="0"/>
              <w:autoSpaceDE/>
              <w:autoSpaceDN/>
              <w:bidi w:val="0"/>
              <w:adjustRightInd/>
              <w:spacing w:line="30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（2）基本设计收费：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元；其他设计收费：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2C49F132">
            <w:pPr>
              <w:keepNext w:val="0"/>
              <w:keepLines w:val="0"/>
              <w:pageBreakBefore w:val="0"/>
              <w:widowControl/>
              <w:tabs>
                <w:tab w:val="left" w:pos="900"/>
                <w:tab w:val="left" w:pos="1100"/>
              </w:tabs>
              <w:kinsoku/>
              <w:wordWrap/>
              <w:overflowPunct/>
              <w:topLinePunct w:val="0"/>
              <w:autoSpaceDE/>
              <w:autoSpaceDN/>
              <w:bidi w:val="0"/>
              <w:adjustRightInd/>
              <w:spacing w:line="30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（3）工程设计收费基价：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元，专业调整系数：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，工程复杂程度调整系数：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，附加调整系数：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3B3BAEA1">
            <w:pPr>
              <w:keepNext w:val="0"/>
              <w:keepLines w:val="0"/>
              <w:pageBreakBefore w:val="0"/>
              <w:widowControl/>
              <w:tabs>
                <w:tab w:val="left" w:pos="900"/>
                <w:tab w:val="left" w:pos="1100"/>
              </w:tabs>
              <w:kinsoku/>
              <w:wordWrap/>
              <w:overflowPunct/>
              <w:topLinePunct w:val="0"/>
              <w:autoSpaceDE/>
              <w:autoSpaceDN/>
              <w:bidi w:val="0"/>
              <w:adjustRightInd/>
              <w:spacing w:line="30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计算办法：</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2009A402">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BIM技术应用费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元</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其计算办法如下：</w:t>
            </w:r>
          </w:p>
          <w:p w14:paraId="03BE3712">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pacing w:line="360" w:lineRule="exac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i/>
                <w:i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i/>
                <w:i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04F551DF">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招标文件明确应用BIM技术的，应当</w:t>
            </w:r>
            <w:r>
              <w:rPr>
                <w:rFonts w:hint="eastAsia" w:ascii="宋体" w:hAnsi="宋体" w:eastAsia="宋体" w:cs="宋体"/>
                <w:color w:val="000000" w:themeColor="text1"/>
                <w:sz w:val="21"/>
                <w:szCs w:val="21"/>
                <w:highlight w:val="none"/>
                <w:lang w:val="en-US" w:eastAsia="zh-CN"/>
                <w14:textFill>
                  <w14:solidFill>
                    <w14:schemeClr w14:val="tx1"/>
                  </w14:solidFill>
                </w14:textFill>
              </w:rPr>
              <w:t>单独</w:t>
            </w:r>
            <w:r>
              <w:rPr>
                <w:rFonts w:hint="eastAsia" w:ascii="宋体" w:hAnsi="宋体" w:eastAsia="宋体" w:cs="宋体"/>
                <w:color w:val="000000" w:themeColor="text1"/>
                <w:sz w:val="21"/>
                <w:szCs w:val="21"/>
                <w:highlight w:val="none"/>
                <w14:textFill>
                  <w14:solidFill>
                    <w14:schemeClr w14:val="tx1"/>
                  </w14:solidFill>
                </w14:textFill>
              </w:rPr>
              <w:t>列明BIM技术应用收费</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E0D1766">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绿色建筑设计收费为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元，其计算办法如下：</w:t>
            </w:r>
          </w:p>
          <w:p w14:paraId="7FD8642C">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pacing w:line="360" w:lineRule="exact"/>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i/>
                <w:i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48A75BF5">
            <w:pPr>
              <w:spacing w:line="30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招标文件明确</w:t>
            </w:r>
            <w:r>
              <w:rPr>
                <w:rFonts w:hint="eastAsia" w:ascii="宋体" w:hAnsi="宋体" w:eastAsia="宋体" w:cs="宋体"/>
                <w:color w:val="000000" w:themeColor="text1"/>
                <w:sz w:val="21"/>
                <w:szCs w:val="21"/>
                <w:highlight w:val="none"/>
                <w:lang w:val="en-US" w:eastAsia="zh-CN"/>
                <w14:textFill>
                  <w14:solidFill>
                    <w14:schemeClr w14:val="tx1"/>
                  </w14:solidFill>
                </w14:textFill>
              </w:rPr>
              <w:t>采</w:t>
            </w:r>
            <w:r>
              <w:rPr>
                <w:rFonts w:hint="eastAsia" w:ascii="宋体" w:hAnsi="宋体" w:eastAsia="宋体" w:cs="宋体"/>
                <w:color w:val="000000" w:themeColor="text1"/>
                <w:sz w:val="21"/>
                <w:szCs w:val="21"/>
                <w:highlight w:val="none"/>
                <w14:textFill>
                  <w14:solidFill>
                    <w14:schemeClr w14:val="tx1"/>
                  </w14:solidFill>
                </w14:textFill>
              </w:rPr>
              <w:t>用</w:t>
            </w: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w:t>
            </w:r>
            <w:r>
              <w:rPr>
                <w:rFonts w:hint="eastAsia" w:ascii="宋体" w:hAnsi="宋体" w:eastAsia="宋体" w:cs="宋体"/>
                <w:color w:val="000000" w:themeColor="text1"/>
                <w:sz w:val="21"/>
                <w:szCs w:val="21"/>
                <w:highlight w:val="none"/>
                <w14:textFill>
                  <w14:solidFill>
                    <w14:schemeClr w14:val="tx1"/>
                  </w14:solidFill>
                </w14:textFill>
              </w:rPr>
              <w:t>的，应当</w:t>
            </w:r>
            <w:r>
              <w:rPr>
                <w:rFonts w:hint="eastAsia" w:ascii="宋体" w:hAnsi="宋体" w:eastAsia="宋体" w:cs="宋体"/>
                <w:color w:val="000000" w:themeColor="text1"/>
                <w:sz w:val="21"/>
                <w:szCs w:val="21"/>
                <w:highlight w:val="none"/>
                <w:lang w:val="en-US" w:eastAsia="zh-CN"/>
                <w14:textFill>
                  <w14:solidFill>
                    <w14:schemeClr w14:val="tx1"/>
                  </w14:solidFill>
                </w14:textFill>
              </w:rPr>
              <w:t>单独</w:t>
            </w:r>
            <w:r>
              <w:rPr>
                <w:rFonts w:hint="eastAsia" w:ascii="宋体" w:hAnsi="宋体" w:eastAsia="宋体" w:cs="宋体"/>
                <w:color w:val="000000" w:themeColor="text1"/>
                <w:sz w:val="21"/>
                <w:szCs w:val="21"/>
                <w:highlight w:val="none"/>
                <w14:textFill>
                  <w14:solidFill>
                    <w14:schemeClr w14:val="tx1"/>
                  </w14:solidFill>
                </w14:textFill>
              </w:rPr>
              <w:t>列明</w:t>
            </w: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绿色建筑设计收费</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D84C17E">
            <w:pPr>
              <w:keepNext w:val="0"/>
              <w:keepLines w:val="0"/>
              <w:pageBreakBefore w:val="0"/>
              <w:widowControl/>
              <w:tabs>
                <w:tab w:val="left" w:pos="900"/>
                <w:tab w:val="left" w:pos="1100"/>
              </w:tabs>
              <w:kinsoku/>
              <w:wordWrap/>
              <w:overflowPunct/>
              <w:topLinePunct w:val="0"/>
              <w:autoSpaceDE/>
              <w:autoSpaceDN/>
              <w:bidi w:val="0"/>
              <w:adjustRightInd/>
              <w:spacing w:before="156" w:beforeLines="50"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招标内容包含勘察的，招标人公布的工程勘察收费的上下浮动幅度值范围为：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i w:val="0"/>
                <w:iCs w:val="0"/>
                <w:color w:val="000000" w:themeColor="text1"/>
                <w:sz w:val="21"/>
                <w:szCs w:val="21"/>
                <w:highlight w:val="none"/>
                <w14:textFill>
                  <w14:solidFill>
                    <w14:schemeClr w14:val="tx1"/>
                  </w14:solidFill>
                </w14:textFill>
              </w:rPr>
              <w:t>（须标明“+”或“-”）</w:t>
            </w:r>
            <w:r>
              <w:rPr>
                <w:rFonts w:hint="eastAsia" w:ascii="宋体" w:hAnsi="宋体" w:eastAsia="宋体" w:cs="宋体"/>
                <w:color w:val="000000" w:themeColor="text1"/>
                <w:sz w:val="21"/>
                <w:szCs w:val="21"/>
                <w:highlight w:val="none"/>
                <w14:textFill>
                  <w14:solidFill>
                    <w14:schemeClr w14:val="tx1"/>
                  </w14:solidFill>
                </w14:textFill>
              </w:rPr>
              <w:t>。</w:t>
            </w:r>
          </w:p>
          <w:p w14:paraId="41B59783">
            <w:pPr>
              <w:keepNext w:val="0"/>
              <w:keepLines w:val="0"/>
              <w:pageBreakBefore w:val="0"/>
              <w:widowControl/>
              <w:tabs>
                <w:tab w:val="left" w:pos="900"/>
                <w:tab w:val="left" w:pos="1100"/>
              </w:tabs>
              <w:kinsoku/>
              <w:wordWrap/>
              <w:overflowPunct/>
              <w:topLinePunct w:val="0"/>
              <w:autoSpaceDE/>
              <w:autoSpaceDN/>
              <w:bidi w:val="0"/>
              <w:adjustRightInd/>
              <w:snapToGrid/>
              <w:spacing w:after="157" w:afterLines="50"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勘察费计算办法：</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b/>
                <w:bCs/>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u w:val="none"/>
                <w14:textFill>
                  <w14:solidFill>
                    <w14:schemeClr w14:val="tx1"/>
                  </w14:solidFill>
                </w14:textFill>
              </w:rPr>
              <w:t>勘察内容包含岩土工程设计的，招标人应在勘察费计算办法中列明岩土工程设计费及计算方法</w:t>
            </w:r>
            <w:r>
              <w:rPr>
                <w:rFonts w:hint="eastAsia" w:ascii="宋体" w:hAnsi="宋体" w:cs="宋体"/>
                <w:b/>
                <w:bCs/>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3BED585D">
            <w:pPr>
              <w:keepNext w:val="0"/>
              <w:keepLines w:val="0"/>
              <w:pageBreakBefore w:val="0"/>
              <w:widowControl/>
              <w:tabs>
                <w:tab w:val="left" w:pos="900"/>
                <w:tab w:val="left" w:pos="110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注：市级财政投融资项目勘察设计费用的支付、结算、决算按《关于进一步完善市级财政投资建设项目管理的若干措施》（厦建协[2019]14号）有关规定执行（如有新的文件，则按新的文件规定执行）。</w:t>
            </w:r>
          </w:p>
          <w:p w14:paraId="0882D351">
            <w:pPr>
              <w:widowControl/>
              <w:tabs>
                <w:tab w:val="left" w:pos="900"/>
                <w:tab w:val="left" w:pos="1100"/>
              </w:tabs>
              <w:adjustRightInd/>
              <w:spacing w:beforeLines="50" w:line="300" w:lineRule="auto"/>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□采用分项收费方式</w:t>
            </w:r>
          </w:p>
          <w:p w14:paraId="7A6F072C">
            <w:pPr>
              <w:keepNext w:val="0"/>
              <w:keepLines w:val="0"/>
              <w:pageBreakBefore w:val="0"/>
              <w:widowControl/>
              <w:tabs>
                <w:tab w:val="left" w:pos="900"/>
                <w:tab w:val="left" w:pos="110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招标人公布设计项目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的设计费总金额</w:t>
            </w:r>
            <w:r>
              <w:rPr>
                <w:rFonts w:hint="eastAsia" w:ascii="宋体" w:hAnsi="宋体" w:eastAsia="宋体" w:cs="宋体"/>
                <w:color w:val="000000" w:themeColor="text1"/>
                <w:sz w:val="21"/>
                <w:szCs w:val="21"/>
                <w:highlight w:val="none"/>
                <w14:textFill>
                  <w14:solidFill>
                    <w14:schemeClr w14:val="tx1"/>
                  </w14:solidFill>
                </w14:textFill>
              </w:rPr>
              <w:t xml:space="preserve">为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其中：</w:t>
            </w:r>
          </w:p>
          <w:p w14:paraId="42F7289E">
            <w:pPr>
              <w:keepNext w:val="0"/>
              <w:keepLines w:val="0"/>
              <w:pageBreakBefore w:val="0"/>
              <w:widowControl/>
              <w:tabs>
                <w:tab w:val="left" w:pos="900"/>
                <w:tab w:val="left" w:pos="1100"/>
              </w:tabs>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 xml:space="preserve">工程设计收费计费额（即招标时的设计费计费基数）为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元，估算的工程设计收费金额为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元，具体《设计费分项表》如下：</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405528C7">
            <w:pPr>
              <w:keepNext w:val="0"/>
              <w:keepLines w:val="0"/>
              <w:pageBreakBefore w:val="0"/>
              <w:widowControl/>
              <w:tabs>
                <w:tab w:val="left" w:pos="900"/>
                <w:tab w:val="left" w:pos="110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设计费分项表》应列出各分项工程设计费计算方法，包括分项工程名称、计费额、计费标准、计算公式、浮动幅度值、收费金额等内容，格式由招标人根据项目实际自拟。除填写投标报价外，投标人不得修改《设计费分项表》中的内容。</w:t>
            </w:r>
          </w:p>
          <w:p w14:paraId="76A3C197">
            <w:pPr>
              <w:keepNext w:val="0"/>
              <w:keepLines w:val="0"/>
              <w:pageBreakBefore w:val="0"/>
              <w:widowControl/>
              <w:tabs>
                <w:tab w:val="left" w:pos="900"/>
                <w:tab w:val="left" w:pos="1100"/>
              </w:tabs>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BIM技术应用费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元</w:t>
            </w:r>
            <w:r>
              <w:rPr>
                <w:rFonts w:hint="eastAsia" w:ascii="宋体" w:hAnsi="宋体" w:eastAsia="宋体" w:cs="宋体"/>
                <w:color w:val="000000" w:themeColor="text1"/>
                <w:sz w:val="21"/>
                <w:szCs w:val="21"/>
                <w:highlight w:val="none"/>
                <w14:textFill>
                  <w14:solidFill>
                    <w14:schemeClr w14:val="tx1"/>
                  </w14:solidFill>
                </w14:textFill>
              </w:rPr>
              <w:t>，具体《BIM技术应用费分项表》如下：</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01AA0E6C">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招标文件明确应用BIM技术的，应当</w:t>
            </w:r>
            <w:r>
              <w:rPr>
                <w:rFonts w:hint="eastAsia" w:ascii="宋体" w:hAnsi="宋体" w:eastAsia="宋体" w:cs="宋体"/>
                <w:color w:val="000000" w:themeColor="text1"/>
                <w:sz w:val="21"/>
                <w:szCs w:val="21"/>
                <w:highlight w:val="none"/>
                <w:lang w:val="en-US" w:eastAsia="zh-CN"/>
                <w14:textFill>
                  <w14:solidFill>
                    <w14:schemeClr w14:val="tx1"/>
                  </w14:solidFill>
                </w14:textFill>
              </w:rPr>
              <w:t>单独</w:t>
            </w:r>
            <w:r>
              <w:rPr>
                <w:rFonts w:hint="eastAsia" w:ascii="宋体" w:hAnsi="宋体" w:eastAsia="宋体" w:cs="宋体"/>
                <w:color w:val="000000" w:themeColor="text1"/>
                <w:sz w:val="21"/>
                <w:szCs w:val="21"/>
                <w:highlight w:val="none"/>
                <w14:textFill>
                  <w14:solidFill>
                    <w14:schemeClr w14:val="tx1"/>
                  </w14:solidFill>
                </w14:textFill>
              </w:rPr>
              <w:t>列明BIM技术应用收费；《BIM技术应用费分项表》</w:t>
            </w:r>
            <w:r>
              <w:rPr>
                <w:rFonts w:hint="eastAsia" w:ascii="宋体" w:hAnsi="宋体" w:cs="宋体"/>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color w:val="000000" w:themeColor="text1"/>
                <w:sz w:val="21"/>
                <w:szCs w:val="21"/>
                <w:highlight w:val="none"/>
                <w:lang w:val="en-US" w:eastAsia="zh-CN"/>
                <w14:textFill>
                  <w14:solidFill>
                    <w14:schemeClr w14:val="tx1"/>
                  </w14:solidFill>
                </w14:textFill>
              </w:rPr>
              <w:t>列明</w:t>
            </w:r>
            <w:r>
              <w:rPr>
                <w:rFonts w:hint="eastAsia" w:ascii="宋体" w:hAnsi="宋体" w:eastAsia="宋体" w:cs="宋体"/>
                <w:color w:val="000000" w:themeColor="text1"/>
                <w:sz w:val="21"/>
                <w:szCs w:val="21"/>
                <w:highlight w:val="none"/>
                <w14:textFill>
                  <w14:solidFill>
                    <w14:schemeClr w14:val="tx1"/>
                  </w14:solidFill>
                </w14:textFill>
              </w:rPr>
              <w:t>相应计算</w:t>
            </w:r>
            <w:r>
              <w:rPr>
                <w:rFonts w:hint="eastAsia" w:ascii="宋体" w:hAnsi="宋体" w:eastAsia="宋体" w:cs="宋体"/>
                <w:color w:val="000000" w:themeColor="text1"/>
                <w:sz w:val="21"/>
                <w:szCs w:val="21"/>
                <w:highlight w:val="none"/>
                <w:lang w:val="en-US" w:eastAsia="zh-CN"/>
                <w14:textFill>
                  <w14:solidFill>
                    <w14:schemeClr w14:val="tx1"/>
                  </w14:solidFill>
                </w14:textFill>
              </w:rPr>
              <w:t>办法</w:t>
            </w:r>
            <w:r>
              <w:rPr>
                <w:rFonts w:hint="eastAsia" w:ascii="宋体" w:hAnsi="宋体" w:eastAsia="宋体" w:cs="宋体"/>
                <w:color w:val="000000" w:themeColor="text1"/>
                <w:sz w:val="21"/>
                <w:szCs w:val="21"/>
                <w:highlight w:val="none"/>
                <w14:textFill>
                  <w14:solidFill>
                    <w14:schemeClr w14:val="tx1"/>
                  </w14:solidFill>
                </w14:textFill>
              </w:rPr>
              <w:t>，格式由招标人根据项目实际自拟。除填写投标报价外，投标人不得修改《BIM技术应用费分项表》中的内容。</w:t>
            </w:r>
          </w:p>
          <w:p w14:paraId="466BF6CB">
            <w:pPr>
              <w:keepNext w:val="0"/>
              <w:keepLines w:val="0"/>
              <w:pageBreakBefore w:val="0"/>
              <w:widowControl/>
              <w:tabs>
                <w:tab w:val="left" w:pos="900"/>
                <w:tab w:val="left" w:pos="1100"/>
              </w:tabs>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绿色建筑设计收费为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元</w:t>
            </w:r>
            <w:r>
              <w:rPr>
                <w:rFonts w:hint="eastAsia" w:ascii="宋体" w:hAnsi="宋体" w:eastAsia="宋体" w:cs="宋体"/>
                <w:color w:val="000000" w:themeColor="text1"/>
                <w:sz w:val="21"/>
                <w:szCs w:val="21"/>
                <w:highlight w:val="none"/>
                <w14:textFill>
                  <w14:solidFill>
                    <w14:schemeClr w14:val="tx1"/>
                  </w14:solidFill>
                </w14:textFill>
              </w:rPr>
              <w:t>，具体《</w:t>
            </w: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绿色建筑设计收费</w:t>
            </w:r>
            <w:r>
              <w:rPr>
                <w:rFonts w:hint="eastAsia" w:ascii="宋体" w:hAnsi="宋体" w:eastAsia="宋体" w:cs="宋体"/>
                <w:color w:val="000000" w:themeColor="text1"/>
                <w:sz w:val="21"/>
                <w:szCs w:val="21"/>
                <w:highlight w:val="none"/>
                <w14:textFill>
                  <w14:solidFill>
                    <w14:schemeClr w14:val="tx1"/>
                  </w14:solidFill>
                </w14:textFill>
              </w:rPr>
              <w:t>分项表》如下：</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3D9E7BF7">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招标文件明确</w:t>
            </w:r>
            <w:r>
              <w:rPr>
                <w:rFonts w:hint="eastAsia" w:ascii="宋体" w:hAnsi="宋体" w:eastAsia="宋体" w:cs="宋体"/>
                <w:color w:val="000000" w:themeColor="text1"/>
                <w:sz w:val="21"/>
                <w:szCs w:val="21"/>
                <w:highlight w:val="none"/>
                <w:lang w:val="en-US" w:eastAsia="zh-CN"/>
                <w14:textFill>
                  <w14:solidFill>
                    <w14:schemeClr w14:val="tx1"/>
                  </w14:solidFill>
                </w14:textFill>
              </w:rPr>
              <w:t>采</w:t>
            </w:r>
            <w:r>
              <w:rPr>
                <w:rFonts w:hint="eastAsia" w:ascii="宋体" w:hAnsi="宋体" w:eastAsia="宋体" w:cs="宋体"/>
                <w:color w:val="000000" w:themeColor="text1"/>
                <w:sz w:val="21"/>
                <w:szCs w:val="21"/>
                <w:highlight w:val="none"/>
                <w14:textFill>
                  <w14:solidFill>
                    <w14:schemeClr w14:val="tx1"/>
                  </w14:solidFill>
                </w14:textFill>
              </w:rPr>
              <w:t>用</w:t>
            </w: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w:t>
            </w:r>
            <w:r>
              <w:rPr>
                <w:rFonts w:hint="eastAsia" w:ascii="宋体" w:hAnsi="宋体" w:eastAsia="宋体" w:cs="宋体"/>
                <w:color w:val="000000" w:themeColor="text1"/>
                <w:sz w:val="21"/>
                <w:szCs w:val="21"/>
                <w:highlight w:val="none"/>
                <w14:textFill>
                  <w14:solidFill>
                    <w14:schemeClr w14:val="tx1"/>
                  </w14:solidFill>
                </w14:textFill>
              </w:rPr>
              <w:t>的，应当</w:t>
            </w:r>
            <w:r>
              <w:rPr>
                <w:rFonts w:hint="eastAsia" w:ascii="宋体" w:hAnsi="宋体" w:eastAsia="宋体" w:cs="宋体"/>
                <w:color w:val="000000" w:themeColor="text1"/>
                <w:sz w:val="21"/>
                <w:szCs w:val="21"/>
                <w:highlight w:val="none"/>
                <w:lang w:val="en-US" w:eastAsia="zh-CN"/>
                <w14:textFill>
                  <w14:solidFill>
                    <w14:schemeClr w14:val="tx1"/>
                  </w14:solidFill>
                </w14:textFill>
              </w:rPr>
              <w:t>单独</w:t>
            </w:r>
            <w:r>
              <w:rPr>
                <w:rFonts w:hint="eastAsia" w:ascii="宋体" w:hAnsi="宋体" w:eastAsia="宋体" w:cs="宋体"/>
                <w:color w:val="000000" w:themeColor="text1"/>
                <w:sz w:val="21"/>
                <w:szCs w:val="21"/>
                <w:highlight w:val="none"/>
                <w14:textFill>
                  <w14:solidFill>
                    <w14:schemeClr w14:val="tx1"/>
                  </w14:solidFill>
                </w14:textFill>
              </w:rPr>
              <w:t>列明</w:t>
            </w: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绿色建筑设计收费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none"/>
                <w14:textFill>
                  <w14:solidFill>
                    <w14:schemeClr w14:val="tx1"/>
                  </w14:solidFill>
                </w14:textFill>
              </w:rPr>
              <w:t>《</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绿色建筑设计收费</w:t>
            </w:r>
            <w:r>
              <w:rPr>
                <w:rFonts w:hint="eastAsia" w:ascii="宋体" w:hAnsi="宋体" w:eastAsia="宋体" w:cs="宋体"/>
                <w:i w:val="0"/>
                <w:iCs w:val="0"/>
                <w:color w:val="000000" w:themeColor="text1"/>
                <w:sz w:val="21"/>
                <w:szCs w:val="21"/>
                <w:highlight w:val="none"/>
                <w:u w:val="none"/>
                <w14:textFill>
                  <w14:solidFill>
                    <w14:schemeClr w14:val="tx1"/>
                  </w14:solidFill>
                </w14:textFill>
              </w:rPr>
              <w:t>分项表》</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应</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列明</w:t>
            </w:r>
            <w:r>
              <w:rPr>
                <w:rFonts w:hint="eastAsia" w:ascii="宋体" w:hAnsi="宋体" w:eastAsia="宋体" w:cs="宋体"/>
                <w:i w:val="0"/>
                <w:iCs w:val="0"/>
                <w:color w:val="000000" w:themeColor="text1"/>
                <w:sz w:val="21"/>
                <w:szCs w:val="21"/>
                <w:highlight w:val="none"/>
                <w:u w:val="none"/>
                <w14:textFill>
                  <w14:solidFill>
                    <w14:schemeClr w14:val="tx1"/>
                  </w14:solidFill>
                </w14:textFill>
              </w:rPr>
              <w:t>相应计算</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办法</w:t>
            </w:r>
            <w:r>
              <w:rPr>
                <w:rFonts w:hint="eastAsia" w:ascii="宋体" w:hAnsi="宋体" w:eastAsia="宋体" w:cs="宋体"/>
                <w:i w:val="0"/>
                <w:iCs w:val="0"/>
                <w:color w:val="000000" w:themeColor="text1"/>
                <w:sz w:val="21"/>
                <w:szCs w:val="21"/>
                <w:highlight w:val="none"/>
                <w:u w:val="none"/>
                <w14:textFill>
                  <w14:solidFill>
                    <w14:schemeClr w14:val="tx1"/>
                  </w14:solidFill>
                </w14:textFill>
              </w:rPr>
              <w:t>，格式由招标人根据项目实际自拟。除填写投标报价外，投标人不得修改《</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绿色建筑设计收费</w:t>
            </w:r>
            <w:r>
              <w:rPr>
                <w:rFonts w:hint="eastAsia" w:ascii="宋体" w:hAnsi="宋体" w:eastAsia="宋体" w:cs="宋体"/>
                <w:i w:val="0"/>
                <w:iCs w:val="0"/>
                <w:color w:val="000000" w:themeColor="text1"/>
                <w:sz w:val="21"/>
                <w:szCs w:val="21"/>
                <w:highlight w:val="none"/>
                <w:u w:val="none"/>
                <w14:textFill>
                  <w14:solidFill>
                    <w14:schemeClr w14:val="tx1"/>
                  </w14:solidFill>
                </w14:textFill>
              </w:rPr>
              <w:t>分项表》中的内容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97C2CD8">
            <w:pPr>
              <w:keepNext w:val="0"/>
              <w:keepLines w:val="0"/>
              <w:pageBreakBefore w:val="0"/>
              <w:widowControl/>
              <w:tabs>
                <w:tab w:val="left" w:pos="900"/>
                <w:tab w:val="left" w:pos="1100"/>
              </w:tabs>
              <w:kinsoku/>
              <w:wordWrap/>
              <w:overflowPunct/>
              <w:topLinePunct w:val="0"/>
              <w:autoSpaceDE/>
              <w:autoSpaceDN/>
              <w:bidi w:val="0"/>
              <w:adjustRightInd/>
              <w:snapToGrid/>
              <w:spacing w:before="157" w:beforeLines="50"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招标内容包含勘察的，招标人公布的《工程勘察分项表》如下：</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none"/>
                <w:lang w:eastAsia="zh-CN"/>
                <w14:textFill>
                  <w14:solidFill>
                    <w14:schemeClr w14:val="tx1"/>
                  </w14:solidFill>
                </w14:textFill>
              </w:rPr>
              <w:t>。</w:t>
            </w:r>
          </w:p>
          <w:p w14:paraId="4335D1FF">
            <w:pPr>
              <w:keepNext w:val="0"/>
              <w:keepLines w:val="0"/>
              <w:pageBreakBefore w:val="0"/>
              <w:widowControl/>
              <w:tabs>
                <w:tab w:val="left" w:pos="900"/>
                <w:tab w:val="left" w:pos="1100"/>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1）《工程勘察分项表》应列出各分项工程勘察费计算方法，包括分项工程名称、深度、类别、数量、单价、合价等内容，格式由招标人根据项目实际自拟。除填写投标报价外，投标人不得修改《工程勘察分项表》中的内容。</w:t>
            </w:r>
            <w:r>
              <w:rPr>
                <w:rFonts w:hint="eastAsia" w:ascii="宋体" w:hAnsi="宋体" w:eastAsia="宋体" w:cs="宋体"/>
                <w:b/>
                <w:color w:val="000000" w:themeColor="text1"/>
                <w:sz w:val="21"/>
                <w:szCs w:val="21"/>
                <w:highlight w:val="none"/>
                <w14:textFill>
                  <w14:solidFill>
                    <w14:schemeClr w14:val="tx1"/>
                  </w14:solidFill>
                </w14:textFill>
              </w:rPr>
              <w:t>（2）勘察内容包含岩土工程设计的，招标人应在《工程勘察分项表》中列明岩土工程设计费及计算方法。</w:t>
            </w:r>
          </w:p>
          <w:p w14:paraId="506D3512">
            <w:pPr>
              <w:widowControl/>
              <w:tabs>
                <w:tab w:val="left" w:pos="900"/>
                <w:tab w:val="left" w:pos="1100"/>
              </w:tabs>
              <w:adjustRightInd/>
              <w:spacing w:line="300" w:lineRule="auto"/>
              <w:ind w:firstLine="420"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sz w:val="21"/>
                <w:szCs w:val="21"/>
                <w:highlight w:val="none"/>
                <w14:textFill>
                  <w14:solidFill>
                    <w14:schemeClr w14:val="tx1"/>
                  </w14:solidFill>
                </w14:textFill>
              </w:rPr>
              <w:t>：市级财政投融资项目勘察设计费用的支付、结算、决算按《关于进一步完善市级财政投资建设项目管理的若干措施》（厦建协[2019]14号）有关规定执行（如有新的文件，则按新的文件规定执行）。</w:t>
            </w:r>
          </w:p>
        </w:tc>
      </w:tr>
      <w:tr w14:paraId="78D05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09" w:type="dxa"/>
            <w:tcBorders>
              <w:tl2br w:val="nil"/>
              <w:tr2bl w:val="nil"/>
            </w:tcBorders>
            <w:vAlign w:val="center"/>
          </w:tcPr>
          <w:p w14:paraId="1B6CFCC5">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w:t>
            </w:r>
          </w:p>
        </w:tc>
        <w:tc>
          <w:tcPr>
            <w:tcW w:w="993" w:type="dxa"/>
            <w:tcBorders>
              <w:tl2br w:val="nil"/>
              <w:tr2bl w:val="nil"/>
            </w:tcBorders>
            <w:vAlign w:val="center"/>
          </w:tcPr>
          <w:p w14:paraId="703BF9ED">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3.2.7</w:t>
            </w:r>
          </w:p>
        </w:tc>
        <w:tc>
          <w:tcPr>
            <w:tcW w:w="1559" w:type="dxa"/>
            <w:tcBorders>
              <w:tl2br w:val="nil"/>
              <w:tr2bl w:val="nil"/>
            </w:tcBorders>
            <w:vAlign w:val="center"/>
          </w:tcPr>
          <w:p w14:paraId="6477AC84">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投标报价的其他要求</w:t>
            </w:r>
          </w:p>
        </w:tc>
        <w:tc>
          <w:tcPr>
            <w:tcW w:w="6237" w:type="dxa"/>
            <w:tcBorders>
              <w:tl2br w:val="nil"/>
              <w:tr2bl w:val="nil"/>
            </w:tcBorders>
            <w:vAlign w:val="center"/>
          </w:tcPr>
          <w:p w14:paraId="5E1E6714">
            <w:pPr>
              <w:widowControl/>
              <w:tabs>
                <w:tab w:val="left" w:pos="900"/>
                <w:tab w:val="left" w:pos="1100"/>
              </w:tabs>
              <w:adjustRightInd/>
              <w:spacing w:line="300" w:lineRule="auto"/>
              <w:ind w:firstLine="420"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p>
        </w:tc>
      </w:tr>
      <w:tr w14:paraId="2640A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9" w:type="dxa"/>
            <w:tcBorders>
              <w:tl2br w:val="nil"/>
              <w:tr2bl w:val="nil"/>
            </w:tcBorders>
            <w:vAlign w:val="center"/>
          </w:tcPr>
          <w:p w14:paraId="12C5A2A9">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p>
        </w:tc>
        <w:tc>
          <w:tcPr>
            <w:tcW w:w="993" w:type="dxa"/>
            <w:tcBorders>
              <w:tl2br w:val="nil"/>
              <w:tr2bl w:val="nil"/>
            </w:tcBorders>
            <w:vAlign w:val="center"/>
          </w:tcPr>
          <w:p w14:paraId="2F797D1D">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w:t>
            </w:r>
          </w:p>
        </w:tc>
        <w:tc>
          <w:tcPr>
            <w:tcW w:w="1559" w:type="dxa"/>
            <w:tcBorders>
              <w:tl2br w:val="nil"/>
              <w:tr2bl w:val="nil"/>
            </w:tcBorders>
            <w:vAlign w:val="center"/>
          </w:tcPr>
          <w:p w14:paraId="6500B0F1">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w:t>
            </w:r>
          </w:p>
        </w:tc>
        <w:tc>
          <w:tcPr>
            <w:tcW w:w="6237" w:type="dxa"/>
            <w:tcBorders>
              <w:tl2br w:val="nil"/>
              <w:tr2bl w:val="nil"/>
            </w:tcBorders>
            <w:vAlign w:val="center"/>
          </w:tcPr>
          <w:p w14:paraId="6E120034">
            <w:pPr>
              <w:pStyle w:val="13"/>
              <w:snapToGrid w:val="0"/>
              <w:spacing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本招标项目的投标有效期为投标截止期后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日历天。</w:t>
            </w:r>
          </w:p>
        </w:tc>
      </w:tr>
      <w:tr w14:paraId="1CB0F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tcBorders>
              <w:tl2br w:val="nil"/>
              <w:tr2bl w:val="nil"/>
            </w:tcBorders>
            <w:vAlign w:val="center"/>
          </w:tcPr>
          <w:p w14:paraId="442AF403">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993" w:type="dxa"/>
            <w:tcBorders>
              <w:tl2br w:val="nil"/>
              <w:tr2bl w:val="nil"/>
            </w:tcBorders>
            <w:vAlign w:val="center"/>
          </w:tcPr>
          <w:p w14:paraId="17C72BFE">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3.4.1</w:t>
            </w:r>
          </w:p>
        </w:tc>
        <w:tc>
          <w:tcPr>
            <w:tcW w:w="1559" w:type="dxa"/>
            <w:tcBorders>
              <w:tl2br w:val="nil"/>
              <w:tr2bl w:val="nil"/>
            </w:tcBorders>
            <w:vAlign w:val="center"/>
          </w:tcPr>
          <w:p w14:paraId="5C3277DB">
            <w:pPr>
              <w:pStyle w:val="13"/>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w:t>
            </w:r>
          </w:p>
          <w:p w14:paraId="115B0D93">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p>
        </w:tc>
        <w:tc>
          <w:tcPr>
            <w:tcW w:w="6237" w:type="dxa"/>
            <w:tcBorders>
              <w:tl2br w:val="nil"/>
              <w:tr2bl w:val="nil"/>
            </w:tcBorders>
            <w:vAlign w:val="center"/>
          </w:tcPr>
          <w:p w14:paraId="53BE7B56">
            <w:pPr>
              <w:pStyle w:val="13"/>
              <w:spacing w:line="300" w:lineRule="auto"/>
              <w:ind w:firstLine="48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□不要求</w:t>
            </w:r>
          </w:p>
          <w:p w14:paraId="3ED2BD3D">
            <w:pPr>
              <w:pStyle w:val="13"/>
              <w:spacing w:line="300" w:lineRule="auto"/>
              <w:ind w:firstLine="482"/>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□要求，采用联合体形式投标的，其投标保证金由牵头人</w:t>
            </w:r>
            <w:r>
              <w:rPr>
                <w:rFonts w:hint="eastAsia" w:ascii="宋体" w:hAnsi="宋体" w:eastAsia="宋体" w:cs="宋体"/>
                <w:color w:val="000000" w:themeColor="text1"/>
                <w:szCs w:val="21"/>
                <w:highlight w:val="none"/>
                <w:lang w:val="en-US" w:eastAsia="zh-CN"/>
                <w14:textFill>
                  <w14:solidFill>
                    <w14:schemeClr w14:val="tx1"/>
                  </w14:solidFill>
                </w14:textFill>
              </w:rPr>
              <w:t>递交</w:t>
            </w:r>
            <w:r>
              <w:rPr>
                <w:rFonts w:hint="eastAsia" w:ascii="宋体" w:hAnsi="宋体" w:eastAsia="宋体" w:cs="宋体"/>
                <w:color w:val="000000" w:themeColor="text1"/>
                <w:szCs w:val="21"/>
                <w:highlight w:val="none"/>
                <w14:textFill>
                  <w14:solidFill>
                    <w14:schemeClr w14:val="tx1"/>
                  </w14:solidFill>
                </w14:textFill>
              </w:rPr>
              <w:t>。</w:t>
            </w:r>
          </w:p>
          <w:p w14:paraId="37509783">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1.投标保证金金额：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万元人民币；</w:t>
            </w:r>
          </w:p>
          <w:p w14:paraId="11C9D75A">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2.投标保证金形式：投标人可以使用以下</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①</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□②</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□③</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□④</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之一的有效投标保证金形式：</w:t>
            </w:r>
          </w:p>
          <w:p w14:paraId="3E76DD6C">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①现金形式:应在投标截止时间之前从投标人所在地银行的投标人企业基本账户以电汇或银行转账的形式，汇到招标文件指定的投标保证金账户</w:t>
            </w:r>
            <w:r>
              <w:rPr>
                <w:rFonts w:hint="eastAsia" w:ascii="宋体" w:hAnsi="宋体" w:eastAsia="宋体" w:cs="宋体"/>
                <w:color w:val="000000" w:themeColor="text1"/>
                <w:spacing w:val="4"/>
                <w:sz w:val="21"/>
                <w:szCs w:val="21"/>
                <w:highlight w:val="none"/>
                <w14:textFill>
                  <w14:solidFill>
                    <w14:schemeClr w14:val="tx1"/>
                  </w14:solidFill>
                </w14:textFill>
              </w:rPr>
              <w:t>，并应在电汇或银行转账单上注明“</w:t>
            </w:r>
            <w:r>
              <w:rPr>
                <w:rFonts w:hint="eastAsia" w:ascii="宋体" w:hAnsi="宋体" w:eastAsia="宋体" w:cs="宋体"/>
                <w:color w:val="000000" w:themeColor="text1"/>
                <w:spacing w:val="4"/>
                <w:sz w:val="21"/>
                <w:szCs w:val="21"/>
                <w:highlight w:val="none"/>
                <w:u w:val="single"/>
                <w14:textFill>
                  <w14:solidFill>
                    <w14:schemeClr w14:val="tx1"/>
                  </w14:solidFill>
                </w14:textFill>
              </w:rPr>
              <w:t xml:space="preserve">（招标项目编号） </w:t>
            </w:r>
            <w:r>
              <w:rPr>
                <w:rFonts w:hint="eastAsia" w:ascii="宋体" w:hAnsi="宋体" w:eastAsia="宋体" w:cs="宋体"/>
                <w:color w:val="000000" w:themeColor="text1"/>
                <w:spacing w:val="4"/>
                <w:sz w:val="21"/>
                <w:szCs w:val="21"/>
                <w:highlight w:val="none"/>
                <w14:textFill>
                  <w14:solidFill>
                    <w14:schemeClr w14:val="tx1"/>
                  </w14:solidFill>
                </w14:textFill>
              </w:rPr>
              <w:t>”，如因投标人汇款凭证未注明招标项目编号造成银行无法识别投标保证金到账情况或识别错误的，其责任由投标人自行承担。</w:t>
            </w:r>
            <w:r>
              <w:rPr>
                <w:rFonts w:hint="eastAsia" w:ascii="宋体" w:hAnsi="宋体" w:eastAsia="宋体" w:cs="宋体"/>
                <w:color w:val="000000" w:themeColor="text1"/>
                <w:sz w:val="21"/>
                <w:szCs w:val="21"/>
                <w:highlight w:val="none"/>
                <w14:textFill>
                  <w14:solidFill>
                    <w14:schemeClr w14:val="tx1"/>
                  </w14:solidFill>
                </w14:textFill>
              </w:rPr>
              <w:t>招标人在投标截止的同一时间到银行查询投标保证金到</w:t>
            </w:r>
            <w:r>
              <w:rPr>
                <w:rFonts w:hint="eastAsia" w:ascii="宋体" w:hAnsi="宋体" w:eastAsia="宋体" w:cs="宋体"/>
                <w:color w:val="000000" w:themeColor="text1"/>
                <w:sz w:val="21"/>
                <w:szCs w:val="21"/>
                <w:highlight w:val="none"/>
                <w:lang w:eastAsia="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情况，并以银行出具的加盖公章的投标保证金到</w:t>
            </w:r>
            <w:r>
              <w:rPr>
                <w:rFonts w:hint="eastAsia" w:ascii="宋体" w:hAnsi="宋体" w:eastAsia="宋体" w:cs="宋体"/>
                <w:color w:val="000000" w:themeColor="text1"/>
                <w:sz w:val="21"/>
                <w:szCs w:val="21"/>
                <w:highlight w:val="none"/>
                <w:lang w:eastAsia="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证明作为投标人是否按招标文件规定递交投标保证金的依据。投标人企业基本账户开户许可证或基本存款账户开户银行开具的《基本存款账户信息》上账号应与投标保证金转账回单上账号一致，否则视为未按规定</w:t>
            </w:r>
            <w:r>
              <w:rPr>
                <w:rFonts w:hint="eastAsia" w:ascii="宋体" w:hAnsi="宋体" w:eastAsia="宋体" w:cs="宋体"/>
                <w:color w:val="000000" w:themeColor="text1"/>
                <w:szCs w:val="21"/>
                <w:highlight w:val="none"/>
                <w:lang w:val="en-US" w:eastAsia="zh-CN"/>
                <w14:textFill>
                  <w14:solidFill>
                    <w14:schemeClr w14:val="tx1"/>
                  </w14:solidFill>
                </w14:textFill>
              </w:rPr>
              <w:t>递交</w:t>
            </w:r>
            <w:r>
              <w:rPr>
                <w:rFonts w:hint="eastAsia" w:ascii="宋体" w:hAnsi="宋体" w:eastAsia="宋体" w:cs="宋体"/>
                <w:color w:val="000000" w:themeColor="text1"/>
                <w:sz w:val="21"/>
                <w:szCs w:val="21"/>
                <w:highlight w:val="none"/>
                <w14:textFill>
                  <w14:solidFill>
                    <w14:schemeClr w14:val="tx1"/>
                  </w14:solidFill>
                </w14:textFill>
              </w:rPr>
              <w:t>投标保证金。</w:t>
            </w:r>
          </w:p>
          <w:p w14:paraId="66798597">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投标保证金银行</w:t>
            </w:r>
            <w:r>
              <w:rPr>
                <w:rFonts w:hint="eastAsia" w:ascii="宋体" w:hAnsi="宋体" w:eastAsia="宋体" w:cs="宋体"/>
                <w:color w:val="000000" w:themeColor="text1"/>
                <w:sz w:val="21"/>
                <w:szCs w:val="21"/>
                <w:highlight w:val="none"/>
                <w:lang w:eastAsia="zh-CN"/>
                <w14:textFill>
                  <w14:solidFill>
                    <w14:schemeClr w14:val="tx1"/>
                  </w14:solidFill>
                </w14:textFill>
              </w:rPr>
              <w:t>账号</w:t>
            </w:r>
            <w:r>
              <w:rPr>
                <w:rFonts w:hint="eastAsia" w:ascii="宋体" w:hAnsi="宋体" w:eastAsia="宋体" w:cs="宋体"/>
                <w:color w:val="000000" w:themeColor="text1"/>
                <w:sz w:val="21"/>
                <w:szCs w:val="21"/>
                <w:highlight w:val="none"/>
                <w14:textFill>
                  <w14:solidFill>
                    <w14:schemeClr w14:val="tx1"/>
                  </w14:solidFill>
                </w14:textFill>
              </w:rPr>
              <w:t>：</w:t>
            </w:r>
          </w:p>
          <w:p w14:paraId="0439B404">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中国农业银行股份有限公司厦门政务中心支行</w:t>
            </w:r>
          </w:p>
          <w:p w14:paraId="1541ADC2">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户名称：</w:t>
            </w:r>
            <w:r>
              <w:rPr>
                <w:rFonts w:hint="eastAsia" w:ascii="宋体" w:hAnsi="宋体" w:eastAsia="宋体" w:cs="宋体"/>
                <w:color w:val="000000" w:themeColor="text1"/>
                <w:sz w:val="21"/>
                <w:szCs w:val="21"/>
                <w:highlight w:val="none"/>
                <w:u w:val="single"/>
                <w14:textFill>
                  <w14:solidFill>
                    <w14:schemeClr w14:val="tx1"/>
                  </w14:solidFill>
                </w14:textFill>
              </w:rPr>
              <w:t>厦门市公共资源交易中心</w:t>
            </w:r>
          </w:p>
          <w:p w14:paraId="189165D0">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 xml:space="preserve">    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AFBC43F">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银行存款利率类型为：银行存款同期活期利率，并从投标截止当日开始计息。</w:t>
            </w:r>
          </w:p>
          <w:p w14:paraId="45984E8F">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利息部分应出具发票的类型为：税务发票。</w:t>
            </w:r>
          </w:p>
          <w:p w14:paraId="6B67FEE1">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②银行保函形式：</w:t>
            </w:r>
            <w:r>
              <w:rPr>
                <w:rFonts w:hint="eastAsia" w:ascii="宋体" w:hAnsi="宋体" w:eastAsia="宋体" w:cs="宋体"/>
                <w:i w:val="0"/>
                <w:iCs w:val="0"/>
                <w:color w:val="000000" w:themeColor="text1"/>
                <w:sz w:val="21"/>
                <w:szCs w:val="21"/>
                <w:highlight w:val="none"/>
                <w:u w:val="none"/>
                <w14:textFill>
                  <w14:solidFill>
                    <w14:schemeClr w14:val="tx1"/>
                  </w14:solidFill>
                </w14:textFill>
              </w:rPr>
              <w:t>投标人须在投标截止时间前按厦建筑〔2019〕41号规定要求自行办妥电子投标保函手续；银行电子保函应注明项目名称，保函额度等信息，电子保函额度不少于招标文件规定的金额。</w:t>
            </w:r>
          </w:p>
          <w:p w14:paraId="68061957">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③工程担保公司出具的担保保函形式：</w:t>
            </w:r>
            <w:r>
              <w:rPr>
                <w:rFonts w:hint="eastAsia" w:ascii="宋体" w:hAnsi="宋体" w:eastAsia="宋体" w:cs="宋体"/>
                <w:i w:val="0"/>
                <w:iCs w:val="0"/>
                <w:color w:val="000000" w:themeColor="text1"/>
                <w:sz w:val="21"/>
                <w:szCs w:val="21"/>
                <w:highlight w:val="none"/>
                <w:u w:val="none"/>
                <w14:textFill>
                  <w14:solidFill>
                    <w14:schemeClr w14:val="tx1"/>
                  </w14:solidFill>
                </w14:textFill>
              </w:rPr>
              <w:t>投标人须在投标截止时间前按厦建筑〔2019〕41号规定要求自行办妥电子投标保函手续；电子工程担保保函应注明项目名称，保函额度等信息，电子担保保函额度不少于招标文件规定的金额。</w:t>
            </w:r>
          </w:p>
          <w:p w14:paraId="0AB567C8">
            <w:pPr>
              <w:pStyle w:val="13"/>
              <w:adjustRightInd/>
              <w:snapToGrid w:val="0"/>
              <w:spacing w:line="300" w:lineRule="auto"/>
              <w:ind w:right="56" w:rightChars="28" w:firstLine="420" w:firstLineChars="200"/>
              <w:jc w:val="left"/>
              <w:textAlignment w:val="auto"/>
              <w:rPr>
                <w:rFonts w:hint="eastAsia" w:ascii="宋体" w:hAnsi="宋体" w:eastAsia="宋体" w:cs="宋体"/>
                <w:i w:val="0"/>
                <w:iCs w:val="0"/>
                <w:color w:val="000000" w:themeColor="text1"/>
                <w:kern w:val="2"/>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u w:val="none"/>
                <w14:textFill>
                  <w14:solidFill>
                    <w14:schemeClr w14:val="tx1"/>
                  </w14:solidFill>
                </w14:textFill>
              </w:rPr>
              <w:t>④保险公司出具的投标保证保险形式：</w:t>
            </w:r>
            <w:r>
              <w:rPr>
                <w:rFonts w:hint="eastAsia" w:ascii="宋体" w:hAnsi="宋体" w:eastAsia="宋体" w:cs="宋体"/>
                <w:i w:val="0"/>
                <w:iCs w:val="0"/>
                <w:color w:val="000000" w:themeColor="text1"/>
                <w:kern w:val="2"/>
                <w:sz w:val="21"/>
                <w:szCs w:val="21"/>
                <w:highlight w:val="none"/>
                <w:u w:val="none"/>
                <w14:textFill>
                  <w14:solidFill>
                    <w14:schemeClr w14:val="tx1"/>
                  </w14:solidFill>
                </w14:textFill>
              </w:rPr>
              <w:t>投标保证保险应为先行赔付、后续追偿的见索即付保单。保险条款须经</w:t>
            </w:r>
            <w:r>
              <w:rPr>
                <w:rFonts w:hint="eastAsia" w:ascii="宋体" w:hAnsi="宋体" w:eastAsia="宋体" w:cs="宋体"/>
                <w:i w:val="0"/>
                <w:iCs w:val="0"/>
                <w:color w:val="000000" w:themeColor="text1"/>
                <w:kern w:val="2"/>
                <w:sz w:val="21"/>
                <w:szCs w:val="21"/>
                <w:highlight w:val="none"/>
                <w:u w:val="none"/>
                <w:lang w:val="en-US"/>
                <w14:textFill>
                  <w14:solidFill>
                    <w14:schemeClr w14:val="tx1"/>
                  </w14:solidFill>
                </w14:textFill>
              </w:rPr>
              <w:t>国家金融监督管理总局</w:t>
            </w:r>
            <w:r>
              <w:rPr>
                <w:rFonts w:hint="eastAsia" w:ascii="宋体" w:hAnsi="宋体" w:eastAsia="宋体" w:cs="宋体"/>
                <w:i w:val="0"/>
                <w:iCs w:val="0"/>
                <w:color w:val="000000" w:themeColor="text1"/>
                <w:kern w:val="2"/>
                <w:sz w:val="21"/>
                <w:szCs w:val="21"/>
                <w:highlight w:val="none"/>
                <w:u w:val="none"/>
                <w14:textFill>
                  <w14:solidFill>
                    <w14:schemeClr w14:val="tx1"/>
                  </w14:solidFill>
                </w14:textFill>
              </w:rPr>
              <w:t>批准或备案。保险人应在保单中的特别约定条款中注明以下责任，如无注明则视为无效保单：</w:t>
            </w:r>
          </w:p>
          <w:p w14:paraId="72F63942">
            <w:pPr>
              <w:pStyle w:val="13"/>
              <w:adjustRightInd/>
              <w:snapToGrid w:val="0"/>
              <w:spacing w:line="300" w:lineRule="auto"/>
              <w:ind w:right="56" w:rightChars="28" w:firstLine="420" w:firstLineChars="200"/>
              <w:jc w:val="left"/>
              <w:textAlignment w:val="auto"/>
              <w:rPr>
                <w:rFonts w:hint="eastAsia" w:ascii="宋体" w:hAnsi="宋体" w:eastAsia="宋体" w:cs="宋体"/>
                <w:i w:val="0"/>
                <w:iCs w:val="0"/>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14:textFill>
                  <w14:solidFill>
                    <w14:schemeClr w14:val="tx1"/>
                  </w14:solidFill>
                </w14:textFill>
              </w:rPr>
              <w:t>a.保险人在投标人存在违反法律、法规和招标文件规定投标保证金不予退还的情形时承担保证保险责任。</w:t>
            </w:r>
          </w:p>
          <w:p w14:paraId="79C05940">
            <w:pPr>
              <w:pStyle w:val="13"/>
              <w:adjustRightInd/>
              <w:snapToGrid w:val="0"/>
              <w:spacing w:line="300" w:lineRule="auto"/>
              <w:ind w:right="56" w:rightChars="28" w:firstLine="420" w:firstLineChars="200"/>
              <w:jc w:val="left"/>
              <w:textAlignment w:val="auto"/>
              <w:rPr>
                <w:rFonts w:hint="eastAsia" w:ascii="宋体" w:hAnsi="宋体" w:eastAsia="宋体" w:cs="宋体"/>
                <w:i w:val="0"/>
                <w:iCs w:val="0"/>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14:textFill>
                  <w14:solidFill>
                    <w14:schemeClr w14:val="tx1"/>
                  </w14:solidFill>
                </w14:textFill>
              </w:rPr>
              <w:t>b.本保单为先行赔付、后续追偿的见索即付保单。本保单有效期自开立之日起至投标有效期届满之日后的28日（含）。</w:t>
            </w:r>
          </w:p>
          <w:p w14:paraId="06CAA483">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3.投标保证金证明材料要求：</w:t>
            </w:r>
          </w:p>
          <w:p w14:paraId="47E29756">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①采用现金形式：提交电汇或银行转账单的扫描件并加盖投标人单位电子印章以及企业基本账户开户许可证或基本存款账户开户银行开具的《基本存款账户信息》扫描件并加盖投标人单位电子印章，作为</w:t>
            </w:r>
            <w:r>
              <w:rPr>
                <w:rFonts w:hint="eastAsia" w:ascii="宋体" w:hAnsi="宋体" w:eastAsia="宋体" w:cs="宋体"/>
                <w:color w:val="000000" w:themeColor="text1"/>
                <w:spacing w:val="4"/>
                <w:kern w:val="2"/>
                <w:sz w:val="21"/>
                <w:szCs w:val="21"/>
                <w:highlight w:val="none"/>
                <w14:textFill>
                  <w14:solidFill>
                    <w14:schemeClr w14:val="tx1"/>
                  </w14:solidFill>
                </w14:textFill>
              </w:rPr>
              <w:t>商务文件</w:t>
            </w:r>
            <w:r>
              <w:rPr>
                <w:rFonts w:hint="eastAsia" w:ascii="宋体" w:hAnsi="宋体" w:eastAsia="宋体" w:cs="宋体"/>
                <w:color w:val="000000" w:themeColor="text1"/>
                <w:sz w:val="21"/>
                <w:szCs w:val="21"/>
                <w:highlight w:val="none"/>
                <w14:textFill>
                  <w14:solidFill>
                    <w14:schemeClr w14:val="tx1"/>
                  </w14:solidFill>
                </w14:textFill>
              </w:rPr>
              <w:t>的组成部分。</w:t>
            </w:r>
          </w:p>
          <w:p w14:paraId="3FCEB719">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②采用投标保函（包括银行保函、担保保函、投标保证保险，下同）：</w:t>
            </w:r>
          </w:p>
          <w:p w14:paraId="782614AC">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a.投标保函应采用电子保函形式，投标人应通过“厦门市建设工程电子招投标交易平台——电子投标保函系统”使用其企业</w:t>
            </w:r>
            <w:r>
              <w:rPr>
                <w:rFonts w:hint="eastAsia" w:ascii="宋体" w:hAnsi="宋体" w:eastAsia="宋体" w:cs="宋体"/>
                <w:color w:val="000000" w:themeColor="text1"/>
                <w:sz w:val="21"/>
                <w:szCs w:val="21"/>
                <w:highlight w:val="none"/>
                <w:lang w:eastAsia="zh-CN"/>
                <w14:textFill>
                  <w14:solidFill>
                    <w14:schemeClr w14:val="tx1"/>
                  </w14:solidFill>
                </w14:textFill>
              </w:rPr>
              <w:t>CA证书</w:t>
            </w:r>
            <w:r>
              <w:rPr>
                <w:rFonts w:hint="eastAsia" w:ascii="宋体" w:hAnsi="宋体" w:eastAsia="宋体" w:cs="宋体"/>
                <w:color w:val="000000" w:themeColor="text1"/>
                <w:sz w:val="21"/>
                <w:szCs w:val="21"/>
                <w:highlight w:val="none"/>
                <w14:textFill>
                  <w14:solidFill>
                    <w14:schemeClr w14:val="tx1"/>
                  </w14:solidFill>
                </w14:textFill>
              </w:rPr>
              <w:t>申请购买电子投标保函。</w:t>
            </w:r>
          </w:p>
          <w:p w14:paraId="36EB5DAF">
            <w:pPr>
              <w:pStyle w:val="13"/>
              <w:adjustRightInd/>
              <w:spacing w:line="30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投标人应将电子投标保函原件并加盖电子投标保函开立人电子印章或电子投标保函开立人依法刻制并授权用于投标保函业务的专用章、支付电子投标保函费用的电汇或银行转账回单扫描件并加盖投标人单位电子印章、</w:t>
            </w:r>
            <w:r>
              <w:rPr>
                <w:rFonts w:hint="eastAsia" w:ascii="宋体" w:hAnsi="宋体" w:eastAsia="宋体" w:cs="宋体"/>
                <w:color w:val="000000" w:themeColor="text1"/>
                <w:szCs w:val="21"/>
                <w:highlight w:val="none"/>
                <w14:textFill>
                  <w14:solidFill>
                    <w14:schemeClr w14:val="tx1"/>
                  </w14:solidFill>
                </w14:textFill>
              </w:rPr>
              <w:t>电子投标保函开立人出具的加盖电子投标保函开立人电子印章或电子投标保函开立人依法刻制并授权用于投标保函业务的专用章的到账证明扫描件并加盖投标人单位电子印章</w:t>
            </w:r>
            <w:r>
              <w:rPr>
                <w:rFonts w:hint="eastAsia" w:ascii="宋体" w:hAnsi="宋体" w:eastAsia="宋体" w:cs="宋体"/>
                <w:color w:val="000000" w:themeColor="text1"/>
                <w:sz w:val="21"/>
                <w:szCs w:val="21"/>
                <w:highlight w:val="none"/>
                <w14:textFill>
                  <w14:solidFill>
                    <w14:schemeClr w14:val="tx1"/>
                  </w14:solidFill>
                </w14:textFill>
              </w:rPr>
              <w:t>以及企业基本账户开户许可证或基本存款账户开户银行开具的《基本存款账户信息》扫描件并加盖投标人单位电子印章，作为</w:t>
            </w:r>
            <w:r>
              <w:rPr>
                <w:rFonts w:hint="eastAsia" w:ascii="宋体" w:hAnsi="宋体" w:eastAsia="宋体" w:cs="宋体"/>
                <w:color w:val="000000" w:themeColor="text1"/>
                <w:spacing w:val="4"/>
                <w:kern w:val="2"/>
                <w:sz w:val="21"/>
                <w:szCs w:val="21"/>
                <w:highlight w:val="none"/>
                <w14:textFill>
                  <w14:solidFill>
                    <w14:schemeClr w14:val="tx1"/>
                  </w14:solidFill>
                </w14:textFill>
              </w:rPr>
              <w:t>商务文件</w:t>
            </w:r>
            <w:r>
              <w:rPr>
                <w:rFonts w:hint="eastAsia" w:ascii="宋体" w:hAnsi="宋体" w:eastAsia="宋体" w:cs="宋体"/>
                <w:color w:val="000000" w:themeColor="text1"/>
                <w:sz w:val="21"/>
                <w:szCs w:val="21"/>
                <w:highlight w:val="none"/>
                <w14:textFill>
                  <w14:solidFill>
                    <w14:schemeClr w14:val="tx1"/>
                  </w14:solidFill>
                </w14:textFill>
              </w:rPr>
              <w:t>的组成部分。</w:t>
            </w:r>
          </w:p>
          <w:p w14:paraId="6A9CD59D">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c.投标人向电子投标保函开立人购买电子投标保函所支付的费用应在投标截止时间之前从投标人企业基本账户转出，并在电汇或银行转账回单上注明</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u w:val="single"/>
                <w14:textFill>
                  <w14:solidFill>
                    <w14:schemeClr w14:val="tx1"/>
                  </w14:solidFill>
                </w14:textFill>
              </w:rPr>
              <w:t>（招标项目编号）</w:t>
            </w: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6D69FCF2">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投标人应确保其企业基本账户开户许可证或基本存款账户开户银行开具的《基本存款账户信息》上账号与投标人支付电子投标保函费用的电汇或银行转账回单上账号一致，否则视为未按规定</w:t>
            </w:r>
            <w:r>
              <w:rPr>
                <w:rFonts w:hint="eastAsia" w:ascii="宋体" w:hAnsi="宋体" w:eastAsia="宋体" w:cs="宋体"/>
                <w:color w:val="000000" w:themeColor="text1"/>
                <w:szCs w:val="21"/>
                <w:highlight w:val="none"/>
                <w:lang w:val="en-US" w:eastAsia="zh-CN"/>
                <w14:textFill>
                  <w14:solidFill>
                    <w14:schemeClr w14:val="tx1"/>
                  </w14:solidFill>
                </w14:textFill>
              </w:rPr>
              <w:t>递交</w:t>
            </w:r>
            <w:r>
              <w:rPr>
                <w:rFonts w:hint="eastAsia" w:ascii="宋体" w:hAnsi="宋体" w:eastAsia="宋体" w:cs="宋体"/>
                <w:color w:val="000000" w:themeColor="text1"/>
                <w:sz w:val="21"/>
                <w:szCs w:val="21"/>
                <w:highlight w:val="none"/>
                <w14:textFill>
                  <w14:solidFill>
                    <w14:schemeClr w14:val="tx1"/>
                  </w14:solidFill>
                </w14:textFill>
              </w:rPr>
              <w:t>投标保证金。</w:t>
            </w:r>
          </w:p>
          <w:p w14:paraId="5EE7F6E3">
            <w:pPr>
              <w:pStyle w:val="13"/>
              <w:snapToGrid w:val="0"/>
              <w:spacing w:line="300" w:lineRule="auto"/>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d.投标人以电子投标保函形式</w:t>
            </w:r>
            <w:r>
              <w:rPr>
                <w:rFonts w:hint="eastAsia" w:ascii="宋体" w:hAnsi="宋体" w:eastAsia="宋体" w:cs="宋体"/>
                <w:bCs/>
                <w:color w:val="000000" w:themeColor="text1"/>
                <w:sz w:val="21"/>
                <w:szCs w:val="21"/>
                <w:highlight w:val="none"/>
                <w:lang w:eastAsia="zh-CN"/>
                <w14:textFill>
                  <w14:solidFill>
                    <w14:schemeClr w14:val="tx1"/>
                  </w14:solidFill>
                </w14:textFill>
              </w:rPr>
              <w:t>递交投标保证金</w:t>
            </w:r>
            <w:r>
              <w:rPr>
                <w:rFonts w:hint="eastAsia" w:ascii="宋体" w:hAnsi="宋体" w:eastAsia="宋体" w:cs="宋体"/>
                <w:bCs/>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评标委员会</w:t>
            </w:r>
            <w:r>
              <w:rPr>
                <w:rFonts w:hint="eastAsia" w:ascii="宋体" w:hAnsi="宋体" w:eastAsia="宋体" w:cs="宋体"/>
                <w:bCs/>
                <w:color w:val="000000" w:themeColor="text1"/>
                <w:sz w:val="21"/>
                <w:szCs w:val="21"/>
                <w:highlight w:val="none"/>
                <w14:textFill>
                  <w14:solidFill>
                    <w14:schemeClr w14:val="tx1"/>
                  </w14:solidFill>
                </w14:textFill>
              </w:rPr>
              <w:t>应当核对投标人支付电子投标保函费用电汇或银行转账回单上账号是否与投标人企业基本账户开户许可证或基本存款账户开户银行开具的《基本存款账户信息》上账号一致，如不一致的，应否决其投标。</w:t>
            </w:r>
          </w:p>
          <w:p w14:paraId="43E93A96">
            <w:pPr>
              <w:pStyle w:val="13"/>
              <w:snapToGrid w:val="0"/>
              <w:spacing w:line="30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14:paraId="549166F6">
            <w:pPr>
              <w:pStyle w:val="13"/>
              <w:spacing w:beforeLines="-2147483648" w:line="300" w:lineRule="auto"/>
              <w:ind w:firstLine="48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kern w:val="0"/>
                <w:szCs w:val="21"/>
                <w:highlight w:val="none"/>
                <w14:textFill>
                  <w14:solidFill>
                    <w14:schemeClr w14:val="tx1"/>
                  </w14:solidFill>
                </w14:textFill>
              </w:rPr>
              <w:t>4.投标保证金有效期：至少与投标有效期一致。</w:t>
            </w:r>
          </w:p>
        </w:tc>
      </w:tr>
      <w:tr w14:paraId="78550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tcBorders>
              <w:tl2br w:val="nil"/>
              <w:tr2bl w:val="nil"/>
            </w:tcBorders>
            <w:vAlign w:val="center"/>
          </w:tcPr>
          <w:p w14:paraId="5AA7E8E4">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w:t>
            </w:r>
          </w:p>
        </w:tc>
        <w:tc>
          <w:tcPr>
            <w:tcW w:w="993" w:type="dxa"/>
            <w:tcBorders>
              <w:tl2br w:val="nil"/>
              <w:tr2bl w:val="nil"/>
            </w:tcBorders>
            <w:vAlign w:val="center"/>
          </w:tcPr>
          <w:p w14:paraId="3F8A63BC">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3.4.4（5）</w:t>
            </w:r>
          </w:p>
        </w:tc>
        <w:tc>
          <w:tcPr>
            <w:tcW w:w="1559" w:type="dxa"/>
            <w:tcBorders>
              <w:tl2br w:val="nil"/>
              <w:tr2bl w:val="nil"/>
            </w:tcBorders>
            <w:vAlign w:val="center"/>
          </w:tcPr>
          <w:p w14:paraId="679A2B26">
            <w:pPr>
              <w:pStyle w:val="13"/>
              <w:snapToGrid w:val="0"/>
              <w:spacing w:line="300" w:lineRule="auto"/>
              <w:ind w:firstLine="0"/>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其他可以不予退还投标保证金的情形</w:t>
            </w:r>
          </w:p>
        </w:tc>
        <w:tc>
          <w:tcPr>
            <w:tcW w:w="6237" w:type="dxa"/>
            <w:tcBorders>
              <w:tl2br w:val="nil"/>
              <w:tr2bl w:val="nil"/>
            </w:tcBorders>
            <w:vAlign w:val="center"/>
          </w:tcPr>
          <w:p w14:paraId="1B60E66B">
            <w:pPr>
              <w:pStyle w:val="13"/>
              <w:spacing w:line="300" w:lineRule="auto"/>
              <w:ind w:firstLine="48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p>
        </w:tc>
      </w:tr>
      <w:tr w14:paraId="268F9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tcBorders>
              <w:tl2br w:val="nil"/>
              <w:tr2bl w:val="nil"/>
            </w:tcBorders>
            <w:vAlign w:val="center"/>
          </w:tcPr>
          <w:p w14:paraId="644BF9BE">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w:t>
            </w:r>
          </w:p>
        </w:tc>
        <w:tc>
          <w:tcPr>
            <w:tcW w:w="993" w:type="dxa"/>
            <w:tcBorders>
              <w:tl2br w:val="nil"/>
              <w:tr2bl w:val="nil"/>
            </w:tcBorders>
            <w:vAlign w:val="center"/>
          </w:tcPr>
          <w:p w14:paraId="5DA86B6E">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w:t>
            </w:r>
          </w:p>
        </w:tc>
        <w:tc>
          <w:tcPr>
            <w:tcW w:w="1559" w:type="dxa"/>
            <w:tcBorders>
              <w:tl2br w:val="nil"/>
              <w:tr2bl w:val="nil"/>
            </w:tcBorders>
            <w:vAlign w:val="center"/>
          </w:tcPr>
          <w:p w14:paraId="4FDF1137">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备选方案</w:t>
            </w:r>
          </w:p>
        </w:tc>
        <w:tc>
          <w:tcPr>
            <w:tcW w:w="6237" w:type="dxa"/>
            <w:tcBorders>
              <w:tl2br w:val="nil"/>
              <w:tr2bl w:val="nil"/>
            </w:tcBorders>
            <w:vAlign w:val="center"/>
          </w:tcPr>
          <w:p w14:paraId="1DC8AEA5">
            <w:pPr>
              <w:pStyle w:val="13"/>
              <w:snapToGrid w:val="0"/>
              <w:spacing w:line="300" w:lineRule="auto"/>
              <w:ind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r>
              <w:rPr>
                <w:rFonts w:hint="eastAsia" w:ascii="宋体" w:hAnsi="宋体" w:eastAsia="宋体" w:cs="宋体"/>
                <w:color w:val="000000" w:themeColor="text1"/>
                <w:szCs w:val="21"/>
                <w:highlight w:val="none"/>
                <w:lang w:eastAsia="zh-CN"/>
                <w14:textFill>
                  <w14:solidFill>
                    <w14:schemeClr w14:val="tx1"/>
                  </w14:solidFill>
                </w14:textFill>
              </w:rPr>
              <w:t>递交备选</w:t>
            </w:r>
            <w:r>
              <w:rPr>
                <w:rFonts w:hint="eastAsia" w:ascii="宋体" w:hAnsi="宋体" w:eastAsia="宋体" w:cs="宋体"/>
                <w:color w:val="000000" w:themeColor="text1"/>
                <w:szCs w:val="21"/>
                <w:highlight w:val="none"/>
                <w14:textFill>
                  <w14:solidFill>
                    <w14:schemeClr w14:val="tx1"/>
                  </w14:solidFill>
                </w14:textFill>
              </w:rPr>
              <w:t>方案</w:t>
            </w:r>
          </w:p>
          <w:p w14:paraId="414D6AC1">
            <w:pPr>
              <w:pStyle w:val="13"/>
              <w:snapToGrid w:val="0"/>
              <w:spacing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□允许</w:t>
            </w:r>
            <w:r>
              <w:rPr>
                <w:rFonts w:hint="eastAsia" w:ascii="宋体" w:hAnsi="宋体" w:eastAsia="宋体" w:cs="宋体"/>
                <w:color w:val="000000" w:themeColor="text1"/>
                <w:szCs w:val="21"/>
                <w:highlight w:val="none"/>
                <w:lang w:eastAsia="zh-CN"/>
                <w14:textFill>
                  <w14:solidFill>
                    <w14:schemeClr w14:val="tx1"/>
                  </w14:solidFill>
                </w14:textFill>
              </w:rPr>
              <w:t>递交备选</w:t>
            </w:r>
            <w:r>
              <w:rPr>
                <w:rFonts w:hint="eastAsia" w:ascii="宋体" w:hAnsi="宋体" w:eastAsia="宋体" w:cs="宋体"/>
                <w:color w:val="000000" w:themeColor="text1"/>
                <w:szCs w:val="21"/>
                <w:highlight w:val="none"/>
                <w14:textFill>
                  <w14:solidFill>
                    <w14:schemeClr w14:val="tx1"/>
                  </w14:solidFill>
                </w14:textFill>
              </w:rPr>
              <w:t>方案</w:t>
            </w:r>
          </w:p>
        </w:tc>
      </w:tr>
      <w:tr w14:paraId="4B5DB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9" w:type="dxa"/>
            <w:tcBorders>
              <w:tl2br w:val="nil"/>
              <w:tr2bl w:val="nil"/>
            </w:tcBorders>
            <w:vAlign w:val="center"/>
          </w:tcPr>
          <w:p w14:paraId="3D0B53D4">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w:t>
            </w:r>
          </w:p>
        </w:tc>
        <w:tc>
          <w:tcPr>
            <w:tcW w:w="993" w:type="dxa"/>
            <w:tcBorders>
              <w:tl2br w:val="nil"/>
              <w:tr2bl w:val="nil"/>
            </w:tcBorders>
            <w:vAlign w:val="center"/>
          </w:tcPr>
          <w:p w14:paraId="0E1FA219">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4.1.1</w:t>
            </w:r>
          </w:p>
        </w:tc>
        <w:tc>
          <w:tcPr>
            <w:tcW w:w="1559" w:type="dxa"/>
            <w:tcBorders>
              <w:tl2br w:val="nil"/>
              <w:tr2bl w:val="nil"/>
            </w:tcBorders>
            <w:vAlign w:val="center"/>
          </w:tcPr>
          <w:p w14:paraId="3CFDB04C">
            <w:pPr>
              <w:pStyle w:val="13"/>
              <w:snapToGrid w:val="0"/>
              <w:spacing w:line="300" w:lineRule="auto"/>
              <w:ind w:firstLine="0"/>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投标文件的编制和加密要求</w:t>
            </w:r>
          </w:p>
        </w:tc>
        <w:tc>
          <w:tcPr>
            <w:tcW w:w="6237" w:type="dxa"/>
            <w:tcBorders>
              <w:tl2br w:val="nil"/>
              <w:tr2bl w:val="nil"/>
            </w:tcBorders>
            <w:vAlign w:val="center"/>
          </w:tcPr>
          <w:p w14:paraId="10F6670F">
            <w:pPr>
              <w:pStyle w:val="13"/>
              <w:spacing w:line="300" w:lineRule="auto"/>
              <w:ind w:firstLine="359" w:firstLineChars="171"/>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投标文件编制工具软件名称及版本：</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6D3543E8">
            <w:pPr>
              <w:pStyle w:val="13"/>
              <w:spacing w:line="300" w:lineRule="auto"/>
              <w:ind w:firstLine="359" w:firstLineChars="171"/>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投标文件编制工具软件供应商：</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DF43381">
            <w:pPr>
              <w:pStyle w:val="13"/>
              <w:spacing w:line="300" w:lineRule="auto"/>
              <w:ind w:firstLine="359" w:firstLineChars="171"/>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投标文件编制工具软件供应商联系电话：</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2407460">
            <w:pPr>
              <w:pStyle w:val="13"/>
              <w:snapToGrid w:val="0"/>
              <w:spacing w:line="300" w:lineRule="auto"/>
              <w:ind w:firstLine="359" w:firstLineChars="171"/>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投标文件编制和加密要求：</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E6CC962">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C643F8">
            <w:pPr>
              <w:pStyle w:val="13"/>
              <w:spacing w:line="300" w:lineRule="auto"/>
              <w:ind w:firstLine="361" w:firstLineChars="17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投标人应当使用招标文件中规定的电子交易平台的投标文件制作软件，按照招标文件规定的内容和格式编制、签名、加密投标文件。</w:t>
            </w:r>
          </w:p>
        </w:tc>
      </w:tr>
      <w:tr w14:paraId="3B526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tcBorders>
              <w:tl2br w:val="nil"/>
              <w:tr2bl w:val="nil"/>
            </w:tcBorders>
            <w:vAlign w:val="center"/>
          </w:tcPr>
          <w:p w14:paraId="5B5164BD">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w:t>
            </w:r>
          </w:p>
        </w:tc>
        <w:tc>
          <w:tcPr>
            <w:tcW w:w="993" w:type="dxa"/>
            <w:tcBorders>
              <w:tl2br w:val="nil"/>
              <w:tr2bl w:val="nil"/>
            </w:tcBorders>
            <w:vAlign w:val="center"/>
          </w:tcPr>
          <w:p w14:paraId="5889A39A">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4.2.1</w:t>
            </w:r>
          </w:p>
        </w:tc>
        <w:tc>
          <w:tcPr>
            <w:tcW w:w="1559" w:type="dxa"/>
            <w:tcBorders>
              <w:tl2br w:val="nil"/>
              <w:tr2bl w:val="nil"/>
            </w:tcBorders>
            <w:vAlign w:val="center"/>
          </w:tcPr>
          <w:p w14:paraId="40B3F723">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递交投标文件截止时间</w:t>
            </w:r>
          </w:p>
        </w:tc>
        <w:tc>
          <w:tcPr>
            <w:tcW w:w="6237" w:type="dxa"/>
            <w:tcBorders>
              <w:tl2br w:val="nil"/>
              <w:tr2bl w:val="nil"/>
            </w:tcBorders>
            <w:vAlign w:val="center"/>
          </w:tcPr>
          <w:p w14:paraId="19AC2138">
            <w:pPr>
              <w:pStyle w:val="13"/>
              <w:snapToGrid w:val="0"/>
              <w:spacing w:line="30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秒</w:t>
            </w:r>
          </w:p>
        </w:tc>
      </w:tr>
      <w:tr w14:paraId="35672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709" w:type="dxa"/>
            <w:tcBorders>
              <w:tl2br w:val="nil"/>
              <w:tr2bl w:val="nil"/>
            </w:tcBorders>
            <w:vAlign w:val="center"/>
          </w:tcPr>
          <w:p w14:paraId="73A0FF60">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w:t>
            </w:r>
          </w:p>
        </w:tc>
        <w:tc>
          <w:tcPr>
            <w:tcW w:w="993" w:type="dxa"/>
            <w:tcBorders>
              <w:tl2br w:val="nil"/>
              <w:tr2bl w:val="nil"/>
            </w:tcBorders>
            <w:vAlign w:val="center"/>
          </w:tcPr>
          <w:p w14:paraId="1F3D71E2">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4.2.2/4.3.1</w:t>
            </w:r>
          </w:p>
        </w:tc>
        <w:tc>
          <w:tcPr>
            <w:tcW w:w="1559" w:type="dxa"/>
            <w:tcBorders>
              <w:tl2br w:val="nil"/>
              <w:tr2bl w:val="nil"/>
            </w:tcBorders>
            <w:vAlign w:val="center"/>
          </w:tcPr>
          <w:p w14:paraId="06AC58EF">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投标文件递交平台及网络地址</w:t>
            </w:r>
          </w:p>
        </w:tc>
        <w:tc>
          <w:tcPr>
            <w:tcW w:w="6237" w:type="dxa"/>
            <w:tcBorders>
              <w:tl2br w:val="nil"/>
              <w:tr2bl w:val="nil"/>
            </w:tcBorders>
            <w:vAlign w:val="center"/>
          </w:tcPr>
          <w:p w14:paraId="3F325BD7">
            <w:pPr>
              <w:pStyle w:val="13"/>
              <w:snapToGrid w:val="0"/>
              <w:spacing w:line="300" w:lineRule="auto"/>
              <w:ind w:firstLine="411" w:firstLineChars="196"/>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电子交易平台名称：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B299D1B">
            <w:pPr>
              <w:pStyle w:val="13"/>
              <w:snapToGrid w:val="0"/>
              <w:spacing w:afterLines="50" w:line="300" w:lineRule="auto"/>
              <w:ind w:firstLine="411" w:firstLineChars="196"/>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网络地址：</w:t>
            </w:r>
            <w:r>
              <w:rPr>
                <w:rFonts w:hint="eastAsia" w:ascii="宋体" w:hAnsi="宋体" w:eastAsia="宋体" w:cs="宋体"/>
                <w:i/>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5C612D9">
            <w:pPr>
              <w:pStyle w:val="13"/>
              <w:snapToGrid w:val="0"/>
              <w:spacing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本招标项目投标文件采用线上方式递交投标文件。联合投标的，投标文件应由联合体牵头单位的</w:t>
            </w:r>
            <w:r>
              <w:rPr>
                <w:rFonts w:hint="eastAsia" w:ascii="宋体" w:hAnsi="宋体" w:eastAsia="宋体" w:cs="宋体"/>
                <w:color w:val="000000" w:themeColor="text1"/>
                <w:szCs w:val="21"/>
                <w:highlight w:val="none"/>
                <w:lang w:eastAsia="zh-CN"/>
                <w14:textFill>
                  <w14:solidFill>
                    <w14:schemeClr w14:val="tx1"/>
                  </w14:solidFill>
                </w14:textFill>
              </w:rPr>
              <w:t>CA证书</w:t>
            </w:r>
            <w:r>
              <w:rPr>
                <w:rFonts w:hint="eastAsia" w:ascii="宋体" w:hAnsi="宋体" w:eastAsia="宋体" w:cs="宋体"/>
                <w:color w:val="000000" w:themeColor="text1"/>
                <w:szCs w:val="21"/>
                <w:highlight w:val="none"/>
                <w14:textFill>
                  <w14:solidFill>
                    <w14:schemeClr w14:val="tx1"/>
                  </w14:solidFill>
                </w14:textFill>
              </w:rPr>
              <w:t>加密并上传到电子交易平台，开标时由上传此投标文件的单位</w:t>
            </w:r>
            <w:r>
              <w:rPr>
                <w:rFonts w:hint="eastAsia" w:ascii="宋体" w:hAnsi="宋体" w:eastAsia="宋体" w:cs="宋体"/>
                <w:color w:val="000000" w:themeColor="text1"/>
                <w:szCs w:val="21"/>
                <w:highlight w:val="none"/>
                <w:lang w:eastAsia="zh-CN"/>
                <w14:textFill>
                  <w14:solidFill>
                    <w14:schemeClr w14:val="tx1"/>
                  </w14:solidFill>
                </w14:textFill>
              </w:rPr>
              <w:t>CA证书</w:t>
            </w:r>
            <w:r>
              <w:rPr>
                <w:rFonts w:hint="eastAsia" w:ascii="宋体" w:hAnsi="宋体" w:eastAsia="宋体" w:cs="宋体"/>
                <w:color w:val="000000" w:themeColor="text1"/>
                <w:szCs w:val="21"/>
                <w:highlight w:val="none"/>
                <w14:textFill>
                  <w14:solidFill>
                    <w14:schemeClr w14:val="tx1"/>
                  </w14:solidFill>
                </w14:textFill>
              </w:rPr>
              <w:t>解密。</w:t>
            </w:r>
          </w:p>
        </w:tc>
      </w:tr>
      <w:tr w14:paraId="5211F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709" w:type="dxa"/>
            <w:tcBorders>
              <w:tl2br w:val="nil"/>
              <w:tr2bl w:val="nil"/>
            </w:tcBorders>
            <w:vAlign w:val="center"/>
          </w:tcPr>
          <w:p w14:paraId="4E9A059D">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993" w:type="dxa"/>
            <w:tcBorders>
              <w:tl2br w:val="nil"/>
              <w:tr2bl w:val="nil"/>
            </w:tcBorders>
            <w:vAlign w:val="center"/>
          </w:tcPr>
          <w:p w14:paraId="0EF7F976">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5.1.1</w:t>
            </w:r>
          </w:p>
        </w:tc>
        <w:tc>
          <w:tcPr>
            <w:tcW w:w="1559" w:type="dxa"/>
            <w:tcBorders>
              <w:tl2br w:val="nil"/>
              <w:tr2bl w:val="nil"/>
            </w:tcBorders>
            <w:vAlign w:val="center"/>
          </w:tcPr>
          <w:p w14:paraId="1D696803">
            <w:pPr>
              <w:pStyle w:val="13"/>
              <w:snapToGrid w:val="0"/>
              <w:spacing w:line="300" w:lineRule="auto"/>
              <w:ind w:firstLine="0"/>
              <w:jc w:val="left"/>
              <w:rPr>
                <w:rFonts w:hint="eastAsia" w:ascii="宋体" w:hAnsi="宋体" w:eastAsia="宋体" w:cs="宋体"/>
                <w:color w:val="000000" w:themeColor="text1"/>
                <w:spacing w:val="-1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投标文件解密方式</w:t>
            </w:r>
          </w:p>
        </w:tc>
        <w:tc>
          <w:tcPr>
            <w:tcW w:w="6237" w:type="dxa"/>
            <w:tcBorders>
              <w:tl2br w:val="nil"/>
              <w:tr2bl w:val="nil"/>
            </w:tcBorders>
            <w:vAlign w:val="center"/>
          </w:tcPr>
          <w:p w14:paraId="0AF4FAA0">
            <w:pPr>
              <w:pStyle w:val="13"/>
              <w:snapToGrid w:val="0"/>
              <w:spacing w:line="30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投标人在招标项目开标时需登录电子招投标交易平台，待解密环节开始时及时插入</w:t>
            </w:r>
            <w:r>
              <w:rPr>
                <w:rFonts w:hint="eastAsia" w:ascii="宋体" w:hAnsi="宋体" w:eastAsia="宋体" w:cs="宋体"/>
                <w:color w:val="000000" w:themeColor="text1"/>
                <w:szCs w:val="21"/>
                <w:highlight w:val="none"/>
                <w:lang w:eastAsia="zh-CN"/>
                <w14:textFill>
                  <w14:solidFill>
                    <w14:schemeClr w14:val="tx1"/>
                  </w14:solidFill>
                </w14:textFill>
              </w:rPr>
              <w:t>CA证书</w:t>
            </w:r>
            <w:r>
              <w:rPr>
                <w:rFonts w:hint="eastAsia" w:ascii="宋体" w:hAnsi="宋体" w:eastAsia="宋体" w:cs="宋体"/>
                <w:color w:val="000000" w:themeColor="text1"/>
                <w:szCs w:val="21"/>
                <w:highlight w:val="none"/>
                <w14:textFill>
                  <w14:solidFill>
                    <w14:schemeClr w14:val="tx1"/>
                  </w14:solidFill>
                </w14:textFill>
              </w:rPr>
              <w:t>进行投标文件在线解密，解密时长为：</w:t>
            </w:r>
          </w:p>
          <w:p w14:paraId="1C9D3626">
            <w:pPr>
              <w:pStyle w:val="13"/>
              <w:snapToGrid w:val="0"/>
              <w:spacing w:line="300" w:lineRule="auto"/>
              <w:ind w:left="0" w:leftChars="0" w:firstLine="0"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分钟。投标人只允许使用生成投标文件的</w:t>
            </w:r>
            <w:r>
              <w:rPr>
                <w:rFonts w:hint="eastAsia" w:ascii="宋体" w:hAnsi="宋体" w:eastAsia="宋体" w:cs="宋体"/>
                <w:color w:val="000000" w:themeColor="text1"/>
                <w:szCs w:val="21"/>
                <w:highlight w:val="none"/>
                <w:lang w:eastAsia="zh-CN"/>
                <w14:textFill>
                  <w14:solidFill>
                    <w14:schemeClr w14:val="tx1"/>
                  </w14:solidFill>
                </w14:textFill>
              </w:rPr>
              <w:t>CA证书</w:t>
            </w:r>
            <w:r>
              <w:rPr>
                <w:rFonts w:hint="eastAsia" w:ascii="宋体" w:hAnsi="宋体" w:eastAsia="宋体" w:cs="宋体"/>
                <w:color w:val="000000" w:themeColor="text1"/>
                <w:szCs w:val="21"/>
                <w:highlight w:val="none"/>
                <w14:textFill>
                  <w14:solidFill>
                    <w14:schemeClr w14:val="tx1"/>
                  </w14:solidFill>
                </w14:textFill>
              </w:rPr>
              <w:t>进行解密。投标人需及时操作并预留足够的时间进行投标文件解密，否则须自行承担解密失败的责任。</w:t>
            </w:r>
          </w:p>
        </w:tc>
      </w:tr>
      <w:tr w14:paraId="5F820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709" w:type="dxa"/>
            <w:tcBorders>
              <w:tl2br w:val="nil"/>
              <w:tr2bl w:val="nil"/>
            </w:tcBorders>
            <w:vAlign w:val="center"/>
          </w:tcPr>
          <w:p w14:paraId="0D1A0CCB">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993" w:type="dxa"/>
            <w:tcBorders>
              <w:tl2br w:val="nil"/>
              <w:tr2bl w:val="nil"/>
            </w:tcBorders>
            <w:vAlign w:val="center"/>
          </w:tcPr>
          <w:p w14:paraId="44FE0560">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5.1.1</w:t>
            </w:r>
          </w:p>
        </w:tc>
        <w:tc>
          <w:tcPr>
            <w:tcW w:w="1559" w:type="dxa"/>
            <w:tcBorders>
              <w:tl2br w:val="nil"/>
              <w:tr2bl w:val="nil"/>
            </w:tcBorders>
            <w:vAlign w:val="center"/>
          </w:tcPr>
          <w:p w14:paraId="6EAEDF6F">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2"/>
                <w:szCs w:val="21"/>
                <w:highlight w:val="none"/>
                <w14:textFill>
                  <w14:solidFill>
                    <w14:schemeClr w14:val="tx1"/>
                  </w14:solidFill>
                </w14:textFill>
              </w:rPr>
              <w:t>开标</w:t>
            </w:r>
          </w:p>
        </w:tc>
        <w:tc>
          <w:tcPr>
            <w:tcW w:w="6237" w:type="dxa"/>
            <w:tcBorders>
              <w:tl2br w:val="nil"/>
              <w:tr2bl w:val="nil"/>
            </w:tcBorders>
            <w:vAlign w:val="center"/>
          </w:tcPr>
          <w:p w14:paraId="60FF3082">
            <w:pPr>
              <w:pStyle w:val="13"/>
              <w:snapToGrid w:val="0"/>
              <w:spacing w:afterLines="50" w:line="30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招标人将于投标人递交投标文件的截止时间的同一时间进行开标。</w:t>
            </w:r>
          </w:p>
          <w:p w14:paraId="395B2914">
            <w:pPr>
              <w:pStyle w:val="13"/>
              <w:snapToGrid w:val="0"/>
              <w:spacing w:beforeLines="50" w:line="30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14:paraId="57649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709" w:type="dxa"/>
            <w:tcBorders>
              <w:tl2br w:val="nil"/>
              <w:tr2bl w:val="nil"/>
            </w:tcBorders>
            <w:vAlign w:val="center"/>
          </w:tcPr>
          <w:p w14:paraId="132C79DE">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993" w:type="dxa"/>
            <w:tcBorders>
              <w:tl2br w:val="nil"/>
              <w:tr2bl w:val="nil"/>
            </w:tcBorders>
            <w:vAlign w:val="center"/>
          </w:tcPr>
          <w:p w14:paraId="52507C12">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1559" w:type="dxa"/>
            <w:tcBorders>
              <w:tl2br w:val="nil"/>
              <w:tr2bl w:val="nil"/>
            </w:tcBorders>
            <w:vAlign w:val="center"/>
          </w:tcPr>
          <w:p w14:paraId="72BA22DE">
            <w:pPr>
              <w:pStyle w:val="13"/>
              <w:snapToGrid w:val="0"/>
              <w:spacing w:line="300" w:lineRule="auto"/>
              <w:ind w:firstLine="0"/>
              <w:jc w:val="center"/>
              <w:rPr>
                <w:rFonts w:hint="eastAsia" w:ascii="宋体" w:hAnsi="宋体" w:eastAsia="宋体" w:cs="宋体"/>
                <w:color w:val="000000" w:themeColor="text1"/>
                <w:spacing w:val="-12"/>
                <w:szCs w:val="21"/>
                <w:highlight w:val="none"/>
                <w14:textFill>
                  <w14:solidFill>
                    <w14:schemeClr w14:val="tx1"/>
                  </w14:solidFill>
                </w14:textFill>
              </w:rPr>
            </w:pPr>
            <w:r>
              <w:rPr>
                <w:rFonts w:hint="eastAsia" w:ascii="宋体" w:hAnsi="宋体" w:eastAsia="宋体" w:cs="宋体"/>
                <w:color w:val="000000" w:themeColor="text1"/>
                <w:spacing w:val="-12"/>
                <w:szCs w:val="21"/>
                <w:highlight w:val="none"/>
                <w14:textFill>
                  <w14:solidFill>
                    <w14:schemeClr w14:val="tx1"/>
                  </w14:solidFill>
                </w14:textFill>
              </w:rPr>
              <w:t>评标办法</w:t>
            </w:r>
          </w:p>
        </w:tc>
        <w:tc>
          <w:tcPr>
            <w:tcW w:w="6237" w:type="dxa"/>
            <w:tcBorders>
              <w:tl2br w:val="nil"/>
              <w:tr2bl w:val="nil"/>
            </w:tcBorders>
            <w:vAlign w:val="center"/>
          </w:tcPr>
          <w:p w14:paraId="62CBEB38">
            <w:pPr>
              <w:pStyle w:val="13"/>
              <w:snapToGrid w:val="0"/>
              <w:spacing w:line="30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□记名投票法</w:t>
            </w:r>
          </w:p>
          <w:p w14:paraId="72FAB3A2">
            <w:pPr>
              <w:pStyle w:val="13"/>
              <w:snapToGrid w:val="0"/>
              <w:spacing w:line="30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□综合评估法 </w:t>
            </w:r>
          </w:p>
        </w:tc>
      </w:tr>
      <w:tr w14:paraId="4E2B8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tl2br w:val="nil"/>
              <w:tr2bl w:val="nil"/>
            </w:tcBorders>
            <w:vAlign w:val="center"/>
          </w:tcPr>
          <w:p w14:paraId="2E8CF220">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w:t>
            </w:r>
          </w:p>
        </w:tc>
        <w:tc>
          <w:tcPr>
            <w:tcW w:w="993" w:type="dxa"/>
            <w:tcBorders>
              <w:tl2br w:val="nil"/>
              <w:tr2bl w:val="nil"/>
            </w:tcBorders>
            <w:vAlign w:val="center"/>
          </w:tcPr>
          <w:p w14:paraId="45080A8B">
            <w:pPr>
              <w:pStyle w:val="13"/>
              <w:snapToGrid w:val="0"/>
              <w:spacing w:line="300" w:lineRule="auto"/>
              <w:ind w:firstLine="0" w:firstLine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1559" w:type="dxa"/>
            <w:tcBorders>
              <w:tl2br w:val="nil"/>
              <w:tr2bl w:val="nil"/>
            </w:tcBorders>
            <w:vAlign w:val="center"/>
          </w:tcPr>
          <w:p w14:paraId="717175AC">
            <w:pPr>
              <w:pStyle w:val="13"/>
              <w:snapToGrid w:val="0"/>
              <w:spacing w:line="300" w:lineRule="auto"/>
              <w:ind w:firstLine="0" w:firstLine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定标</w:t>
            </w:r>
            <w:r>
              <w:rPr>
                <w:rFonts w:hint="eastAsia" w:ascii="宋体" w:hAnsi="宋体" w:eastAsia="宋体" w:cs="宋体"/>
                <w:color w:val="000000" w:themeColor="text1"/>
                <w:szCs w:val="21"/>
                <w:highlight w:val="none"/>
                <w:lang w:eastAsia="zh-CN"/>
                <w14:textFill>
                  <w14:solidFill>
                    <w14:schemeClr w14:val="tx1"/>
                  </w14:solidFill>
                </w14:textFill>
              </w:rPr>
              <w:t>方法</w:t>
            </w:r>
          </w:p>
        </w:tc>
        <w:tc>
          <w:tcPr>
            <w:tcW w:w="6237" w:type="dxa"/>
            <w:tcBorders>
              <w:tl2br w:val="nil"/>
              <w:tr2bl w:val="nil"/>
            </w:tcBorders>
            <w:vAlign w:val="center"/>
          </w:tcPr>
          <w:p w14:paraId="0006FEFC">
            <w:pPr>
              <w:pStyle w:val="13"/>
              <w:snapToGrid w:val="0"/>
              <w:spacing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直接票决法</w:t>
            </w:r>
          </w:p>
        </w:tc>
      </w:tr>
      <w:tr w14:paraId="0D0FE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709" w:type="dxa"/>
            <w:tcBorders>
              <w:tl2br w:val="nil"/>
              <w:tr2bl w:val="nil"/>
            </w:tcBorders>
            <w:vAlign w:val="center"/>
          </w:tcPr>
          <w:p w14:paraId="679C1D34">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993" w:type="dxa"/>
            <w:tcBorders>
              <w:tl2br w:val="nil"/>
              <w:tr2bl w:val="nil"/>
            </w:tcBorders>
            <w:vAlign w:val="center"/>
          </w:tcPr>
          <w:p w14:paraId="636CD073">
            <w:pPr>
              <w:pStyle w:val="13"/>
              <w:snapToGrid w:val="0"/>
              <w:spacing w:line="300" w:lineRule="auto"/>
              <w:ind w:firstLine="0" w:firstLine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7.4/7.5</w:t>
            </w:r>
          </w:p>
        </w:tc>
        <w:tc>
          <w:tcPr>
            <w:tcW w:w="1559" w:type="dxa"/>
            <w:tcBorders>
              <w:tl2br w:val="nil"/>
              <w:tr2bl w:val="nil"/>
            </w:tcBorders>
            <w:vAlign w:val="center"/>
          </w:tcPr>
          <w:p w14:paraId="2BEBB511">
            <w:pPr>
              <w:pStyle w:val="13"/>
              <w:snapToGrid w:val="0"/>
              <w:spacing w:line="300" w:lineRule="auto"/>
              <w:ind w:firstLine="0"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中标候选人公示和中标结果公布媒介</w:t>
            </w:r>
          </w:p>
        </w:tc>
        <w:tc>
          <w:tcPr>
            <w:tcW w:w="6237" w:type="dxa"/>
            <w:tcBorders>
              <w:tl2br w:val="nil"/>
              <w:tr2bl w:val="nil"/>
            </w:tcBorders>
            <w:vAlign w:val="center"/>
          </w:tcPr>
          <w:p w14:paraId="172DF9E7">
            <w:pPr>
              <w:pStyle w:val="13"/>
              <w:snapToGrid w:val="0"/>
              <w:spacing w:line="30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中国招标投标公共服务平台</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福建省公共资源交易电子公共服务平台和厦门市公共资源交易网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c>
      </w:tr>
      <w:tr w14:paraId="7B3A9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709" w:type="dxa"/>
            <w:tcBorders>
              <w:tl2br w:val="nil"/>
              <w:tr2bl w:val="nil"/>
            </w:tcBorders>
            <w:vAlign w:val="center"/>
          </w:tcPr>
          <w:p w14:paraId="118B4F53">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993" w:type="dxa"/>
            <w:tcBorders>
              <w:tl2br w:val="nil"/>
              <w:tr2bl w:val="nil"/>
            </w:tcBorders>
            <w:vAlign w:val="center"/>
          </w:tcPr>
          <w:p w14:paraId="15237F2C">
            <w:pPr>
              <w:pStyle w:val="13"/>
              <w:snapToGrid w:val="0"/>
              <w:spacing w:line="300" w:lineRule="auto"/>
              <w:ind w:firstLine="0" w:firstLine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w:t>
            </w:r>
          </w:p>
        </w:tc>
        <w:tc>
          <w:tcPr>
            <w:tcW w:w="1559" w:type="dxa"/>
            <w:tcBorders>
              <w:tl2br w:val="nil"/>
              <w:tr2bl w:val="nil"/>
            </w:tcBorders>
            <w:vAlign w:val="center"/>
          </w:tcPr>
          <w:p w14:paraId="55473568">
            <w:pPr>
              <w:pStyle w:val="13"/>
              <w:snapToGrid w:val="0"/>
              <w:spacing w:line="300" w:lineRule="auto"/>
              <w:ind w:firstLine="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技术成果经济补偿</w:t>
            </w:r>
          </w:p>
        </w:tc>
        <w:tc>
          <w:tcPr>
            <w:tcW w:w="6237" w:type="dxa"/>
            <w:tcBorders>
              <w:tl2br w:val="nil"/>
              <w:tr2bl w:val="nil"/>
            </w:tcBorders>
            <w:vAlign w:val="center"/>
          </w:tcPr>
          <w:p w14:paraId="7C5AA42D">
            <w:pPr>
              <w:pStyle w:val="13"/>
              <w:snapToGrid w:val="0"/>
              <w:spacing w:line="300" w:lineRule="auto"/>
              <w:ind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□给予经济补偿，补偿标准：</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B4410C2">
            <w:pPr>
              <w:pStyle w:val="13"/>
              <w:snapToGrid w:val="0"/>
              <w:spacing w:line="300" w:lineRule="auto"/>
              <w:ind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614D203">
            <w:pPr>
              <w:pStyle w:val="13"/>
              <w:snapToGrid w:val="0"/>
              <w:spacing w:line="300" w:lineRule="auto"/>
              <w:ind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2C46062">
            <w:pPr>
              <w:pStyle w:val="13"/>
              <w:snapToGrid w:val="0"/>
              <w:spacing w:beforeLines="50"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□不给予经济补偿</w:t>
            </w:r>
          </w:p>
        </w:tc>
      </w:tr>
      <w:tr w14:paraId="2C6AF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709" w:type="dxa"/>
            <w:tcBorders>
              <w:tl2br w:val="nil"/>
              <w:tr2bl w:val="nil"/>
            </w:tcBorders>
            <w:vAlign w:val="center"/>
          </w:tcPr>
          <w:p w14:paraId="2FD3E2D6">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993" w:type="dxa"/>
            <w:tcBorders>
              <w:tl2br w:val="nil"/>
              <w:tr2bl w:val="nil"/>
            </w:tcBorders>
            <w:vAlign w:val="center"/>
          </w:tcPr>
          <w:p w14:paraId="192CD58E">
            <w:pPr>
              <w:pStyle w:val="13"/>
              <w:snapToGrid w:val="0"/>
              <w:spacing w:line="300" w:lineRule="auto"/>
              <w:ind w:firstLine="0" w:firstLine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w:t>
            </w:r>
          </w:p>
        </w:tc>
        <w:tc>
          <w:tcPr>
            <w:tcW w:w="1559" w:type="dxa"/>
            <w:tcBorders>
              <w:tl2br w:val="nil"/>
              <w:tr2bl w:val="nil"/>
            </w:tcBorders>
            <w:vAlign w:val="center"/>
          </w:tcPr>
          <w:p w14:paraId="1D61BE25">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237" w:type="dxa"/>
            <w:tcBorders>
              <w:tl2br w:val="nil"/>
              <w:tr2bl w:val="nil"/>
            </w:tcBorders>
            <w:vAlign w:val="center"/>
          </w:tcPr>
          <w:p w14:paraId="5FC48258">
            <w:pPr>
              <w:pStyle w:val="105"/>
              <w:spacing w:afterLines="50" w:line="300" w:lineRule="auto"/>
              <w:ind w:firstLine="457" w:firstLineChars="218"/>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□不要求</w:t>
            </w:r>
          </w:p>
          <w:p w14:paraId="040EAECE">
            <w:pPr>
              <w:pStyle w:val="105"/>
              <w:spacing w:line="300" w:lineRule="auto"/>
              <w:ind w:firstLine="457" w:firstLineChars="218"/>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□要求，</w:t>
            </w:r>
            <w:r>
              <w:rPr>
                <w:rFonts w:hint="eastAsia" w:ascii="宋体" w:hAnsi="宋体" w:eastAsia="宋体"/>
                <w:color w:val="000000" w:themeColor="text1"/>
                <w:sz w:val="21"/>
                <w:szCs w:val="21"/>
                <w:highlight w:val="none"/>
                <w14:textFill>
                  <w14:solidFill>
                    <w14:schemeClr w14:val="tx1"/>
                  </w14:solidFill>
                </w14:textFill>
              </w:rPr>
              <w:t>联合体中标的，其履约保证金以联合体各方或者联合体中牵头人的名义提交。</w:t>
            </w:r>
          </w:p>
          <w:p w14:paraId="701F3B23">
            <w:pPr>
              <w:pStyle w:val="105"/>
              <w:numPr>
                <w:ilvl w:val="0"/>
                <w:numId w:val="0"/>
              </w:numPr>
              <w:spacing w:line="300" w:lineRule="auto"/>
              <w:ind w:left="0" w:leftChars="0" w:firstLine="420" w:firstLineChars="200"/>
              <w:rPr>
                <w:rFonts w:hint="eastAsia"/>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w:t>
            </w:r>
            <w:r>
              <w:rPr>
                <w:rFonts w:hint="eastAsia"/>
                <w:color w:val="000000" w:themeColor="text1"/>
                <w:sz w:val="21"/>
                <w:szCs w:val="21"/>
                <w:highlight w:val="none"/>
                <w14:textFill>
                  <w14:solidFill>
                    <w14:schemeClr w14:val="tx1"/>
                  </w14:solidFill>
                </w14:textFill>
              </w:rPr>
              <w:t>履约保证金的金额：</w:t>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p>
          <w:p w14:paraId="6A6FC013">
            <w:pPr>
              <w:pStyle w:val="105"/>
              <w:numPr>
                <w:ilvl w:val="0"/>
                <w:numId w:val="0"/>
              </w:numPr>
              <w:spacing w:line="300" w:lineRule="auto"/>
              <w:ind w:left="0" w:leftChars="0" w:firstLine="420" w:firstLineChars="200"/>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履约保证金的形式：</w:t>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p>
          <w:p w14:paraId="1922259D">
            <w:pPr>
              <w:pStyle w:val="105"/>
              <w:spacing w:line="300" w:lineRule="auto"/>
              <w:ind w:firstLine="210" w:firstLineChars="100"/>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 xml:space="preserve">                                                     </w:t>
            </w:r>
          </w:p>
          <w:p w14:paraId="3E828246">
            <w:pPr>
              <w:pStyle w:val="105"/>
              <w:numPr>
                <w:ilvl w:val="0"/>
                <w:numId w:val="0"/>
              </w:numPr>
              <w:spacing w:line="300" w:lineRule="auto"/>
              <w:ind w:firstLine="420" w:firstLineChars="200"/>
              <w:rPr>
                <w:rFonts w:hint="eastAsia"/>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w:t>
            </w:r>
            <w:r>
              <w:rPr>
                <w:rFonts w:hint="eastAsia"/>
                <w:color w:val="000000" w:themeColor="text1"/>
                <w:sz w:val="21"/>
                <w:szCs w:val="21"/>
                <w:highlight w:val="none"/>
                <w:lang w:eastAsia="zh-CN"/>
                <w14:textFill>
                  <w14:solidFill>
                    <w14:schemeClr w14:val="tx1"/>
                  </w14:solidFill>
                </w14:textFill>
              </w:rPr>
              <w:t>履约保证金的</w:t>
            </w:r>
            <w:r>
              <w:rPr>
                <w:rFonts w:hint="eastAsia"/>
                <w:color w:val="000000" w:themeColor="text1"/>
                <w:sz w:val="21"/>
                <w:szCs w:val="21"/>
                <w:highlight w:val="none"/>
                <w:lang w:val="en-US" w:eastAsia="zh-CN"/>
                <w14:textFill>
                  <w14:solidFill>
                    <w14:schemeClr w14:val="tx1"/>
                  </w14:solidFill>
                </w14:textFill>
              </w:rPr>
              <w:t>期限</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p>
          <w:p w14:paraId="141EFBE1">
            <w:pPr>
              <w:pStyle w:val="105"/>
              <w:numPr>
                <w:ilvl w:val="0"/>
                <w:numId w:val="0"/>
              </w:numPr>
              <w:spacing w:line="300" w:lineRule="auto"/>
              <w:ind w:firstLine="210" w:firstLineChars="100"/>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 xml:space="preserve">                                                     </w:t>
            </w:r>
          </w:p>
        </w:tc>
      </w:tr>
      <w:tr w14:paraId="3F0EE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709" w:type="dxa"/>
            <w:tcBorders>
              <w:tl2br w:val="nil"/>
              <w:tr2bl w:val="nil"/>
            </w:tcBorders>
            <w:vAlign w:val="center"/>
          </w:tcPr>
          <w:p w14:paraId="46E3E4EC">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w:t>
            </w:r>
          </w:p>
        </w:tc>
        <w:tc>
          <w:tcPr>
            <w:tcW w:w="993" w:type="dxa"/>
            <w:tcBorders>
              <w:tl2br w:val="nil"/>
              <w:tr2bl w:val="nil"/>
            </w:tcBorders>
            <w:vAlign w:val="center"/>
          </w:tcPr>
          <w:p w14:paraId="68C1E17D">
            <w:pPr>
              <w:pStyle w:val="13"/>
              <w:snapToGrid w:val="0"/>
              <w:spacing w:line="300" w:lineRule="auto"/>
              <w:ind w:firstLine="0" w:firstLine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.1</w:t>
            </w:r>
          </w:p>
        </w:tc>
        <w:tc>
          <w:tcPr>
            <w:tcW w:w="1559" w:type="dxa"/>
            <w:tcBorders>
              <w:tl2br w:val="nil"/>
              <w:tr2bl w:val="nil"/>
            </w:tcBorders>
            <w:vAlign w:val="center"/>
          </w:tcPr>
          <w:p w14:paraId="1C3AE77E">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合同签订</w:t>
            </w:r>
          </w:p>
        </w:tc>
        <w:tc>
          <w:tcPr>
            <w:tcW w:w="6237" w:type="dxa"/>
            <w:tcBorders>
              <w:tl2br w:val="nil"/>
              <w:tr2bl w:val="nil"/>
            </w:tcBorders>
            <w:vAlign w:val="center"/>
          </w:tcPr>
          <w:p w14:paraId="5ECD2BE8">
            <w:pPr>
              <w:pStyle w:val="13"/>
              <w:snapToGrid w:val="0"/>
              <w:spacing w:line="300" w:lineRule="auto"/>
              <w:ind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中标人在收到中标通知书后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天内，应派代表与招标人联系商讨签订合同事宜。</w:t>
            </w:r>
          </w:p>
        </w:tc>
      </w:tr>
      <w:tr w14:paraId="3BC2B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709" w:type="dxa"/>
            <w:tcBorders>
              <w:tl2br w:val="nil"/>
              <w:tr2bl w:val="nil"/>
            </w:tcBorders>
            <w:vAlign w:val="center"/>
          </w:tcPr>
          <w:p w14:paraId="587D950F">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p>
        </w:tc>
        <w:tc>
          <w:tcPr>
            <w:tcW w:w="993" w:type="dxa"/>
            <w:tcBorders>
              <w:tl2br w:val="nil"/>
              <w:tr2bl w:val="nil"/>
            </w:tcBorders>
            <w:vAlign w:val="center"/>
          </w:tcPr>
          <w:p w14:paraId="53E87242">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8.5.1</w:t>
            </w:r>
          </w:p>
        </w:tc>
        <w:tc>
          <w:tcPr>
            <w:tcW w:w="1559" w:type="dxa"/>
            <w:tcBorders>
              <w:tl2br w:val="nil"/>
              <w:tr2bl w:val="nil"/>
            </w:tcBorders>
            <w:vAlign w:val="center"/>
          </w:tcPr>
          <w:p w14:paraId="200A1643">
            <w:pPr>
              <w:pStyle w:val="13"/>
              <w:snapToGrid w:val="0"/>
              <w:spacing w:line="30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委托鉴定</w:t>
            </w:r>
          </w:p>
        </w:tc>
        <w:tc>
          <w:tcPr>
            <w:tcW w:w="6237" w:type="dxa"/>
            <w:tcBorders>
              <w:tl2br w:val="nil"/>
              <w:tr2bl w:val="nil"/>
            </w:tcBorders>
            <w:vAlign w:val="center"/>
          </w:tcPr>
          <w:p w14:paraId="30340D25">
            <w:pPr>
              <w:pStyle w:val="57"/>
              <w:spacing w:line="30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投标人对电子交易平台生成的电子投标文件软硬件信息分析结果提出异议的，应在开标之日起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个工作日内与招标人共同委托有资质的鉴定机构进行鉴定。</w:t>
            </w:r>
          </w:p>
          <w:p w14:paraId="5E3F8598">
            <w:pPr>
              <w:pStyle w:val="57"/>
              <w:spacing w:line="30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鉴定配合事项：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49"/>
                <w:rFonts w:hint="eastAsia" w:ascii="宋体" w:hAnsi="宋体" w:eastAsia="宋体" w:cs="宋体"/>
                <w:color w:val="000000" w:themeColor="text1"/>
                <w:sz w:val="21"/>
                <w:szCs w:val="21"/>
                <w:highlight w:val="none"/>
                <w:u w:val="single"/>
                <w14:textFill>
                  <w14:solidFill>
                    <w14:schemeClr w14:val="tx1"/>
                  </w14:solidFill>
                </w14:textFill>
              </w:rPr>
              <w:footnoteReference w:id="47"/>
            </w:r>
            <w:r>
              <w:rPr>
                <w:rFonts w:hint="eastAsia" w:ascii="宋体" w:hAnsi="宋体" w:eastAsia="宋体" w:cs="宋体"/>
                <w:color w:val="000000" w:themeColor="text1"/>
                <w:sz w:val="21"/>
                <w:szCs w:val="21"/>
                <w:highlight w:val="none"/>
                <w14:textFill>
                  <w14:solidFill>
                    <w14:schemeClr w14:val="tx1"/>
                  </w14:solidFill>
                </w14:textFill>
              </w:rPr>
              <w:t>。</w:t>
            </w:r>
          </w:p>
        </w:tc>
      </w:tr>
      <w:tr w14:paraId="6F0D0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498" w:type="dxa"/>
            <w:gridSpan w:val="4"/>
            <w:tcBorders>
              <w:tl2br w:val="nil"/>
              <w:tr2bl w:val="nil"/>
            </w:tcBorders>
            <w:vAlign w:val="center"/>
          </w:tcPr>
          <w:p w14:paraId="6F53637D">
            <w:pPr>
              <w:pStyle w:val="13"/>
              <w:snapToGrid w:val="0"/>
              <w:spacing w:line="4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需要补充和修改的其他内容</w:t>
            </w:r>
            <w:r>
              <w:rPr>
                <w:rStyle w:val="49"/>
                <w:rFonts w:ascii="宋体" w:hAnsi="宋体" w:eastAsia="宋体"/>
                <w:color w:val="000000" w:themeColor="text1"/>
                <w:szCs w:val="21"/>
                <w:highlight w:val="none"/>
                <w14:textFill>
                  <w14:solidFill>
                    <w14:schemeClr w14:val="tx1"/>
                  </w14:solidFill>
                </w14:textFill>
              </w:rPr>
              <w:footnoteReference w:id="48"/>
            </w:r>
          </w:p>
        </w:tc>
      </w:tr>
      <w:tr w14:paraId="037A8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709" w:type="dxa"/>
            <w:vMerge w:val="restart"/>
            <w:tcBorders>
              <w:tl2br w:val="nil"/>
              <w:tr2bl w:val="nil"/>
            </w:tcBorders>
            <w:vAlign w:val="center"/>
          </w:tcPr>
          <w:p w14:paraId="1D0CC7E8">
            <w:pPr>
              <w:pStyle w:val="13"/>
              <w:snapToGrid w:val="0"/>
              <w:spacing w:line="40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35</w:t>
            </w:r>
          </w:p>
        </w:tc>
        <w:tc>
          <w:tcPr>
            <w:tcW w:w="993" w:type="dxa"/>
            <w:tcBorders>
              <w:tl2br w:val="nil"/>
              <w:tr2bl w:val="nil"/>
            </w:tcBorders>
            <w:vAlign w:val="center"/>
          </w:tcPr>
          <w:p w14:paraId="257171EC">
            <w:pPr>
              <w:pStyle w:val="13"/>
              <w:snapToGrid w:val="0"/>
              <w:spacing w:line="400" w:lineRule="exact"/>
              <w:ind w:firstLine="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9.3</w:t>
            </w:r>
            <w:r>
              <w:rPr>
                <w:rFonts w:hint="eastAsia" w:ascii="宋体" w:hAnsi="宋体" w:eastAsia="宋体"/>
                <w:color w:val="000000" w:themeColor="text1"/>
                <w:szCs w:val="21"/>
                <w:highlight w:val="none"/>
                <w:lang w:val="en-US" w:eastAsia="zh-CN"/>
                <w14:textFill>
                  <w14:solidFill>
                    <w14:schemeClr w14:val="tx1"/>
                  </w14:solidFill>
                </w14:textFill>
              </w:rPr>
              <w:t>.1</w:t>
            </w:r>
          </w:p>
        </w:tc>
        <w:tc>
          <w:tcPr>
            <w:tcW w:w="1559" w:type="dxa"/>
            <w:tcBorders>
              <w:tl2br w:val="nil"/>
              <w:tr2bl w:val="nil"/>
            </w:tcBorders>
            <w:vAlign w:val="center"/>
          </w:tcPr>
          <w:p w14:paraId="2987B959">
            <w:pPr>
              <w:pStyle w:val="13"/>
              <w:snapToGrid w:val="0"/>
              <w:spacing w:line="400" w:lineRule="exact"/>
              <w:ind w:firstLine="34"/>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拟担任项目负责人承诺函和投标人诚信承诺函</w:t>
            </w:r>
          </w:p>
        </w:tc>
        <w:tc>
          <w:tcPr>
            <w:tcW w:w="6237" w:type="dxa"/>
            <w:tcBorders>
              <w:tl2br w:val="nil"/>
              <w:tr2bl w:val="nil"/>
            </w:tcBorders>
            <w:vAlign w:val="center"/>
          </w:tcPr>
          <w:p w14:paraId="54E79EDD">
            <w:pPr>
              <w:pStyle w:val="57"/>
              <w:spacing w:line="400" w:lineRule="exact"/>
              <w:ind w:firstLine="315" w:firstLineChars="1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招标人发出中标通知书前</w:t>
            </w:r>
            <w:r>
              <w:rPr>
                <w:rFonts w:hint="eastAsia" w:ascii="宋体" w:hAnsi="宋体" w:eastAsia="宋体" w:cs="宋体"/>
                <w:bCs/>
                <w:color w:val="000000" w:themeColor="text1"/>
                <w:sz w:val="21"/>
                <w:szCs w:val="21"/>
                <w:highlight w:val="none"/>
                <w14:textFill>
                  <w14:solidFill>
                    <w14:schemeClr w14:val="tx1"/>
                  </w14:solidFill>
                </w14:textFill>
              </w:rPr>
              <w:t>，须</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要求中标人</w:t>
            </w:r>
            <w:r>
              <w:rPr>
                <w:rFonts w:hint="eastAsia" w:ascii="宋体" w:hAnsi="宋体" w:eastAsia="宋体"/>
                <w:color w:val="000000" w:themeColor="text1"/>
                <w:sz w:val="21"/>
                <w:szCs w:val="21"/>
                <w:highlight w:val="none"/>
                <w14:textFill>
                  <w14:solidFill>
                    <w14:schemeClr w14:val="tx1"/>
                  </w14:solidFill>
                </w14:textFill>
              </w:rPr>
              <w:t>将投标文件中的《拟担任项目负责人承诺函》原件和《投标人诚信承诺函》原件提交招标人。</w:t>
            </w:r>
          </w:p>
        </w:tc>
      </w:tr>
      <w:tr w14:paraId="19A49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09" w:type="dxa"/>
            <w:vMerge w:val="continue"/>
            <w:tcBorders>
              <w:tl2br w:val="nil"/>
              <w:tr2bl w:val="nil"/>
            </w:tcBorders>
            <w:vAlign w:val="center"/>
          </w:tcPr>
          <w:p w14:paraId="49387512">
            <w:pPr>
              <w:pStyle w:val="13"/>
              <w:snapToGrid w:val="0"/>
              <w:spacing w:line="400" w:lineRule="exact"/>
              <w:ind w:firstLine="0"/>
              <w:jc w:val="center"/>
              <w:rPr>
                <w:rFonts w:hint="eastAsia" w:ascii="宋体" w:hAnsi="宋体" w:eastAsia="宋体"/>
                <w:color w:val="000000" w:themeColor="text1"/>
                <w:szCs w:val="21"/>
                <w:highlight w:val="none"/>
                <w14:textFill>
                  <w14:solidFill>
                    <w14:schemeClr w14:val="tx1"/>
                  </w14:solidFill>
                </w14:textFill>
              </w:rPr>
            </w:pPr>
          </w:p>
        </w:tc>
        <w:tc>
          <w:tcPr>
            <w:tcW w:w="993" w:type="dxa"/>
            <w:tcBorders>
              <w:tl2br w:val="nil"/>
              <w:tr2bl w:val="nil"/>
            </w:tcBorders>
            <w:vAlign w:val="center"/>
          </w:tcPr>
          <w:p w14:paraId="56251428">
            <w:pPr>
              <w:pStyle w:val="13"/>
              <w:snapToGrid w:val="0"/>
              <w:spacing w:line="400" w:lineRule="exact"/>
              <w:ind w:firstLine="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p>
        </w:tc>
        <w:tc>
          <w:tcPr>
            <w:tcW w:w="1559" w:type="dxa"/>
            <w:tcBorders>
              <w:tl2br w:val="nil"/>
              <w:tr2bl w:val="nil"/>
            </w:tcBorders>
            <w:vAlign w:val="center"/>
          </w:tcPr>
          <w:p w14:paraId="7E478618">
            <w:pPr>
              <w:pStyle w:val="13"/>
              <w:snapToGrid w:val="0"/>
              <w:spacing w:line="400" w:lineRule="exact"/>
              <w:ind w:firstLine="34"/>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p>
        </w:tc>
        <w:tc>
          <w:tcPr>
            <w:tcW w:w="6237" w:type="dxa"/>
            <w:tcBorders>
              <w:tl2br w:val="nil"/>
              <w:tr2bl w:val="nil"/>
            </w:tcBorders>
            <w:vAlign w:val="center"/>
          </w:tcPr>
          <w:p w14:paraId="3426AAC8">
            <w:pPr>
              <w:pStyle w:val="57"/>
              <w:spacing w:line="400" w:lineRule="exact"/>
              <w:ind w:firstLine="315" w:firstLineChars="15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p>
        </w:tc>
      </w:tr>
    </w:tbl>
    <w:p w14:paraId="725BDE88">
      <w:pPr>
        <w:widowControl/>
        <w:adjustRightInd/>
        <w:spacing w:line="240" w:lineRule="auto"/>
        <w:jc w:val="left"/>
        <w:textAlignment w:val="auto"/>
        <w:rPr>
          <w:rFonts w:ascii="黑体" w:hAnsi="黑体" w:eastAsia="黑体"/>
          <w:b w:val="0"/>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95" w:name="_Toc18648"/>
      <w:bookmarkStart w:id="96" w:name="_Toc1573"/>
      <w:r>
        <w:rPr>
          <w:rFonts w:hint="eastAsia" w:ascii="黑体" w:hAnsi="黑体" w:eastAsia="黑体"/>
          <w:b w:val="0"/>
          <w:color w:val="000000" w:themeColor="text1"/>
          <w:sz w:val="21"/>
          <w:szCs w:val="21"/>
          <w:highlight w:val="none"/>
          <w14:textFill>
            <w14:solidFill>
              <w14:schemeClr w14:val="tx1"/>
            </w14:solidFill>
          </w14:textFill>
        </w:rPr>
        <w:t>附录1：合格投标人资格条件(最低要求，适用于</w:t>
      </w:r>
      <w:r>
        <w:rPr>
          <w:rFonts w:hint="eastAsia" w:ascii="黑体" w:hAnsi="黑体" w:eastAsia="黑体"/>
          <w:b w:val="0"/>
          <w:color w:val="000000" w:themeColor="text1"/>
          <w:sz w:val="21"/>
          <w:szCs w:val="21"/>
          <w:highlight w:val="none"/>
          <w:u w:val="single"/>
          <w14:textFill>
            <w14:solidFill>
              <w14:schemeClr w14:val="tx1"/>
            </w14:solidFill>
          </w14:textFill>
        </w:rPr>
        <w:t xml:space="preserve">      </w:t>
      </w:r>
      <w:r>
        <w:rPr>
          <w:rFonts w:hint="eastAsia" w:ascii="黑体" w:hAnsi="黑体" w:eastAsia="黑体"/>
          <w:b w:val="0"/>
          <w:color w:val="000000" w:themeColor="text1"/>
          <w:sz w:val="21"/>
          <w:szCs w:val="21"/>
          <w:highlight w:val="none"/>
          <w14:textFill>
            <w14:solidFill>
              <w14:schemeClr w14:val="tx1"/>
            </w14:solidFill>
          </w14:textFill>
        </w:rPr>
        <w:t>标段</w:t>
      </w:r>
      <w:r>
        <w:rPr>
          <w:rStyle w:val="49"/>
          <w:rFonts w:ascii="黑体" w:hAnsi="黑体" w:eastAsia="黑体"/>
          <w:b w:val="0"/>
          <w:color w:val="000000" w:themeColor="text1"/>
          <w:sz w:val="21"/>
          <w:szCs w:val="21"/>
          <w:highlight w:val="none"/>
          <w14:textFill>
            <w14:solidFill>
              <w14:schemeClr w14:val="tx1"/>
            </w14:solidFill>
          </w14:textFill>
        </w:rPr>
        <w:footnoteReference w:id="49"/>
      </w:r>
      <w:r>
        <w:rPr>
          <w:rFonts w:hint="eastAsia" w:ascii="黑体" w:hAnsi="黑体" w:eastAsia="黑体"/>
          <w:b w:val="0"/>
          <w:color w:val="000000" w:themeColor="text1"/>
          <w:sz w:val="21"/>
          <w:szCs w:val="21"/>
          <w:highlight w:val="none"/>
          <w14:textFill>
            <w14:solidFill>
              <w14:schemeClr w14:val="tx1"/>
            </w14:solidFill>
          </w14:textFill>
        </w:rPr>
        <w:t>)</w:t>
      </w:r>
      <w:bookmarkEnd w:id="95"/>
      <w:bookmarkEnd w:id="96"/>
    </w:p>
    <w:tbl>
      <w:tblPr>
        <w:tblStyle w:val="42"/>
        <w:tblW w:w="9498"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662"/>
      </w:tblGrid>
      <w:tr w14:paraId="35A05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tcBorders>
              <w:tl2br w:val="nil"/>
              <w:tr2bl w:val="nil"/>
            </w:tcBorders>
            <w:vAlign w:val="center"/>
          </w:tcPr>
          <w:p w14:paraId="4E51A820">
            <w:pPr>
              <w:jc w:val="center"/>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项号</w:t>
            </w:r>
          </w:p>
        </w:tc>
        <w:tc>
          <w:tcPr>
            <w:tcW w:w="2126" w:type="dxa"/>
            <w:tcBorders>
              <w:tl2br w:val="nil"/>
              <w:tr2bl w:val="nil"/>
            </w:tcBorders>
            <w:vAlign w:val="center"/>
          </w:tcPr>
          <w:p w14:paraId="709D2BA0">
            <w:pPr>
              <w:jc w:val="center"/>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审查内容</w:t>
            </w:r>
          </w:p>
        </w:tc>
        <w:tc>
          <w:tcPr>
            <w:tcW w:w="6662" w:type="dxa"/>
            <w:tcBorders>
              <w:tl2br w:val="nil"/>
              <w:tr2bl w:val="nil"/>
            </w:tcBorders>
            <w:vAlign w:val="center"/>
          </w:tcPr>
          <w:p w14:paraId="5F817857">
            <w:pPr>
              <w:jc w:val="center"/>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审查标准</w:t>
            </w:r>
          </w:p>
        </w:tc>
      </w:tr>
      <w:tr w14:paraId="2CF96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0" w:type="dxa"/>
            <w:tcBorders>
              <w:tl2br w:val="nil"/>
              <w:tr2bl w:val="nil"/>
            </w:tcBorders>
            <w:vAlign w:val="center"/>
          </w:tcPr>
          <w:p w14:paraId="39C16C57">
            <w:pPr>
              <w:spacing w:line="30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2126" w:type="dxa"/>
            <w:tcBorders>
              <w:tl2br w:val="nil"/>
              <w:tr2bl w:val="nil"/>
            </w:tcBorders>
            <w:vAlign w:val="center"/>
          </w:tcPr>
          <w:p w14:paraId="2FA39C7E">
            <w:pPr>
              <w:spacing w:line="30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资质条件</w:t>
            </w:r>
          </w:p>
        </w:tc>
        <w:tc>
          <w:tcPr>
            <w:tcW w:w="6662" w:type="dxa"/>
            <w:tcBorders>
              <w:tl2br w:val="nil"/>
              <w:tr2bl w:val="nil"/>
            </w:tcBorders>
            <w:vAlign w:val="center"/>
          </w:tcPr>
          <w:p w14:paraId="3205C85F">
            <w:pPr>
              <w:spacing w:line="30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本招标项目要求投标人具备住房城乡建设行政主管部门核发的有效的</w:t>
            </w:r>
            <w:r>
              <w:rPr>
                <w:rFonts w:hint="eastAsia" w:ascii="宋体" w:hAnsi="宋体"/>
                <w:color w:val="000000" w:themeColor="text1"/>
                <w:sz w:val="21"/>
                <w:szCs w:val="21"/>
                <w:highlight w:val="none"/>
                <w:u w:val="single"/>
                <w14:textFill>
                  <w14:solidFill>
                    <w14:schemeClr w14:val="tx1"/>
                  </w14:solidFill>
                </w14:textFill>
              </w:rPr>
              <w:t xml:space="preserve"> </w:t>
            </w:r>
          </w:p>
          <w:p w14:paraId="36B0243F">
            <w:pPr>
              <w:spacing w:line="300" w:lineRule="auto"/>
              <w:jc w:val="left"/>
              <w:rPr>
                <w:rFonts w:hint="default" w:ascii="宋体" w:hAnsi="宋体"/>
                <w:color w:val="000000" w:themeColor="text1"/>
                <w:sz w:val="21"/>
                <w:szCs w:val="21"/>
                <w:highlight w:val="none"/>
                <w:u w:val="single"/>
                <w:lang w:val="en-US"/>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资质。</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r>
      <w:tr w14:paraId="737DF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6" w:hRule="atLeast"/>
        </w:trPr>
        <w:tc>
          <w:tcPr>
            <w:tcW w:w="710" w:type="dxa"/>
            <w:tcBorders>
              <w:tl2br w:val="nil"/>
              <w:tr2bl w:val="nil"/>
            </w:tcBorders>
            <w:vAlign w:val="center"/>
          </w:tcPr>
          <w:p w14:paraId="37480B32">
            <w:pPr>
              <w:spacing w:line="30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2126" w:type="dxa"/>
            <w:tcBorders>
              <w:tl2br w:val="nil"/>
              <w:tr2bl w:val="nil"/>
            </w:tcBorders>
            <w:vAlign w:val="center"/>
          </w:tcPr>
          <w:p w14:paraId="5C5CF82C">
            <w:pPr>
              <w:spacing w:line="30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项目人员配置</w:t>
            </w:r>
          </w:p>
        </w:tc>
        <w:tc>
          <w:tcPr>
            <w:tcW w:w="6662" w:type="dxa"/>
            <w:tcBorders>
              <w:tl2br w:val="nil"/>
              <w:tr2bl w:val="nil"/>
            </w:tcBorders>
            <w:vAlign w:val="center"/>
          </w:tcPr>
          <w:p w14:paraId="588DB732">
            <w:pPr>
              <w:pStyle w:val="57"/>
              <w:spacing w:line="300" w:lineRule="auto"/>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设计项目负责人</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人：投标人拟派出担任本招标项目的设计负责人应具备有效的</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14:paraId="5683AC59">
            <w:pPr>
              <w:pStyle w:val="57"/>
              <w:spacing w:line="300" w:lineRule="auto"/>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各专业设计负责人共</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人：</w:t>
            </w:r>
            <w:r>
              <w:rPr>
                <w:rStyle w:val="49"/>
                <w:rFonts w:ascii="宋体" w:hAnsi="宋体" w:eastAsia="宋体"/>
                <w:color w:val="000000" w:themeColor="text1"/>
                <w:sz w:val="21"/>
                <w:szCs w:val="21"/>
                <w:highlight w:val="none"/>
                <w14:textFill>
                  <w14:solidFill>
                    <w14:schemeClr w14:val="tx1"/>
                  </w14:solidFill>
                </w14:textFill>
              </w:rPr>
              <w:footnoteReference w:id="50"/>
            </w:r>
          </w:p>
          <w:p w14:paraId="1977552C">
            <w:pPr>
              <w:pStyle w:val="13"/>
              <w:tabs>
                <w:tab w:val="left" w:pos="510"/>
              </w:tabs>
              <w:snapToGrid/>
              <w:spacing w:line="300" w:lineRule="auto"/>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建筑设计专业负责人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人，资格（职称）：</w:t>
            </w:r>
            <w:r>
              <w:rPr>
                <w:rFonts w:hint="eastAsia" w:ascii="宋体" w:hAnsi="宋体" w:eastAsia="宋体"/>
                <w:color w:val="000000" w:themeColor="text1"/>
                <w:szCs w:val="21"/>
                <w:highlight w:val="none"/>
                <w:u w:val="single"/>
                <w14:textFill>
                  <w14:solidFill>
                    <w14:schemeClr w14:val="tx1"/>
                  </w14:solidFill>
                </w14:textFill>
              </w:rPr>
              <w:t xml:space="preserve">                 </w:t>
            </w:r>
          </w:p>
          <w:p w14:paraId="5E47B678">
            <w:pPr>
              <w:pStyle w:val="13"/>
              <w:tabs>
                <w:tab w:val="left" w:pos="510"/>
              </w:tabs>
              <w:snapToGrid/>
              <w:spacing w:line="300" w:lineRule="auto"/>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结构设计专业负责人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人，资格（职称）：</w:t>
            </w:r>
            <w:r>
              <w:rPr>
                <w:rFonts w:hint="eastAsia" w:ascii="宋体" w:hAnsi="宋体" w:eastAsia="宋体"/>
                <w:color w:val="000000" w:themeColor="text1"/>
                <w:szCs w:val="21"/>
                <w:highlight w:val="none"/>
                <w:u w:val="single"/>
                <w14:textFill>
                  <w14:solidFill>
                    <w14:schemeClr w14:val="tx1"/>
                  </w14:solidFill>
                </w14:textFill>
              </w:rPr>
              <w:t xml:space="preserve">                 </w:t>
            </w:r>
          </w:p>
          <w:p w14:paraId="5CA149BF">
            <w:pPr>
              <w:pStyle w:val="13"/>
              <w:tabs>
                <w:tab w:val="left" w:pos="510"/>
              </w:tabs>
              <w:snapToGrid/>
              <w:spacing w:line="300" w:lineRule="auto"/>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道桥设计专业负责人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人，资格（职称）：</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p>
          <w:p w14:paraId="3C77E14C">
            <w:pPr>
              <w:pStyle w:val="13"/>
              <w:tabs>
                <w:tab w:val="left" w:pos="510"/>
              </w:tabs>
              <w:snapToGrid/>
              <w:spacing w:line="300" w:lineRule="auto"/>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电气设备专业负责人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人，资格（职称）：</w:t>
            </w:r>
            <w:r>
              <w:rPr>
                <w:rFonts w:hint="eastAsia" w:ascii="宋体" w:hAnsi="宋体" w:eastAsia="宋体"/>
                <w:color w:val="000000" w:themeColor="text1"/>
                <w:szCs w:val="21"/>
                <w:highlight w:val="none"/>
                <w:u w:val="single"/>
                <w14:textFill>
                  <w14:solidFill>
                    <w14:schemeClr w14:val="tx1"/>
                  </w14:solidFill>
                </w14:textFill>
              </w:rPr>
              <w:t xml:space="preserve">                 </w:t>
            </w:r>
          </w:p>
          <w:p w14:paraId="3E8FC256">
            <w:pPr>
              <w:pStyle w:val="13"/>
              <w:tabs>
                <w:tab w:val="left" w:pos="510"/>
              </w:tabs>
              <w:snapToGrid/>
              <w:spacing w:line="300" w:lineRule="auto"/>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给排水专业负责人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人，资格（职称）：</w:t>
            </w:r>
            <w:r>
              <w:rPr>
                <w:rFonts w:hint="eastAsia" w:ascii="宋体" w:hAnsi="宋体" w:eastAsia="宋体"/>
                <w:color w:val="000000" w:themeColor="text1"/>
                <w:szCs w:val="21"/>
                <w:highlight w:val="none"/>
                <w:u w:val="single"/>
                <w14:textFill>
                  <w14:solidFill>
                    <w14:schemeClr w14:val="tx1"/>
                  </w14:solidFill>
                </w14:textFill>
              </w:rPr>
              <w:t xml:space="preserve">                 </w:t>
            </w:r>
          </w:p>
          <w:p w14:paraId="6B15A79C">
            <w:pPr>
              <w:pStyle w:val="13"/>
              <w:tabs>
                <w:tab w:val="left" w:pos="510"/>
              </w:tabs>
              <w:snapToGrid/>
              <w:spacing w:line="300" w:lineRule="auto"/>
              <w:ind w:firstLine="315" w:firstLineChars="15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燃气设计专业负责人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人，资格（职称）：</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p>
          <w:p w14:paraId="027EA776">
            <w:pPr>
              <w:pStyle w:val="13"/>
              <w:tabs>
                <w:tab w:val="left" w:pos="510"/>
              </w:tabs>
              <w:snapToGrid/>
              <w:spacing w:line="300" w:lineRule="auto"/>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风景园林设计专业负责人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人，资格（职称）：</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p>
          <w:p w14:paraId="3D7C3F69">
            <w:pPr>
              <w:pStyle w:val="57"/>
              <w:spacing w:line="300" w:lineRule="auto"/>
              <w:ind w:firstLine="315" w:firstLineChars="150"/>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造价编制负责人</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人（可以外聘），职称（资格）：</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14:paraId="26D646A7">
            <w:pPr>
              <w:pStyle w:val="57"/>
              <w:spacing w:line="300" w:lineRule="auto"/>
              <w:ind w:firstLine="315" w:firstLineChars="150"/>
              <w:textAlignment w:val="baseline"/>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其他专业负责人（如有）：</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14:paraId="3E3F010C">
            <w:pPr>
              <w:pStyle w:val="57"/>
              <w:spacing w:line="300" w:lineRule="auto"/>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勘察项目负责人</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人：投标人拟派出担任本招标项目的勘察项目负责人应具备有效的国家注册土木工程师（岩土）执业证书。</w:t>
            </w:r>
          </w:p>
          <w:p w14:paraId="4F9DD35C">
            <w:pPr>
              <w:pStyle w:val="57"/>
              <w:spacing w:line="300" w:lineRule="auto"/>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各专业勘察负责人共</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人：</w:t>
            </w:r>
            <w:r>
              <w:rPr>
                <w:rStyle w:val="49"/>
                <w:rFonts w:ascii="宋体" w:hAnsi="宋体" w:eastAsia="宋体"/>
                <w:color w:val="000000" w:themeColor="text1"/>
                <w:sz w:val="21"/>
                <w:szCs w:val="21"/>
                <w:highlight w:val="none"/>
                <w14:textFill>
                  <w14:solidFill>
                    <w14:schemeClr w14:val="tx1"/>
                  </w14:solidFill>
                </w14:textFill>
              </w:rPr>
              <w:footnoteReference w:id="51"/>
            </w:r>
          </w:p>
          <w:p w14:paraId="72A380B3">
            <w:pPr>
              <w:pStyle w:val="13"/>
              <w:spacing w:line="300" w:lineRule="auto"/>
              <w:ind w:firstLine="31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勘察现场施工专业负责人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人，资格（职称）：</w:t>
            </w:r>
            <w:r>
              <w:rPr>
                <w:rFonts w:hint="eastAsia" w:ascii="宋体" w:hAnsi="宋体" w:eastAsia="宋体"/>
                <w:color w:val="000000" w:themeColor="text1"/>
                <w:szCs w:val="21"/>
                <w:highlight w:val="none"/>
                <w:u w:val="single"/>
                <w14:textFill>
                  <w14:solidFill>
                    <w14:schemeClr w14:val="tx1"/>
                  </w14:solidFill>
                </w14:textFill>
              </w:rPr>
              <w:t xml:space="preserve">            </w:t>
            </w:r>
          </w:p>
          <w:p w14:paraId="16A4FCA4">
            <w:pPr>
              <w:pStyle w:val="13"/>
              <w:spacing w:line="300" w:lineRule="auto"/>
              <w:ind w:firstLine="31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勘察设计专业负责人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人，资格（职称）：</w:t>
            </w:r>
            <w:r>
              <w:rPr>
                <w:rFonts w:hint="eastAsia" w:ascii="宋体" w:hAnsi="宋体" w:eastAsia="宋体"/>
                <w:color w:val="000000" w:themeColor="text1"/>
                <w:szCs w:val="21"/>
                <w:highlight w:val="none"/>
                <w:u w:val="single"/>
                <w14:textFill>
                  <w14:solidFill>
                    <w14:schemeClr w14:val="tx1"/>
                  </w14:solidFill>
                </w14:textFill>
              </w:rPr>
              <w:t xml:space="preserve">            </w:t>
            </w:r>
          </w:p>
          <w:p w14:paraId="675466C4">
            <w:pPr>
              <w:pStyle w:val="13"/>
              <w:spacing w:line="300" w:lineRule="auto"/>
              <w:ind w:firstLine="31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室内试验专业负责人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人，资格（职称）：</w:t>
            </w:r>
            <w:r>
              <w:rPr>
                <w:rFonts w:hint="eastAsia" w:ascii="宋体" w:hAnsi="宋体" w:eastAsia="宋体"/>
                <w:color w:val="000000" w:themeColor="text1"/>
                <w:szCs w:val="21"/>
                <w:highlight w:val="none"/>
                <w:u w:val="single"/>
                <w14:textFill>
                  <w14:solidFill>
                    <w14:schemeClr w14:val="tx1"/>
                  </w14:solidFill>
                </w14:textFill>
              </w:rPr>
              <w:t xml:space="preserve">            </w:t>
            </w:r>
          </w:p>
          <w:p w14:paraId="726AB415">
            <w:pPr>
              <w:pStyle w:val="13"/>
              <w:spacing w:line="300" w:lineRule="auto"/>
              <w:ind w:firstLine="317"/>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其他专业负责人（如有）：</w:t>
            </w:r>
            <w:r>
              <w:rPr>
                <w:rFonts w:hint="eastAsia" w:ascii="宋体" w:hAnsi="宋体" w:eastAsia="宋体"/>
                <w:color w:val="000000" w:themeColor="text1"/>
                <w:szCs w:val="21"/>
                <w:highlight w:val="none"/>
                <w:u w:val="single"/>
                <w14:textFill>
                  <w14:solidFill>
                    <w14:schemeClr w14:val="tx1"/>
                  </w14:solidFill>
                </w14:textFill>
              </w:rPr>
              <w:t xml:space="preserve">                                  </w:t>
            </w:r>
          </w:p>
        </w:tc>
      </w:tr>
      <w:tr w14:paraId="492D0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0" w:type="dxa"/>
            <w:tcBorders>
              <w:tl2br w:val="nil"/>
              <w:tr2bl w:val="nil"/>
            </w:tcBorders>
            <w:vAlign w:val="center"/>
          </w:tcPr>
          <w:p w14:paraId="7CB59D89">
            <w:pPr>
              <w:spacing w:line="30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2126" w:type="dxa"/>
            <w:tcBorders>
              <w:tl2br w:val="nil"/>
              <w:tr2bl w:val="nil"/>
            </w:tcBorders>
            <w:vAlign w:val="center"/>
          </w:tcPr>
          <w:p w14:paraId="1169F0BB">
            <w:pPr>
              <w:spacing w:line="300" w:lineRule="auto"/>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类似项目业绩</w:t>
            </w:r>
          </w:p>
        </w:tc>
        <w:tc>
          <w:tcPr>
            <w:tcW w:w="6662" w:type="dxa"/>
            <w:tcBorders>
              <w:tl2br w:val="nil"/>
              <w:tr2bl w:val="nil"/>
            </w:tcBorders>
            <w:vAlign w:val="center"/>
          </w:tcPr>
          <w:p w14:paraId="759D68BC">
            <w:pPr>
              <w:pStyle w:val="57"/>
              <w:spacing w:line="300" w:lineRule="auto"/>
              <w:ind w:firstLine="420" w:firstLineChars="200"/>
              <w:textAlignment w:val="baseline"/>
              <w:rPr>
                <w:rFonts w:hint="eastAsia" w:ascii="宋体" w:hAnsi="宋体" w:eastAsia="宋体"/>
                <w:color w:val="000000" w:themeColor="text1"/>
                <w:sz w:val="21"/>
                <w:szCs w:val="21"/>
                <w:highlight w:val="none"/>
                <w:u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投标人及其拟派出担任本设计项目负责人均应具备</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Style w:val="49"/>
                <w:rFonts w:hint="eastAsia" w:ascii="宋体" w:hAnsi="宋体" w:eastAsia="宋体"/>
                <w:color w:val="000000" w:themeColor="text1"/>
                <w:sz w:val="21"/>
                <w:szCs w:val="21"/>
                <w:highlight w:val="none"/>
                <w:u w:val="single"/>
                <w14:textFill>
                  <w14:solidFill>
                    <w14:schemeClr w14:val="tx1"/>
                  </w14:solidFill>
                </w14:textFill>
              </w:rPr>
              <w:footnoteReference w:id="52"/>
            </w:r>
            <w:r>
              <w:rPr>
                <w:rFonts w:hint="eastAsia" w:ascii="宋体" w:hAnsi="宋体" w:eastAsia="宋体"/>
                <w:color w:val="000000" w:themeColor="text1"/>
                <w:sz w:val="21"/>
                <w:szCs w:val="21"/>
                <w:highlight w:val="none"/>
                <w14:textFill>
                  <w14:solidFill>
                    <w14:schemeClr w14:val="tx1"/>
                  </w14:solidFill>
                </w14:textFill>
              </w:rPr>
              <w:t>项类似项目设计业绩（本条仅适用于大型工程设计项目。联合体投标的，类似项目设计业绩必须由牵头人提供）。类似工程业绩是指（下同）：自本招标公告（</w:t>
            </w:r>
            <w:r>
              <w:rPr>
                <w:rFonts w:hint="eastAsia" w:ascii="宋体" w:hAnsi="宋体" w:eastAsia="宋体"/>
                <w:color w:val="000000" w:themeColor="text1"/>
                <w:sz w:val="21"/>
                <w:szCs w:val="21"/>
                <w:highlight w:val="none"/>
                <w:lang w:eastAsia="zh-CN"/>
                <w14:textFill>
                  <w14:solidFill>
                    <w14:schemeClr w14:val="tx1"/>
                  </w14:solidFill>
                </w14:textFill>
              </w:rPr>
              <w:t>或投标邀请书</w:t>
            </w:r>
            <w:r>
              <w:rPr>
                <w:rFonts w:hint="eastAsia" w:ascii="宋体" w:hAnsi="宋体" w:eastAsia="宋体"/>
                <w:color w:val="000000" w:themeColor="text1"/>
                <w:sz w:val="21"/>
                <w:szCs w:val="21"/>
                <w:highlight w:val="none"/>
                <w14:textFill>
                  <w14:solidFill>
                    <w14:schemeClr w14:val="tx1"/>
                  </w14:solidFill>
                </w14:textFill>
              </w:rPr>
              <w:t>）发布之日的前三年内【以施工图审查合格日期为准，不含发布招标公告（</w:t>
            </w:r>
            <w:r>
              <w:rPr>
                <w:rFonts w:hint="eastAsia" w:ascii="宋体" w:hAnsi="宋体" w:eastAsia="宋体"/>
                <w:color w:val="000000" w:themeColor="text1"/>
                <w:sz w:val="21"/>
                <w:szCs w:val="21"/>
                <w:highlight w:val="none"/>
                <w:lang w:eastAsia="zh-CN"/>
                <w14:textFill>
                  <w14:solidFill>
                    <w14:schemeClr w14:val="tx1"/>
                  </w14:solidFill>
                </w14:textFill>
              </w:rPr>
              <w:t>或投标邀请书</w:t>
            </w:r>
            <w:r>
              <w:rPr>
                <w:rFonts w:hint="eastAsia" w:ascii="宋体" w:hAnsi="宋体" w:eastAsia="宋体"/>
                <w:color w:val="000000" w:themeColor="text1"/>
                <w:sz w:val="21"/>
                <w:szCs w:val="21"/>
                <w:highlight w:val="none"/>
                <w14:textFill>
                  <w14:solidFill>
                    <w14:schemeClr w14:val="tx1"/>
                  </w14:solidFill>
                </w14:textFill>
              </w:rPr>
              <w:t>）当日】完成设计的并经施工图审查合格的</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Style w:val="49"/>
                <w:rFonts w:ascii="宋体" w:hAnsi="宋体" w:eastAsia="宋体"/>
                <w:color w:val="000000" w:themeColor="text1"/>
                <w:sz w:val="21"/>
                <w:szCs w:val="21"/>
                <w:highlight w:val="none"/>
                <w:u w:val="single"/>
                <w14:textFill>
                  <w14:solidFill>
                    <w14:schemeClr w14:val="tx1"/>
                  </w14:solidFill>
                </w14:textFill>
              </w:rPr>
              <w:footnoteReference w:id="53"/>
            </w:r>
            <w:r>
              <w:rPr>
                <w:rFonts w:hint="eastAsia" w:ascii="宋体" w:hAnsi="宋体" w:eastAsia="宋体"/>
                <w:color w:val="000000" w:themeColor="text1"/>
                <w:sz w:val="21"/>
                <w:szCs w:val="21"/>
                <w:highlight w:val="none"/>
                <w:u w:val="none"/>
                <w:lang w:eastAsia="zh-CN"/>
                <w14:textFill>
                  <w14:solidFill>
                    <w14:schemeClr w14:val="tx1"/>
                  </w14:solidFill>
                </w14:textFill>
              </w:rPr>
              <w:t>。</w:t>
            </w:r>
          </w:p>
        </w:tc>
      </w:tr>
      <w:tr w14:paraId="1B986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vAlign w:val="center"/>
          </w:tcPr>
          <w:p w14:paraId="502ABD15">
            <w:pPr>
              <w:spacing w:line="30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2126" w:type="dxa"/>
            <w:tcBorders>
              <w:tl2br w:val="nil"/>
              <w:tr2bl w:val="nil"/>
            </w:tcBorders>
            <w:vAlign w:val="center"/>
          </w:tcPr>
          <w:p w14:paraId="5E61BCA3">
            <w:pPr>
              <w:spacing w:line="300" w:lineRule="auto"/>
              <w:jc w:val="center"/>
              <w:rPr>
                <w:rFonts w:ascii="宋体" w:hAnsi="宋体" w:cs="黑体"/>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信用</w:t>
            </w:r>
          </w:p>
        </w:tc>
        <w:tc>
          <w:tcPr>
            <w:tcW w:w="6662" w:type="dxa"/>
            <w:tcBorders>
              <w:tl2br w:val="nil"/>
              <w:tr2bl w:val="nil"/>
            </w:tcBorders>
            <w:vAlign w:val="center"/>
          </w:tcPr>
          <w:p w14:paraId="169CEECC">
            <w:pPr>
              <w:pStyle w:val="57"/>
              <w:spacing w:line="300" w:lineRule="auto"/>
              <w:ind w:firstLine="420" w:firstLineChars="200"/>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本招标项目</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Style w:val="49"/>
                <w:rFonts w:ascii="宋体" w:hAnsi="宋体" w:eastAsia="宋体"/>
                <w:color w:val="000000" w:themeColor="text1"/>
                <w:sz w:val="21"/>
                <w:szCs w:val="21"/>
                <w:highlight w:val="none"/>
                <w:u w:val="single"/>
                <w14:textFill>
                  <w14:solidFill>
                    <w14:schemeClr w14:val="tx1"/>
                  </w14:solidFill>
                </w14:textFill>
              </w:rPr>
              <w:footnoteReference w:id="54"/>
            </w:r>
            <w:r>
              <w:rPr>
                <w:rFonts w:hint="eastAsia" w:ascii="宋体" w:hAnsi="宋体" w:eastAsia="宋体"/>
                <w:color w:val="000000" w:themeColor="text1"/>
                <w:sz w:val="21"/>
                <w:szCs w:val="21"/>
                <w:highlight w:val="none"/>
                <w14:textFill>
                  <w14:solidFill>
                    <w14:schemeClr w14:val="tx1"/>
                  </w14:solidFill>
                </w14:textFill>
              </w:rPr>
              <w:t>福建省工程勘察设计企业信用评价。</w:t>
            </w:r>
          </w:p>
          <w:p w14:paraId="0D8AA200">
            <w:pPr>
              <w:pStyle w:val="57"/>
              <w:spacing w:beforeLines="50" w:line="300" w:lineRule="auto"/>
              <w:ind w:firstLine="420" w:firstLineChars="200"/>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本招标项目</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Style w:val="49"/>
                <w:rFonts w:ascii="宋体" w:hAnsi="宋体" w:eastAsia="宋体"/>
                <w:color w:val="000000" w:themeColor="text1"/>
                <w:sz w:val="21"/>
                <w:szCs w:val="21"/>
                <w:highlight w:val="none"/>
                <w:u w:val="single"/>
                <w14:textFill>
                  <w14:solidFill>
                    <w14:schemeClr w14:val="tx1"/>
                  </w14:solidFill>
                </w14:textFill>
              </w:rPr>
              <w:footnoteReference w:id="55"/>
            </w:r>
            <w:r>
              <w:rPr>
                <w:rFonts w:hint="eastAsia" w:ascii="宋体" w:hAnsi="宋体" w:eastAsia="宋体"/>
                <w:color w:val="000000" w:themeColor="text1"/>
                <w:sz w:val="21"/>
                <w:szCs w:val="21"/>
                <w:highlight w:val="none"/>
                <w14:textFill>
                  <w14:solidFill>
                    <w14:schemeClr w14:val="tx1"/>
                  </w14:solidFill>
                </w14:textFill>
              </w:rPr>
              <w:t>厦门勘察设计单位信用评价。</w:t>
            </w:r>
          </w:p>
          <w:p w14:paraId="01842161">
            <w:pPr>
              <w:pStyle w:val="57"/>
              <w:spacing w:line="300" w:lineRule="auto"/>
              <w:ind w:firstLine="420" w:firstLineChars="200"/>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注：</w:t>
            </w:r>
          </w:p>
          <w:p w14:paraId="4C315F9B">
            <w:pPr>
              <w:pStyle w:val="57"/>
              <w:spacing w:line="300" w:lineRule="auto"/>
              <w:ind w:firstLine="420" w:firstLineChars="200"/>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依法招标的项目，应用福建省工程勘察设计企业信用评价分值，投标人的企业季度信用分不得低于55分。投标人的企业季度信用分</w:t>
            </w:r>
            <w:r>
              <w:rPr>
                <w:rFonts w:hint="eastAsia" w:ascii="宋体" w:hAnsi="宋体" w:eastAsia="宋体"/>
                <w:color w:val="000000" w:themeColor="text1"/>
                <w:sz w:val="21"/>
                <w:szCs w:val="21"/>
                <w:highlight w:val="none"/>
                <w14:textFill>
                  <w14:solidFill>
                    <w14:schemeClr w14:val="tx1"/>
                  </w14:solidFill>
                </w14:textFill>
              </w:rPr>
              <w:t>可通过</w:t>
            </w:r>
            <w:r>
              <w:rPr>
                <w:rFonts w:hint="eastAsia" w:ascii="宋体" w:hAnsi="宋体" w:eastAsia="宋体" w:cs="宋体"/>
                <w:color w:val="000000" w:themeColor="text1"/>
                <w:sz w:val="21"/>
                <w:szCs w:val="21"/>
                <w:highlight w:val="none"/>
                <w14:textFill>
                  <w14:solidFill>
                    <w14:schemeClr w14:val="tx1"/>
                  </w14:solidFill>
                </w14:textFill>
              </w:rPr>
              <w:t>福建省勘察设计单位和施工图审查机构信用评价系统</w:t>
            </w:r>
            <w:r>
              <w:rPr>
                <w:rFonts w:hint="eastAsia" w:ascii="宋体" w:hAnsi="宋体" w:eastAsia="宋体"/>
                <w:color w:val="000000" w:themeColor="text1"/>
                <w:sz w:val="21"/>
                <w:szCs w:val="21"/>
                <w:highlight w:val="none"/>
                <w14:textFill>
                  <w14:solidFill>
                    <w14:schemeClr w14:val="tx1"/>
                  </w14:solidFill>
                </w14:textFill>
              </w:rPr>
              <w:t>（下称“评价系统”）查询，网址：</w:t>
            </w:r>
            <w:r>
              <w:rPr>
                <w:rFonts w:ascii="宋体" w:hAnsi="宋体" w:eastAsia="宋体" w:cs="宋体"/>
                <w:color w:val="000000" w:themeColor="text1"/>
                <w:sz w:val="21"/>
                <w:szCs w:val="21"/>
                <w:highlight w:val="none"/>
                <w14:textFill>
                  <w14:solidFill>
                    <w14:schemeClr w14:val="tx1"/>
                  </w14:solidFill>
                </w14:textFill>
              </w:rPr>
              <w:t>zjt.fujian.gov.cn</w:t>
            </w:r>
            <w:r>
              <w:rPr>
                <w:rFonts w:hint="eastAsia" w:ascii="宋体" w:hAnsi="宋体" w:eastAsia="宋体"/>
                <w:color w:val="000000" w:themeColor="text1"/>
                <w:sz w:val="21"/>
                <w:szCs w:val="21"/>
                <w:highlight w:val="none"/>
                <w14:textFill>
                  <w14:solidFill>
                    <w14:schemeClr w14:val="tx1"/>
                  </w14:solidFill>
                </w14:textFill>
              </w:rPr>
              <w:t>。福建省工程勘察设计企业信用评价分值应用于工程勘察设计招标投标活动的时间由省住房和城乡建设厅另行通知，采用综合评估法评标，未明确应用前各投标人企业信用评分值均按满分计，明确应用后评价系统没有公布其企业季度信用分的投标人企业季度信用得分以55分计取。</w:t>
            </w:r>
          </w:p>
          <w:p w14:paraId="400B4C9B">
            <w:pPr>
              <w:pStyle w:val="40"/>
              <w:spacing w:after="0" w:line="300" w:lineRule="auto"/>
              <w:ind w:left="0" w:leftChars="0"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（2）厦门勘察设计单位信用分用于工程勘察设计招标投标活动的规则由厦门市</w:t>
            </w:r>
            <w:r>
              <w:rPr>
                <w:rFonts w:hint="eastAsia" w:ascii="宋体" w:hAnsi="宋体" w:cs="宋体"/>
                <w:color w:val="000000" w:themeColor="text1"/>
                <w:sz w:val="21"/>
                <w:szCs w:val="21"/>
                <w:highlight w:val="none"/>
                <w:lang w:val="en-US" w:eastAsia="zh-CN"/>
                <w14:textFill>
                  <w14:solidFill>
                    <w14:schemeClr w14:val="tx1"/>
                  </w14:solidFill>
                </w14:textFill>
              </w:rPr>
              <w:t>住房和</w:t>
            </w:r>
            <w:r>
              <w:rPr>
                <w:rFonts w:hint="eastAsia" w:ascii="宋体" w:hAnsi="宋体" w:cs="宋体"/>
                <w:color w:val="000000" w:themeColor="text1"/>
                <w:sz w:val="21"/>
                <w:szCs w:val="21"/>
                <w:highlight w:val="none"/>
                <w14:textFill>
                  <w14:solidFill>
                    <w14:schemeClr w14:val="tx1"/>
                  </w14:solidFill>
                </w14:textFill>
              </w:rPr>
              <w:t>建设局另行通知</w:t>
            </w:r>
            <w:r>
              <w:rPr>
                <w:rFonts w:hint="eastAsia" w:ascii="宋体" w:hAnsi="宋体"/>
                <w:color w:val="000000" w:themeColor="text1"/>
                <w:sz w:val="21"/>
                <w:szCs w:val="21"/>
                <w:highlight w:val="none"/>
                <w14:textFill>
                  <w14:solidFill>
                    <w14:schemeClr w14:val="tx1"/>
                  </w14:solidFill>
                </w14:textFill>
              </w:rPr>
              <w:t>，未明确应用前各投标人企业信用评分值按满足要求（或满分）确定</w:t>
            </w:r>
            <w:r>
              <w:rPr>
                <w:rFonts w:hint="eastAsia" w:ascii="宋体" w:hAnsi="宋体" w:cs="宋体"/>
                <w:color w:val="000000" w:themeColor="text1"/>
                <w:sz w:val="21"/>
                <w:szCs w:val="21"/>
                <w:highlight w:val="none"/>
                <w14:textFill>
                  <w14:solidFill>
                    <w14:schemeClr w14:val="tx1"/>
                  </w14:solidFill>
                </w14:textFill>
              </w:rPr>
              <w:t>。</w:t>
            </w:r>
          </w:p>
          <w:p w14:paraId="3503B7C1">
            <w:pPr>
              <w:pStyle w:val="40"/>
              <w:spacing w:after="0" w:line="300" w:lineRule="auto"/>
              <w:ind w:left="0" w:leftChars="0"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以联合体参与投标的，按联合体牵头人信用得分确定。</w:t>
            </w:r>
          </w:p>
        </w:tc>
      </w:tr>
      <w:tr w14:paraId="09A76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10" w:type="dxa"/>
            <w:tcBorders>
              <w:tl2br w:val="nil"/>
              <w:tr2bl w:val="nil"/>
            </w:tcBorders>
            <w:vAlign w:val="center"/>
          </w:tcPr>
          <w:p w14:paraId="58D8F8BF">
            <w:pPr>
              <w:spacing w:line="30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2126" w:type="dxa"/>
            <w:tcBorders>
              <w:tl2br w:val="nil"/>
              <w:tr2bl w:val="nil"/>
            </w:tcBorders>
            <w:vAlign w:val="center"/>
          </w:tcPr>
          <w:p w14:paraId="105442BE">
            <w:pPr>
              <w:spacing w:line="300" w:lineRule="auto"/>
              <w:jc w:val="center"/>
              <w:rPr>
                <w:rFonts w:ascii="宋体" w:hAnsi="宋体" w:cs="黑体"/>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其他</w:t>
            </w:r>
          </w:p>
        </w:tc>
        <w:tc>
          <w:tcPr>
            <w:tcW w:w="6662" w:type="dxa"/>
            <w:tcBorders>
              <w:tl2br w:val="nil"/>
              <w:tr2bl w:val="nil"/>
            </w:tcBorders>
            <w:vAlign w:val="center"/>
          </w:tcPr>
          <w:p w14:paraId="0DBF3382">
            <w:pPr>
              <w:pStyle w:val="57"/>
              <w:spacing w:line="300" w:lineRule="auto"/>
              <w:ind w:firstLine="420" w:firstLineChars="200"/>
              <w:textAlignment w:val="baseline"/>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具备合格有效的企业法人营业执照。</w:t>
            </w:r>
          </w:p>
          <w:p w14:paraId="162A0AE8">
            <w:pPr>
              <w:spacing w:line="30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土工实验室设立要求：</w:t>
            </w:r>
            <w:r>
              <w:rPr>
                <w:rFonts w:hint="eastAsia" w:ascii="宋体" w:hAnsi="宋体"/>
                <w:color w:val="000000" w:themeColor="text1"/>
                <w:sz w:val="21"/>
                <w:szCs w:val="21"/>
                <w:highlight w:val="none"/>
                <w:u w:val="single"/>
                <w14:textFill>
                  <w14:solidFill>
                    <w14:schemeClr w14:val="tx1"/>
                  </w14:solidFill>
                </w14:textFill>
              </w:rPr>
              <w:t xml:space="preserve">                                  </w:t>
            </w:r>
          </w:p>
          <w:p w14:paraId="45A6C742">
            <w:pPr>
              <w:spacing w:line="300" w:lineRule="auto"/>
              <w:jc w:val="left"/>
              <w:rPr>
                <w:rFonts w:ascii="宋体" w:hAnsi="宋体" w:cs="瀹嬩綋"/>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5A390A0E">
            <w:pPr>
              <w:spacing w:line="30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14:textFill>
                  <w14:solidFill>
                    <w14:schemeClr w14:val="tx1"/>
                  </w14:solidFill>
                </w14:textFill>
              </w:rPr>
              <w:t>3</w:t>
            </w:r>
            <w:r>
              <w:rPr>
                <w:rFonts w:hint="eastAsia" w:ascii="宋体" w:hAnsi="宋体" w:cs="瀹嬩綋"/>
                <w:color w:val="000000" w:themeColor="text1"/>
                <w:sz w:val="21"/>
                <w:szCs w:val="21"/>
                <w:highlight w:val="none"/>
                <w:lang w:val="en-US" w:eastAsia="zh-CN"/>
                <w14:textFill>
                  <w14:solidFill>
                    <w14:schemeClr w14:val="tx1"/>
                  </w14:solidFill>
                </w14:textFill>
              </w:rPr>
              <w:t>.</w:t>
            </w:r>
            <w:r>
              <w:rPr>
                <w:rFonts w:hint="eastAsia" w:ascii="宋体" w:hAnsi="宋体" w:cs="瀹嬩綋"/>
                <w:color w:val="000000" w:themeColor="text1"/>
                <w:sz w:val="21"/>
                <w:szCs w:val="21"/>
                <w:highlight w:val="none"/>
                <w:u w:val="single"/>
                <w14:textFill>
                  <w14:solidFill>
                    <w14:schemeClr w14:val="tx1"/>
                  </w14:solidFill>
                </w14:textFill>
              </w:rPr>
              <w:t xml:space="preserve">   ……                                               </w:t>
            </w:r>
          </w:p>
        </w:tc>
      </w:tr>
    </w:tbl>
    <w:p w14:paraId="3E7108F7">
      <w:pPr>
        <w:jc w:val="left"/>
        <w:rPr>
          <w:rFonts w:ascii="宋体" w:hAnsi="宋体"/>
          <w:b/>
          <w:bCs/>
          <w:color w:val="000000" w:themeColor="text1"/>
          <w:sz w:val="21"/>
          <w:szCs w:val="21"/>
          <w:highlight w:val="none"/>
          <w14:textFill>
            <w14:solidFill>
              <w14:schemeClr w14:val="tx1"/>
            </w14:solidFill>
          </w14:textFill>
        </w:rPr>
      </w:pPr>
    </w:p>
    <w:p w14:paraId="7B968DDE">
      <w:pPr>
        <w:jc w:val="left"/>
        <w:rPr>
          <w:rFonts w:ascii="宋体" w:hAnsi="宋体"/>
          <w:b/>
          <w:bCs/>
          <w:color w:val="000000" w:themeColor="text1"/>
          <w:sz w:val="21"/>
          <w:szCs w:val="21"/>
          <w:highlight w:val="none"/>
          <w14:textFill>
            <w14:solidFill>
              <w14:schemeClr w14:val="tx1"/>
            </w14:solidFill>
          </w14:textFill>
        </w:rPr>
      </w:pPr>
    </w:p>
    <w:p w14:paraId="2B1AF29B">
      <w:pPr>
        <w:jc w:val="left"/>
        <w:rPr>
          <w:rFonts w:ascii="宋体" w:hAnsi="宋体"/>
          <w:b/>
          <w:bCs/>
          <w:color w:val="000000" w:themeColor="text1"/>
          <w:sz w:val="21"/>
          <w:szCs w:val="21"/>
          <w:highlight w:val="none"/>
          <w14:textFill>
            <w14:solidFill>
              <w14:schemeClr w14:val="tx1"/>
            </w14:solidFill>
          </w14:textFill>
        </w:rPr>
      </w:pPr>
    </w:p>
    <w:p w14:paraId="3450BEA1">
      <w:pPr>
        <w:jc w:val="left"/>
        <w:rPr>
          <w:rFonts w:ascii="宋体" w:hAnsi="宋体"/>
          <w:b/>
          <w:bCs/>
          <w:color w:val="000000" w:themeColor="text1"/>
          <w:sz w:val="21"/>
          <w:szCs w:val="21"/>
          <w:highlight w:val="none"/>
          <w14:textFill>
            <w14:solidFill>
              <w14:schemeClr w14:val="tx1"/>
            </w14:solidFill>
          </w14:textFill>
        </w:rPr>
      </w:pPr>
    </w:p>
    <w:p w14:paraId="50720A02">
      <w:pPr>
        <w:jc w:val="left"/>
        <w:rPr>
          <w:rFonts w:ascii="宋体" w:hAnsi="宋体"/>
          <w:b/>
          <w:bCs/>
          <w:color w:val="000000" w:themeColor="text1"/>
          <w:sz w:val="21"/>
          <w:szCs w:val="21"/>
          <w:highlight w:val="none"/>
          <w14:textFill>
            <w14:solidFill>
              <w14:schemeClr w14:val="tx1"/>
            </w14:solidFill>
          </w14:textFill>
        </w:rPr>
      </w:pPr>
    </w:p>
    <w:p w14:paraId="7FA6B022">
      <w:pPr>
        <w:jc w:val="left"/>
        <w:rPr>
          <w:rFonts w:ascii="宋体" w:hAnsi="宋体"/>
          <w:b/>
          <w:bCs/>
          <w:color w:val="000000" w:themeColor="text1"/>
          <w:sz w:val="21"/>
          <w:szCs w:val="21"/>
          <w:highlight w:val="none"/>
          <w14:textFill>
            <w14:solidFill>
              <w14:schemeClr w14:val="tx1"/>
            </w14:solidFill>
          </w14:textFill>
        </w:rPr>
      </w:pPr>
    </w:p>
    <w:p w14:paraId="52B80A77">
      <w:pPr>
        <w:jc w:val="left"/>
        <w:rPr>
          <w:rFonts w:ascii="宋体" w:hAnsi="宋体"/>
          <w:b/>
          <w:bCs/>
          <w:color w:val="000000" w:themeColor="text1"/>
          <w:sz w:val="21"/>
          <w:szCs w:val="21"/>
          <w:highlight w:val="none"/>
          <w14:textFill>
            <w14:solidFill>
              <w14:schemeClr w14:val="tx1"/>
            </w14:solidFill>
          </w14:textFill>
        </w:rPr>
      </w:pPr>
    </w:p>
    <w:p w14:paraId="6B457920">
      <w:pPr>
        <w:jc w:val="left"/>
        <w:rPr>
          <w:rFonts w:ascii="宋体" w:hAnsi="宋体"/>
          <w:b/>
          <w:bCs/>
          <w:color w:val="000000" w:themeColor="text1"/>
          <w:sz w:val="21"/>
          <w:szCs w:val="21"/>
          <w:highlight w:val="none"/>
          <w14:textFill>
            <w14:solidFill>
              <w14:schemeClr w14:val="tx1"/>
            </w14:solidFill>
          </w14:textFill>
        </w:rPr>
      </w:pPr>
    </w:p>
    <w:p w14:paraId="74FF299E">
      <w:pPr>
        <w:jc w:val="left"/>
        <w:rPr>
          <w:rFonts w:ascii="宋体" w:hAnsi="宋体"/>
          <w:b/>
          <w:bCs/>
          <w:color w:val="000000" w:themeColor="text1"/>
          <w:sz w:val="21"/>
          <w:szCs w:val="21"/>
          <w:highlight w:val="none"/>
          <w14:textFill>
            <w14:solidFill>
              <w14:schemeClr w14:val="tx1"/>
            </w14:solidFill>
          </w14:textFill>
        </w:rPr>
      </w:pPr>
    </w:p>
    <w:p w14:paraId="680140CB">
      <w:pPr>
        <w:pStyle w:val="4"/>
        <w:tabs>
          <w:tab w:val="left" w:pos="0"/>
        </w:tabs>
        <w:spacing w:before="0" w:after="0" w:line="360" w:lineRule="auto"/>
        <w:jc w:val="center"/>
        <w:rPr>
          <w:rFonts w:ascii="黑体" w:hAnsi="黑体" w:eastAsia="黑体"/>
          <w:b w:val="0"/>
          <w:color w:val="000000" w:themeColor="text1"/>
          <w:sz w:val="28"/>
          <w:szCs w:val="28"/>
          <w:highlight w:val="none"/>
          <w14:textFill>
            <w14:solidFill>
              <w14:schemeClr w14:val="tx1"/>
            </w14:solidFill>
          </w14:textFill>
        </w:rPr>
      </w:pPr>
      <w:bookmarkStart w:id="97" w:name="_Toc16731"/>
      <w:bookmarkStart w:id="98" w:name="_Toc25048"/>
      <w:bookmarkStart w:id="99" w:name="_Toc1930"/>
      <w:bookmarkStart w:id="100" w:name="_Toc11582"/>
      <w:bookmarkStart w:id="101" w:name="_Toc26734"/>
      <w:bookmarkStart w:id="102" w:name="_Toc516753475"/>
      <w:bookmarkStart w:id="103" w:name="_Toc300038923"/>
      <w:r>
        <w:rPr>
          <w:rFonts w:hint="eastAsia" w:ascii="黑体" w:hAnsi="黑体" w:eastAsia="黑体"/>
          <w:b w:val="0"/>
          <w:color w:val="000000" w:themeColor="text1"/>
          <w:sz w:val="28"/>
          <w:szCs w:val="28"/>
          <w:highlight w:val="none"/>
          <w14:textFill>
            <w14:solidFill>
              <w14:schemeClr w14:val="tx1"/>
            </w14:solidFill>
          </w14:textFill>
        </w:rPr>
        <w:t>投标人须知正文</w:t>
      </w:r>
      <w:bookmarkEnd w:id="97"/>
      <w:bookmarkEnd w:id="98"/>
      <w:bookmarkEnd w:id="99"/>
    </w:p>
    <w:p w14:paraId="48C88A9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04" w:name="_Toc18091"/>
      <w:bookmarkStart w:id="105" w:name="_Toc19001"/>
      <w:bookmarkStart w:id="106" w:name="_Toc30772"/>
      <w:r>
        <w:rPr>
          <w:rFonts w:hint="eastAsia" w:ascii="黑体" w:hAnsi="黑体" w:eastAsia="黑体"/>
          <w:b w:val="0"/>
          <w:color w:val="000000" w:themeColor="text1"/>
          <w:sz w:val="28"/>
          <w:szCs w:val="28"/>
          <w:highlight w:val="none"/>
          <w14:textFill>
            <w14:solidFill>
              <w14:schemeClr w14:val="tx1"/>
            </w14:solidFill>
          </w14:textFill>
        </w:rPr>
        <w:t>1.总则</w:t>
      </w:r>
      <w:bookmarkEnd w:id="100"/>
      <w:bookmarkEnd w:id="101"/>
      <w:bookmarkEnd w:id="102"/>
      <w:bookmarkEnd w:id="103"/>
      <w:bookmarkEnd w:id="104"/>
      <w:bookmarkEnd w:id="105"/>
      <w:bookmarkEnd w:id="106"/>
    </w:p>
    <w:p w14:paraId="21D44B4D">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07" w:name="_Toc29345"/>
      <w:bookmarkStart w:id="108" w:name="_Toc2284"/>
      <w:bookmarkStart w:id="109" w:name="_Toc12842"/>
      <w:r>
        <w:rPr>
          <w:rFonts w:hint="eastAsia" w:ascii="黑体" w:hAnsi="黑体" w:eastAsia="黑体"/>
          <w:b w:val="0"/>
          <w:color w:val="000000" w:themeColor="text1"/>
          <w:sz w:val="28"/>
          <w:szCs w:val="28"/>
          <w:highlight w:val="none"/>
          <w14:textFill>
            <w14:solidFill>
              <w14:schemeClr w14:val="tx1"/>
            </w14:solidFill>
          </w14:textFill>
        </w:rPr>
        <w:t>1.1.招标项目概况</w:t>
      </w:r>
      <w:bookmarkEnd w:id="107"/>
      <w:bookmarkEnd w:id="108"/>
      <w:bookmarkEnd w:id="109"/>
    </w:p>
    <w:p w14:paraId="4195468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1.1.1.招标人和其委托的招标代理机构：见投标人须知前附表。</w:t>
      </w:r>
    </w:p>
    <w:p w14:paraId="71C358E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1.1.2.招标项目名称、报建编号和招标编号：见投标人须知前附表。</w:t>
      </w:r>
    </w:p>
    <w:p w14:paraId="0679C6A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1.1.3.招标项目的建设地点：见投标人须知前附表。</w:t>
      </w:r>
    </w:p>
    <w:p w14:paraId="3D35051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1.1.4.招标项目的工程建设规模：见投标人须知前附表。</w:t>
      </w:r>
    </w:p>
    <w:p w14:paraId="14F0231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0" w:name="_Toc7518"/>
      <w:bookmarkStart w:id="111" w:name="_Toc22752"/>
      <w:bookmarkStart w:id="112" w:name="_Toc27100"/>
      <w:r>
        <w:rPr>
          <w:rFonts w:hint="eastAsia" w:ascii="黑体" w:hAnsi="黑体" w:eastAsia="黑体"/>
          <w:b w:val="0"/>
          <w:color w:val="000000" w:themeColor="text1"/>
          <w:sz w:val="28"/>
          <w:szCs w:val="28"/>
          <w:highlight w:val="none"/>
          <w14:textFill>
            <w14:solidFill>
              <w14:schemeClr w14:val="tx1"/>
            </w14:solidFill>
          </w14:textFill>
        </w:rPr>
        <w:t>1.2.</w:t>
      </w:r>
      <w:r>
        <w:rPr>
          <w:rFonts w:ascii="黑体" w:hAnsi="黑体" w:eastAsia="黑体"/>
          <w:b w:val="0"/>
          <w:color w:val="000000" w:themeColor="text1"/>
          <w:sz w:val="28"/>
          <w:szCs w:val="28"/>
          <w:highlight w:val="none"/>
          <w14:textFill>
            <w14:solidFill>
              <w14:schemeClr w14:val="tx1"/>
            </w14:solidFill>
          </w14:textFill>
        </w:rPr>
        <w:t>招标项目的资金来源和落实情况</w:t>
      </w:r>
      <w:bookmarkEnd w:id="110"/>
      <w:bookmarkEnd w:id="111"/>
      <w:bookmarkEnd w:id="112"/>
    </w:p>
    <w:p w14:paraId="098D3278">
      <w:pPr>
        <w:pStyle w:val="13"/>
        <w:tabs>
          <w:tab w:val="left" w:pos="567"/>
          <w:tab w:val="left" w:pos="1000"/>
        </w:tabs>
        <w:snapToGrid w:val="0"/>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资金来源和落实情况：见投标人须知前附表。</w:t>
      </w:r>
    </w:p>
    <w:p w14:paraId="5D679AA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3" w:name="_Toc15214"/>
      <w:bookmarkStart w:id="114" w:name="_Toc6423"/>
      <w:bookmarkStart w:id="115" w:name="_Toc13749"/>
      <w:r>
        <w:rPr>
          <w:rFonts w:hint="eastAsia" w:ascii="黑体" w:hAnsi="黑体" w:eastAsia="黑体"/>
          <w:b w:val="0"/>
          <w:color w:val="000000" w:themeColor="text1"/>
          <w:sz w:val="28"/>
          <w:szCs w:val="28"/>
          <w:highlight w:val="none"/>
          <w14:textFill>
            <w14:solidFill>
              <w14:schemeClr w14:val="tx1"/>
            </w14:solidFill>
          </w14:textFill>
        </w:rPr>
        <w:t>1.3.</w:t>
      </w:r>
      <w:r>
        <w:rPr>
          <w:rFonts w:ascii="黑体" w:hAnsi="黑体" w:eastAsia="黑体"/>
          <w:b w:val="0"/>
          <w:color w:val="000000" w:themeColor="text1"/>
          <w:sz w:val="28"/>
          <w:szCs w:val="28"/>
          <w:highlight w:val="none"/>
          <w14:textFill>
            <w14:solidFill>
              <w14:schemeClr w14:val="tx1"/>
            </w14:solidFill>
          </w14:textFill>
        </w:rPr>
        <w:t>招标范围</w:t>
      </w:r>
      <w:r>
        <w:rPr>
          <w:rFonts w:hint="eastAsia" w:ascii="黑体" w:hAnsi="黑体" w:eastAsia="黑体"/>
          <w:b w:val="0"/>
          <w:color w:val="000000" w:themeColor="text1"/>
          <w:sz w:val="28"/>
          <w:szCs w:val="28"/>
          <w:highlight w:val="none"/>
          <w14:textFill>
            <w14:solidFill>
              <w14:schemeClr w14:val="tx1"/>
            </w14:solidFill>
          </w14:textFill>
        </w:rPr>
        <w:t>与内容</w:t>
      </w:r>
      <w:r>
        <w:rPr>
          <w:rFonts w:ascii="黑体" w:hAnsi="黑体" w:eastAsia="黑体"/>
          <w:b w:val="0"/>
          <w:color w:val="000000" w:themeColor="text1"/>
          <w:sz w:val="28"/>
          <w:szCs w:val="28"/>
          <w:highlight w:val="none"/>
          <w14:textFill>
            <w14:solidFill>
              <w14:schemeClr w14:val="tx1"/>
            </w14:solidFill>
          </w14:textFill>
        </w:rPr>
        <w:t>、设计</w:t>
      </w:r>
      <w:r>
        <w:rPr>
          <w:rFonts w:hint="eastAsia" w:ascii="黑体" w:hAnsi="黑体" w:eastAsia="黑体"/>
          <w:b w:val="0"/>
          <w:color w:val="000000" w:themeColor="text1"/>
          <w:sz w:val="28"/>
          <w:szCs w:val="28"/>
          <w:highlight w:val="none"/>
          <w14:textFill>
            <w14:solidFill>
              <w14:schemeClr w14:val="tx1"/>
            </w14:solidFill>
          </w14:textFill>
        </w:rPr>
        <w:t>（勘察）</w:t>
      </w:r>
      <w:r>
        <w:rPr>
          <w:rFonts w:ascii="黑体" w:hAnsi="黑体" w:eastAsia="黑体"/>
          <w:b w:val="0"/>
          <w:color w:val="000000" w:themeColor="text1"/>
          <w:sz w:val="28"/>
          <w:szCs w:val="28"/>
          <w:highlight w:val="none"/>
          <w14:textFill>
            <w14:solidFill>
              <w14:schemeClr w14:val="tx1"/>
            </w14:solidFill>
          </w14:textFill>
        </w:rPr>
        <w:t>服务期限和质量标准</w:t>
      </w:r>
      <w:bookmarkEnd w:id="113"/>
      <w:bookmarkEnd w:id="114"/>
      <w:bookmarkEnd w:id="115"/>
    </w:p>
    <w:p w14:paraId="3D33C25F">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1.3.1.招标范围与内容：见投标人须知前附表。</w:t>
      </w:r>
    </w:p>
    <w:p w14:paraId="0558BCE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财政性投融资招标项目的投资批复或国有自筹资金招标项目的投资计划中应含BIM技术费用方可应用</w:t>
      </w:r>
      <w:r>
        <w:rPr>
          <w:rFonts w:hint="eastAsia" w:ascii="宋体" w:hAnsi="宋体"/>
          <w:color w:val="000000" w:themeColor="text1"/>
          <w:szCs w:val="21"/>
          <w:highlight w:val="none"/>
          <w14:textFill>
            <w14:solidFill>
              <w14:schemeClr w14:val="tx1"/>
            </w14:solidFill>
          </w14:textFill>
        </w:rPr>
        <w:t>建筑信息模型（</w:t>
      </w:r>
      <w:r>
        <w:rPr>
          <w:rFonts w:ascii="宋体" w:hAnsi="宋体"/>
          <w:color w:val="000000" w:themeColor="text1"/>
          <w:szCs w:val="21"/>
          <w:highlight w:val="none"/>
          <w14:textFill>
            <w14:solidFill>
              <w14:schemeClr w14:val="tx1"/>
            </w14:solidFill>
          </w14:textFill>
        </w:rPr>
        <w:t>BIM</w:t>
      </w:r>
      <w:r>
        <w:rPr>
          <w:rFonts w:hint="eastAsia" w:ascii="宋体" w:hAnsi="宋体"/>
          <w:color w:val="000000" w:themeColor="text1"/>
          <w:szCs w:val="21"/>
          <w:highlight w:val="none"/>
          <w14:textFill>
            <w14:solidFill>
              <w14:schemeClr w14:val="tx1"/>
            </w14:solidFill>
          </w14:textFill>
        </w:rPr>
        <w:t>）技术</w:t>
      </w:r>
      <w:r>
        <w:rPr>
          <w:rFonts w:hint="eastAsia" w:ascii="宋体" w:hAnsi="宋体" w:eastAsia="宋体"/>
          <w:color w:val="000000" w:themeColor="text1"/>
          <w:szCs w:val="21"/>
          <w:highlight w:val="none"/>
          <w14:textFill>
            <w14:solidFill>
              <w14:schemeClr w14:val="tx1"/>
            </w14:solidFill>
          </w14:textFill>
        </w:rPr>
        <w:t>。</w:t>
      </w:r>
    </w:p>
    <w:p w14:paraId="7D9D642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原则上应约定由中标人承担方案设计及后续阶段设计和服务工作。对于特殊项目，招标文件约定中标人仅承担方案设计的，则应采用招标的方式确定施工图设计的设计人。如招标人只要求中标人承担方案阶段设计，而不再委托中标人承接或参加后续阶段工程设计业务的，应说明支付中标人的设计费用。</w:t>
      </w:r>
    </w:p>
    <w:p w14:paraId="62542CB4">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1.3.2.标段划分：见投标人须知前附表。</w:t>
      </w:r>
    </w:p>
    <w:p w14:paraId="329261C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招标人对招标项目划分标段的，应当遵守招标投标法的有关规定，不得利用划分标段限制或者排斥潜在投标人。依法必须进行招标的项目的招标人不得利用划分标段规避招标。</w:t>
      </w:r>
    </w:p>
    <w:p w14:paraId="5F153E5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1.3.3.</w:t>
      </w:r>
      <w:r>
        <w:rPr>
          <w:rFonts w:ascii="宋体" w:hAnsi="宋体" w:eastAsia="宋体"/>
          <w:color w:val="000000" w:themeColor="text1"/>
          <w:szCs w:val="21"/>
          <w:highlight w:val="none"/>
          <w14:textFill>
            <w14:solidFill>
              <w14:schemeClr w14:val="tx1"/>
            </w14:solidFill>
          </w14:textFill>
        </w:rPr>
        <w:t>设计</w:t>
      </w:r>
      <w:r>
        <w:rPr>
          <w:rFonts w:hint="eastAsia" w:ascii="宋体" w:hAnsi="宋体" w:eastAsia="宋体"/>
          <w:color w:val="000000" w:themeColor="text1"/>
          <w:szCs w:val="21"/>
          <w:highlight w:val="none"/>
          <w14:textFill>
            <w14:solidFill>
              <w14:schemeClr w14:val="tx1"/>
            </w14:solidFill>
          </w14:textFill>
        </w:rPr>
        <w:t>（勘察）</w:t>
      </w:r>
      <w:r>
        <w:rPr>
          <w:rFonts w:ascii="宋体" w:hAnsi="宋体" w:eastAsia="宋体"/>
          <w:color w:val="000000" w:themeColor="text1"/>
          <w:szCs w:val="21"/>
          <w:highlight w:val="none"/>
          <w14:textFill>
            <w14:solidFill>
              <w14:schemeClr w14:val="tx1"/>
            </w14:solidFill>
          </w14:textFill>
        </w:rPr>
        <w:t>服务期限</w:t>
      </w:r>
      <w:r>
        <w:rPr>
          <w:rFonts w:hint="eastAsia" w:ascii="宋体" w:hAnsi="宋体" w:eastAsia="宋体"/>
          <w:color w:val="000000" w:themeColor="text1"/>
          <w:szCs w:val="21"/>
          <w:highlight w:val="none"/>
          <w14:textFill>
            <w14:solidFill>
              <w14:schemeClr w14:val="tx1"/>
            </w14:solidFill>
          </w14:textFill>
        </w:rPr>
        <w:t>：见投标人须知前附表。</w:t>
      </w:r>
    </w:p>
    <w:p w14:paraId="743A2DEF">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1.3.4.</w:t>
      </w:r>
      <w:r>
        <w:rPr>
          <w:rFonts w:ascii="宋体" w:hAnsi="宋体" w:eastAsia="宋体"/>
          <w:color w:val="000000" w:themeColor="text1"/>
          <w:szCs w:val="21"/>
          <w:highlight w:val="none"/>
          <w14:textFill>
            <w14:solidFill>
              <w14:schemeClr w14:val="tx1"/>
            </w14:solidFill>
          </w14:textFill>
        </w:rPr>
        <w:t>质量标准</w:t>
      </w:r>
      <w:r>
        <w:rPr>
          <w:rFonts w:hint="eastAsia" w:ascii="宋体" w:hAnsi="宋体" w:eastAsia="宋体"/>
          <w:color w:val="000000" w:themeColor="text1"/>
          <w:szCs w:val="21"/>
          <w:highlight w:val="none"/>
          <w14:textFill>
            <w14:solidFill>
              <w14:schemeClr w14:val="tx1"/>
            </w14:solidFill>
          </w14:textFill>
        </w:rPr>
        <w:t>：见投标人须知前附表。</w:t>
      </w:r>
    </w:p>
    <w:p w14:paraId="4120894B">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6" w:name="_Toc6351"/>
      <w:bookmarkStart w:id="117" w:name="_Toc15023"/>
      <w:bookmarkStart w:id="118" w:name="_Toc20042"/>
      <w:r>
        <w:rPr>
          <w:rFonts w:hint="eastAsia" w:ascii="黑体" w:hAnsi="黑体" w:eastAsia="黑体"/>
          <w:b w:val="0"/>
          <w:color w:val="000000" w:themeColor="text1"/>
          <w:sz w:val="28"/>
          <w:szCs w:val="28"/>
          <w:highlight w:val="none"/>
          <w14:textFill>
            <w14:solidFill>
              <w14:schemeClr w14:val="tx1"/>
            </w14:solidFill>
          </w14:textFill>
        </w:rPr>
        <w:t>1.4.资格审查方式</w:t>
      </w:r>
      <w:bookmarkEnd w:id="116"/>
      <w:bookmarkEnd w:id="117"/>
      <w:bookmarkEnd w:id="118"/>
    </w:p>
    <w:p w14:paraId="492E859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本招标项目招标人对投标人的资格审查方式</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见投标人须知前附表。</w:t>
      </w:r>
    </w:p>
    <w:p w14:paraId="589205A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9" w:name="_Toc25276"/>
      <w:bookmarkStart w:id="120" w:name="_Toc6096"/>
      <w:bookmarkStart w:id="121" w:name="_Toc20831"/>
      <w:r>
        <w:rPr>
          <w:rFonts w:hint="eastAsia" w:ascii="黑体" w:hAnsi="黑体" w:eastAsia="黑体"/>
          <w:b w:val="0"/>
          <w:color w:val="000000" w:themeColor="text1"/>
          <w:sz w:val="28"/>
          <w:szCs w:val="28"/>
          <w:highlight w:val="none"/>
          <w14:textFill>
            <w14:solidFill>
              <w14:schemeClr w14:val="tx1"/>
            </w14:solidFill>
          </w14:textFill>
        </w:rPr>
        <w:t>1.5.投标人资格条件要求</w:t>
      </w:r>
      <w:bookmarkEnd w:id="119"/>
      <w:bookmarkEnd w:id="120"/>
      <w:bookmarkEnd w:id="121"/>
    </w:p>
    <w:p w14:paraId="1BBAA46E">
      <w:pPr>
        <w:pStyle w:val="62"/>
        <w:numPr>
          <w:ilvl w:val="0"/>
          <w:numId w:val="1"/>
        </w:numPr>
        <w:tabs>
          <w:tab w:val="left" w:pos="567"/>
          <w:tab w:val="left" w:pos="1000"/>
        </w:tabs>
        <w:snapToGrid w:val="0"/>
        <w:spacing w:line="360" w:lineRule="auto"/>
        <w:ind w:firstLine="424" w:firstLineChars="202"/>
        <w:jc w:val="left"/>
        <w:rPr>
          <w:rFonts w:ascii="宋体" w:hAnsi="宋体" w:cs="宋体"/>
          <w:vanish/>
          <w:color w:val="000000" w:themeColor="text1"/>
          <w:sz w:val="21"/>
          <w:szCs w:val="21"/>
          <w:highlight w:val="none"/>
          <w:lang w:val="zh-CN"/>
          <w14:textFill>
            <w14:solidFill>
              <w14:schemeClr w14:val="tx1"/>
            </w14:solidFill>
          </w14:textFill>
        </w:rPr>
      </w:pPr>
    </w:p>
    <w:p w14:paraId="18CD36A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1.5.1.为履行本招标项目合同的目的，投标人必须是法人或其他组织，至少应具备下列主体资格：</w:t>
      </w:r>
    </w:p>
    <w:p w14:paraId="5CFA0C2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在中华人民共和国境内注册的企业，应当具有住房城乡建设主管部门颁发的相应设计资质证书，并按规定的等级和范围参加工程项目设计投标活动。本招标项目发包内容包含勘察的，还应具有相应的勘察资质。</w:t>
      </w:r>
    </w:p>
    <w:p w14:paraId="2342DDE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（2）注册在中华人民共和国境外的企业，应当是其所在国或者所在地区的设计行业协会或组织推荐的会员。其行业协会或组织的推荐名单应由建设单位确认。</w:t>
      </w:r>
    </w:p>
    <w:p w14:paraId="49C5F00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（3）各种形式的投标联合体各方应符合上述要求。招标人不得强制投标人组成联合体共同投标，不得限制投标人组成联合体参与投标。</w:t>
      </w:r>
    </w:p>
    <w:p w14:paraId="3388EE5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招标人根据工程项目实际情况，在投标人须知前附表中明确对合格投标人资格条件要求，包括投标人的资质条件、人员、业绩和信用等。发包内容包含勘察的，允许由具有设计、勘察资质的单位组成联合体参加投标，自愿组成联合体的应由具有设计资质的单位为联合体牵头人，且各方均应具备其所承担招标项目工作内容的相应资质条件。</w:t>
      </w:r>
    </w:p>
    <w:p w14:paraId="1DE5F57E">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1.5.2.为具有被授予合同的资格，投标人应按照招标文件第七章投标文件格式规定的资格审查文件内容和格式要求（包括脚注要求和说明）提供资格文件，以证明其符合投标合格条件和具有履行合同的能力。为此，所提交的投标文件中应包括第1.5.1款和前附表所列的资质条件、人员、业绩和信用等审查资料。</w:t>
      </w:r>
    </w:p>
    <w:p w14:paraId="7AC7192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1.5.3.投标人须知前附表规定接受联合体投标时，除按本须知第1.5.1、1.5.2款提供组成联合体每一成员的资料外，还应符合以下规定要求：</w:t>
      </w:r>
    </w:p>
    <w:p w14:paraId="554A9B2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联合体各方应按招标文件提供的格式签订联合体协议书，明确联合体牵头人和各方权利义务，并承诺就中标项目向招标人承担连带责任。联合体牵头人代表所有联合体成员承担责任和接受指令。并且由联合体牵头人负责整个合同的全面实施，包括只有牵头人可以支付费用等。</w:t>
      </w:r>
    </w:p>
    <w:p w14:paraId="649511FF">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（2）由同一专业的单位组成的联合体，按照资质等级较低的单位确定资质等级。</w:t>
      </w:r>
    </w:p>
    <w:p w14:paraId="775468F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（3）联合体各方不得再以自己名义单独或参加其他联合体在同一标段中投标，否则各相关投标均无效。</w:t>
      </w:r>
    </w:p>
    <w:p w14:paraId="35CFD75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联合体各方应分别按照本招标文件的要求，填写及签署投标文件中的相应表格，并由联合体牵头人负责对联合体各成员的资料进行统一汇总后一并提交给招标人；联合体牵头人所提交的投标文件应认为已代表了联合体各成员的真实情况。</w:t>
      </w:r>
    </w:p>
    <w:p w14:paraId="3397848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（5）尽管委任了联合体牵头人，但联合体各成员在投标、签订合同与履行合同过程中，仍负有连带的和各自的法律责任。</w:t>
      </w:r>
    </w:p>
    <w:p w14:paraId="796BFD2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1.5.4.投标人（包括联合体成员）不得存在下列情形之一：</w:t>
      </w:r>
    </w:p>
    <w:p w14:paraId="68E12D2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（1）为招标人不具有独立法人资格的附属机构（单位）；</w:t>
      </w:r>
    </w:p>
    <w:p w14:paraId="40CA47C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（2）与招标人存在利害关系且可能影响招标公正性；</w:t>
      </w:r>
    </w:p>
    <w:p w14:paraId="4AC3119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（3）与本招标项目的其他投标人为同一个单位负责人；</w:t>
      </w:r>
    </w:p>
    <w:p w14:paraId="32EA319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（4）与本招标项目的其他投标人存在控股、管理关系；</w:t>
      </w:r>
    </w:p>
    <w:p w14:paraId="63BF4C4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（5）为本招标项目的代建人；</w:t>
      </w:r>
    </w:p>
    <w:p w14:paraId="1604D50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（6）为本招标项目的招标代理机构；</w:t>
      </w:r>
    </w:p>
    <w:p w14:paraId="3610919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（7）与本招标项目的代建人或招标代理机构同为一个法定代表人；</w:t>
      </w:r>
    </w:p>
    <w:p w14:paraId="5C8D832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（8）与本招标项目的代建人或招标代理机构存在控股或参股关系；</w:t>
      </w:r>
    </w:p>
    <w:p w14:paraId="0C2D1E5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（9）被依法暂停或取消投标资格；</w:t>
      </w:r>
    </w:p>
    <w:p w14:paraId="3B42414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（10）被责令停产停业、暂扣或者吊销许可证、暂扣或者吊销执照；</w:t>
      </w:r>
    </w:p>
    <w:p w14:paraId="15DD8F3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（11）进入清算程序，或被宣告破产，或其他丧失履约能力的情形；</w:t>
      </w:r>
    </w:p>
    <w:p w14:paraId="0E2D1B5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（12）在最近三年内发生重大设计质量问题（以相关行业主管部门的行政处罚决定或司法机关出具的有关法律文书为准）；</w:t>
      </w:r>
    </w:p>
    <w:p w14:paraId="60D9DF6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（13）被</w:t>
      </w:r>
      <w:r>
        <w:rPr>
          <w:rFonts w:hint="eastAsia" w:ascii="宋体" w:hAnsi="宋体" w:eastAsia="宋体" w:cs="宋体"/>
          <w:b w:val="0"/>
          <w:bCs/>
          <w:color w:val="000000" w:themeColor="text1"/>
          <w:sz w:val="21"/>
          <w:szCs w:val="21"/>
          <w:highlight w:val="none"/>
          <w:u w:val="none"/>
          <w14:textFill>
            <w14:solidFill>
              <w14:schemeClr w14:val="tx1"/>
            </w14:solidFill>
          </w14:textFill>
        </w:rPr>
        <w:t>市场监督管理部门</w:t>
      </w:r>
      <w:r>
        <w:rPr>
          <w:rFonts w:hint="eastAsia" w:ascii="宋体" w:hAnsi="宋体" w:eastAsia="宋体"/>
          <w:color w:val="000000" w:themeColor="text1"/>
          <w:szCs w:val="21"/>
          <w:highlight w:val="none"/>
          <w14:textFill>
            <w14:solidFill>
              <w14:schemeClr w14:val="tx1"/>
            </w14:solidFill>
          </w14:textFill>
        </w:rPr>
        <w:t>在国家企业信用信息公示系统中列入严重违法失信名单（不包括分支机构）；</w:t>
      </w:r>
    </w:p>
    <w:p w14:paraId="3A62FEB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（14）被最高人民法院在“信用中国”网站（www.creditchina.gov.cn）或各级信用信息共享平台中列入失信被执行人名单（不包括分支机构）；</w:t>
      </w:r>
      <w:r>
        <w:rPr>
          <w:rFonts w:hint="eastAsia" w:ascii="宋体" w:hAnsi="宋体" w:eastAsia="宋体"/>
          <w:color w:val="000000" w:themeColor="text1"/>
          <w:szCs w:val="21"/>
          <w:highlight w:val="none"/>
          <w:lang w:val="en-US" w:eastAsia="zh-CN"/>
          <w14:textFill>
            <w14:solidFill>
              <w14:schemeClr w14:val="tx1"/>
            </w14:solidFill>
          </w14:textFill>
        </w:rPr>
        <w:t>人民法院裁定批准重整计划、认可和解协议的除外；</w:t>
      </w:r>
    </w:p>
    <w:p w14:paraId="536394A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（15）在近三年内投标人（不包括分支机构）或其法定代表人、拟委任的项目负责人有行贿犯罪行为的（以“中国裁判文书网”网址：http</w:t>
      </w:r>
      <w:r>
        <w:rPr>
          <w:rFonts w:ascii="宋体" w:hAnsi="宋体" w:eastAsia="宋体"/>
          <w:color w:val="000000" w:themeColor="text1"/>
          <w:szCs w:val="21"/>
          <w:highlight w:val="none"/>
          <w14:textFill>
            <w14:solidFill>
              <w14:schemeClr w14:val="tx1"/>
            </w14:solidFill>
          </w14:textFill>
        </w:rPr>
        <w:t>://wenshu.court. gov.cn/</w:t>
      </w:r>
      <w:r>
        <w:rPr>
          <w:rFonts w:hint="eastAsia" w:ascii="宋体" w:hAnsi="宋体" w:eastAsia="宋体"/>
          <w:color w:val="000000" w:themeColor="text1"/>
          <w:szCs w:val="21"/>
          <w:highlight w:val="none"/>
          <w14:textFill>
            <w14:solidFill>
              <w14:schemeClr w14:val="tx1"/>
            </w14:solidFill>
          </w14:textFill>
        </w:rPr>
        <w:t>的查询结果为准）；</w:t>
      </w:r>
    </w:p>
    <w:p w14:paraId="0D855BE4">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16</w:t>
      </w:r>
      <w:r>
        <w:rPr>
          <w:rFonts w:hint="eastAsia" w:ascii="宋体" w:hAnsi="宋体" w:eastAsia="宋体"/>
          <w:color w:val="000000" w:themeColor="text1"/>
          <w:szCs w:val="21"/>
          <w:highlight w:val="none"/>
          <w14:textFill>
            <w14:solidFill>
              <w14:schemeClr w14:val="tx1"/>
            </w14:solidFill>
          </w14:textFill>
        </w:rPr>
        <w:t>）采取挂靠等非法手段，以多个投标人名义进行围标的；</w:t>
      </w:r>
    </w:p>
    <w:p w14:paraId="428E8E5C">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17</w:t>
      </w:r>
      <w:r>
        <w:rPr>
          <w:rFonts w:hint="eastAsia" w:ascii="宋体" w:hAnsi="宋体" w:eastAsia="宋体"/>
          <w:color w:val="000000" w:themeColor="text1"/>
          <w:szCs w:val="21"/>
          <w:highlight w:val="none"/>
          <w14:textFill>
            <w14:solidFill>
              <w14:schemeClr w14:val="tx1"/>
            </w14:solidFill>
          </w14:textFill>
        </w:rPr>
        <w:t xml:space="preserve">）采取借用多家企业资质参与投标的手段进行围标的； </w:t>
      </w:r>
    </w:p>
    <w:p w14:paraId="50E2B96C">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）投标人之间约定中标人或者约定部分投标人放弃投标的；</w:t>
      </w:r>
    </w:p>
    <w:p w14:paraId="413595D0">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9</w:t>
      </w:r>
      <w:r>
        <w:rPr>
          <w:rFonts w:hint="eastAsia" w:ascii="宋体" w:hAnsi="宋体" w:eastAsia="宋体"/>
          <w:color w:val="000000" w:themeColor="text1"/>
          <w:szCs w:val="21"/>
          <w:highlight w:val="none"/>
          <w14:textFill>
            <w14:solidFill>
              <w14:schemeClr w14:val="tx1"/>
            </w14:solidFill>
          </w14:textFill>
        </w:rPr>
        <w:t>）投标人之间相互约定给予未中标的投标人费用补偿的；</w:t>
      </w:r>
    </w:p>
    <w:p w14:paraId="44E843F1">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20</w:t>
      </w:r>
      <w:r>
        <w:rPr>
          <w:rFonts w:hint="eastAsia" w:ascii="宋体" w:hAnsi="宋体" w:eastAsia="宋体"/>
          <w:color w:val="000000" w:themeColor="text1"/>
          <w:szCs w:val="21"/>
          <w:highlight w:val="none"/>
          <w14:textFill>
            <w14:solidFill>
              <w14:schemeClr w14:val="tx1"/>
            </w14:solidFill>
          </w14:textFill>
        </w:rPr>
        <w:t>）不同投标人的投标文件存在异常一致；</w:t>
      </w:r>
    </w:p>
    <w:p w14:paraId="79678778">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21</w:t>
      </w:r>
      <w:r>
        <w:rPr>
          <w:rFonts w:hint="eastAsia" w:ascii="宋体" w:hAnsi="宋体" w:eastAsia="宋体"/>
          <w:color w:val="000000" w:themeColor="text1"/>
          <w:szCs w:val="21"/>
          <w:highlight w:val="none"/>
          <w14:textFill>
            <w14:solidFill>
              <w14:schemeClr w14:val="tx1"/>
            </w14:solidFill>
          </w14:textFill>
        </w:rPr>
        <w:t>）不同投标人的投标文件由同一单位或者同一个人编制的；</w:t>
      </w:r>
    </w:p>
    <w:p w14:paraId="5B5A9115">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22</w:t>
      </w:r>
      <w:r>
        <w:rPr>
          <w:rFonts w:hint="eastAsia" w:ascii="宋体" w:hAnsi="宋体" w:eastAsia="宋体"/>
          <w:color w:val="000000" w:themeColor="text1"/>
          <w:szCs w:val="21"/>
          <w:highlight w:val="none"/>
          <w14:textFill>
            <w14:solidFill>
              <w14:schemeClr w14:val="tx1"/>
            </w14:solidFill>
          </w14:textFill>
        </w:rPr>
        <w:t>）在资格审查或开标时，不同投标人的投标资料（包括电子资料）相互混装的；</w:t>
      </w:r>
    </w:p>
    <w:p w14:paraId="39468F99">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23</w:t>
      </w:r>
      <w:r>
        <w:rPr>
          <w:rFonts w:hint="eastAsia" w:ascii="宋体" w:hAnsi="宋体" w:eastAsia="宋体"/>
          <w:color w:val="000000" w:themeColor="text1"/>
          <w:szCs w:val="21"/>
          <w:highlight w:val="none"/>
          <w14:textFill>
            <w14:solidFill>
              <w14:schemeClr w14:val="tx1"/>
            </w14:solidFill>
          </w14:textFill>
        </w:rPr>
        <w:t>）不同投标人的投标保证金来自于同一企业或个人账户；或不同投标人的投标保函由同一单位或个人办理的；</w:t>
      </w:r>
    </w:p>
    <w:p w14:paraId="450A3E57">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24</w:t>
      </w:r>
      <w:r>
        <w:rPr>
          <w:rFonts w:hint="eastAsia" w:ascii="宋体" w:hAnsi="宋体" w:eastAsia="宋体"/>
          <w:color w:val="000000" w:themeColor="text1"/>
          <w:szCs w:val="21"/>
          <w:highlight w:val="none"/>
          <w14:textFill>
            <w14:solidFill>
              <w14:schemeClr w14:val="tx1"/>
            </w14:solidFill>
          </w14:textFill>
        </w:rPr>
        <w:t>）法律法规或投标人须知前附表规定的其他情形。</w:t>
      </w:r>
    </w:p>
    <w:p w14:paraId="5A13A365">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22" w:name="_Toc29196"/>
      <w:bookmarkStart w:id="123" w:name="_Toc300038927"/>
      <w:bookmarkStart w:id="124" w:name="_Toc2700"/>
      <w:bookmarkStart w:id="125" w:name="_Toc516753479"/>
      <w:bookmarkStart w:id="126" w:name="_Toc24083"/>
      <w:bookmarkStart w:id="127" w:name="_Toc19253"/>
      <w:bookmarkStart w:id="128" w:name="_Toc31264"/>
      <w:r>
        <w:rPr>
          <w:rFonts w:hint="eastAsia" w:ascii="黑体" w:hAnsi="黑体" w:eastAsia="黑体"/>
          <w:b w:val="0"/>
          <w:color w:val="000000" w:themeColor="text1"/>
          <w:sz w:val="28"/>
          <w:szCs w:val="28"/>
          <w:highlight w:val="none"/>
          <w14:textFill>
            <w14:solidFill>
              <w14:schemeClr w14:val="tx1"/>
            </w14:solidFill>
          </w14:textFill>
        </w:rPr>
        <w:t>1.6.费用</w:t>
      </w:r>
      <w:bookmarkEnd w:id="122"/>
      <w:bookmarkEnd w:id="123"/>
      <w:bookmarkEnd w:id="124"/>
      <w:bookmarkEnd w:id="125"/>
      <w:r>
        <w:rPr>
          <w:rFonts w:hint="eastAsia" w:ascii="黑体" w:hAnsi="黑体" w:eastAsia="黑体"/>
          <w:b w:val="0"/>
          <w:color w:val="000000" w:themeColor="text1"/>
          <w:sz w:val="28"/>
          <w:szCs w:val="28"/>
          <w:highlight w:val="none"/>
          <w14:textFill>
            <w14:solidFill>
              <w14:schemeClr w14:val="tx1"/>
            </w14:solidFill>
          </w14:textFill>
        </w:rPr>
        <w:t>承担</w:t>
      </w:r>
      <w:bookmarkEnd w:id="126"/>
      <w:bookmarkEnd w:id="127"/>
      <w:bookmarkEnd w:id="128"/>
    </w:p>
    <w:p w14:paraId="3294E22C">
      <w:pPr>
        <w:pStyle w:val="13"/>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投标人应承担己方投标文件编制与递交等参加本招标活动所涉及的一切费用。</w:t>
      </w:r>
    </w:p>
    <w:p w14:paraId="03AF848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29" w:name="_Toc14782"/>
      <w:bookmarkStart w:id="130" w:name="_Toc16591"/>
      <w:bookmarkStart w:id="131" w:name="_Toc26563"/>
      <w:bookmarkStart w:id="132" w:name="_Toc300038928"/>
      <w:bookmarkStart w:id="133" w:name="_Toc13376"/>
      <w:bookmarkStart w:id="134" w:name="_Toc516753480"/>
      <w:bookmarkStart w:id="135" w:name="_Toc79"/>
      <w:r>
        <w:rPr>
          <w:rFonts w:hint="eastAsia" w:ascii="黑体" w:hAnsi="黑体" w:eastAsia="黑体"/>
          <w:b w:val="0"/>
          <w:color w:val="000000" w:themeColor="text1"/>
          <w:sz w:val="28"/>
          <w:szCs w:val="28"/>
          <w:highlight w:val="none"/>
          <w14:textFill>
            <w14:solidFill>
              <w14:schemeClr w14:val="tx1"/>
            </w14:solidFill>
          </w14:textFill>
        </w:rPr>
        <w:t>1.7.</w:t>
      </w:r>
      <w:r>
        <w:rPr>
          <w:rFonts w:ascii="黑体" w:hAnsi="黑体" w:eastAsia="黑体"/>
          <w:b w:val="0"/>
          <w:color w:val="000000" w:themeColor="text1"/>
          <w:sz w:val="28"/>
          <w:szCs w:val="28"/>
          <w:highlight w:val="none"/>
          <w14:textFill>
            <w14:solidFill>
              <w14:schemeClr w14:val="tx1"/>
            </w14:solidFill>
          </w14:textFill>
        </w:rPr>
        <w:t>保密</w:t>
      </w:r>
      <w:bookmarkEnd w:id="129"/>
      <w:bookmarkEnd w:id="130"/>
      <w:bookmarkEnd w:id="131"/>
    </w:p>
    <w:p w14:paraId="687DCC30">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参与招标投标活动的各方应对招标文件和投标文件中的商业和技术等秘密保密，否则应承担相应的法律责任。</w:t>
      </w:r>
    </w:p>
    <w:p w14:paraId="07F3DAD0">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36" w:name="_Toc17976"/>
      <w:bookmarkStart w:id="137" w:name="_Toc24067"/>
      <w:bookmarkStart w:id="138" w:name="_Toc7188"/>
      <w:r>
        <w:rPr>
          <w:rFonts w:hint="eastAsia" w:ascii="黑体" w:hAnsi="黑体" w:eastAsia="黑体"/>
          <w:b w:val="0"/>
          <w:color w:val="000000" w:themeColor="text1"/>
          <w:sz w:val="28"/>
          <w:szCs w:val="28"/>
          <w:highlight w:val="none"/>
          <w14:textFill>
            <w14:solidFill>
              <w14:schemeClr w14:val="tx1"/>
            </w14:solidFill>
          </w14:textFill>
        </w:rPr>
        <w:t>1.8.语言及度量衡单位</w:t>
      </w:r>
      <w:bookmarkEnd w:id="136"/>
      <w:bookmarkEnd w:id="137"/>
      <w:bookmarkEnd w:id="138"/>
    </w:p>
    <w:p w14:paraId="594486FA">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70477BB4">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1.8.1.投标人和招标人之间对投标有关的所有往来通知、函件和投标文件均使用中文。投标人随投标文件提供的证明文件和资料为其他语言的，必须附中文译文，解释这些文件，应以中文为准。</w:t>
      </w:r>
    </w:p>
    <w:p w14:paraId="5DD5542A">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1.8.2.除技术规范另有规定外，投标文件使用的度量衡单位均应采用中华人民共和国法定计量单位。</w:t>
      </w:r>
    </w:p>
    <w:p w14:paraId="7C6027DD">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39" w:name="_Toc5795"/>
      <w:bookmarkStart w:id="140" w:name="_Toc26808"/>
      <w:bookmarkStart w:id="141" w:name="_Toc22105"/>
      <w:r>
        <w:rPr>
          <w:rFonts w:hint="eastAsia" w:ascii="黑体" w:hAnsi="黑体" w:eastAsia="黑体"/>
          <w:b w:val="0"/>
          <w:color w:val="000000" w:themeColor="text1"/>
          <w:sz w:val="28"/>
          <w:szCs w:val="28"/>
          <w:highlight w:val="none"/>
          <w14:textFill>
            <w14:solidFill>
              <w14:schemeClr w14:val="tx1"/>
            </w14:solidFill>
          </w14:textFill>
        </w:rPr>
        <w:t>1.9.踏勘现场</w:t>
      </w:r>
      <w:bookmarkEnd w:id="132"/>
      <w:r>
        <w:rPr>
          <w:rFonts w:hint="eastAsia" w:ascii="黑体" w:hAnsi="黑体" w:eastAsia="黑体"/>
          <w:b w:val="0"/>
          <w:color w:val="000000" w:themeColor="text1"/>
          <w:sz w:val="28"/>
          <w:szCs w:val="28"/>
          <w:highlight w:val="none"/>
          <w14:textFill>
            <w14:solidFill>
              <w14:schemeClr w14:val="tx1"/>
            </w14:solidFill>
          </w14:textFill>
        </w:rPr>
        <w:t>和标前会议</w:t>
      </w:r>
      <w:bookmarkEnd w:id="133"/>
      <w:bookmarkEnd w:id="134"/>
      <w:bookmarkEnd w:id="135"/>
      <w:bookmarkEnd w:id="139"/>
      <w:bookmarkEnd w:id="140"/>
      <w:bookmarkEnd w:id="141"/>
    </w:p>
    <w:p w14:paraId="10F1F021">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5168FCAB">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72116DAF">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1.9.1.投标人应对工程现场和其周围环境进行踏勘，以便在投标前获取有关编制投标文件和签署实施工程的设计合同所需的各项资料。投标人应承担现场考察的责任、风险和费用；除招标人原因外，投标人自行负责在踏勘现场中所发生的人员伤亡和财产损失。招标人在投标人须知前附表规定的时间和地点组织投标人踏勘现场或标前会议的，投标人应派人准时参加，部分投标人未按时参加踏勘现场或标前会议的，不影响踏勘现场或标前会议的正常进行。如招标人决定不组织投标人踏勘现场的，投标人可以自行到现场踏勘。现场踏勘或标前会议均不需要点名或签到。</w:t>
      </w:r>
    </w:p>
    <w:p w14:paraId="6E85679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1.9.2.招标人向投标人提供有关现场的资料和数据，是招标人现有的能使投标人利用的资料，但招标人对投标人由此而做出的推论、理解和结论概不负责。</w:t>
      </w:r>
    </w:p>
    <w:p w14:paraId="4A3E008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1.9.3.投标人在查阅招标文件和踏勘现场后，可以在标前会议上提出要求澄清问题。但所有问题都应以投标人须知前附表规定的方式提交给招标人，招标人视情况做出澄清和解答，如澄清和解答对其他</w:t>
      </w:r>
      <w:r>
        <w:rPr>
          <w:rFonts w:hint="eastAsia" w:ascii="宋体" w:hAnsi="宋体" w:eastAsia="宋体"/>
          <w:color w:val="000000" w:themeColor="text1"/>
          <w:szCs w:val="21"/>
          <w:highlight w:val="none"/>
          <w:lang w:val="en-US" w:eastAsia="zh-CN"/>
          <w14:textFill>
            <w14:solidFill>
              <w14:schemeClr w14:val="tx1"/>
            </w14:solidFill>
          </w14:textFill>
        </w:rPr>
        <w:t>投标</w:t>
      </w:r>
      <w:r>
        <w:rPr>
          <w:rFonts w:hint="eastAsia" w:ascii="宋体" w:hAnsi="宋体" w:eastAsia="宋体"/>
          <w:color w:val="000000" w:themeColor="text1"/>
          <w:szCs w:val="21"/>
          <w:highlight w:val="none"/>
          <w14:textFill>
            <w14:solidFill>
              <w14:schemeClr w14:val="tx1"/>
            </w14:solidFill>
          </w14:textFill>
        </w:rPr>
        <w:t>人编制投标文件有影响的，招标人将并将此澄清和解答以投标人须知前附表规定的方式发给所有投标人。</w:t>
      </w:r>
    </w:p>
    <w:p w14:paraId="6A0D242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42" w:name="_Toc516753481"/>
      <w:bookmarkStart w:id="143" w:name="_Toc11153"/>
      <w:bookmarkStart w:id="144" w:name="_Toc27070"/>
      <w:bookmarkStart w:id="145" w:name="_Toc29408"/>
      <w:bookmarkStart w:id="146" w:name="_Toc300038929"/>
      <w:bookmarkStart w:id="147" w:name="_Toc13089"/>
      <w:bookmarkStart w:id="148" w:name="_Toc23796"/>
      <w:r>
        <w:rPr>
          <w:rFonts w:hint="eastAsia" w:ascii="黑体" w:hAnsi="黑体" w:eastAsia="黑体"/>
          <w:b w:val="0"/>
          <w:color w:val="000000" w:themeColor="text1"/>
          <w:sz w:val="28"/>
          <w:szCs w:val="28"/>
          <w:highlight w:val="none"/>
          <w14:textFill>
            <w14:solidFill>
              <w14:schemeClr w14:val="tx1"/>
            </w14:solidFill>
          </w14:textFill>
        </w:rPr>
        <w:t>1.10.知识产权</w:t>
      </w:r>
      <w:bookmarkEnd w:id="142"/>
      <w:bookmarkEnd w:id="143"/>
      <w:bookmarkEnd w:id="144"/>
      <w:bookmarkEnd w:id="145"/>
      <w:bookmarkEnd w:id="146"/>
      <w:bookmarkEnd w:id="147"/>
      <w:bookmarkEnd w:id="148"/>
    </w:p>
    <w:p w14:paraId="6B59A1CA">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19DFF80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1.10.1.招标人和投标人均应保护对方的知识产权。投标人拥有设计方案的著作权（版权）。未经投标人书面同意，招标人不得将交付的设计方案向第三方转让或用于本招标范围以外的其他建设项目。投标人对招标人提供的资料负有保密责任，未经招标人同意，不得将招标人提供的资料及文件向第三人转让或用于本合同项目外的其他建设项目。</w:t>
      </w:r>
    </w:p>
    <w:p w14:paraId="76B6799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1.10.2.招标人与中标人签署设计合同后，招标人在该建设项目中拥有中标方案的使用权。中标人应保护招标人一旦使用其设计方案不能受到来自第三方的侵权诉讼或索赔，否则中标人应承担由此而产生的一切责任。</w:t>
      </w:r>
    </w:p>
    <w:p w14:paraId="225B874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1.10.3.招标人或者中标人使用其他未中标人投标文件中的技术成果或技术方案的，应当事先征得该投标人的书面同意，并按规定支付使用费。未经相关投标人书面许可，招标人或者中标人不得擅自使用其他投标人投标文件中的技术成果或技术方案。</w:t>
      </w:r>
    </w:p>
    <w:p w14:paraId="0CFE6C3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1.10.4.招标人按投标人须知规定给予未中标的投标人经济补偿后，有权部分采用该投标人的设计方案对中标设计方案进行优化，该未中标的投标人应保证招标人采用其投标设计不受到第三方关于侵犯设计权的指控，任何第三方如果提出侵权指控，该投标人应与第三方交涉，承担可能发生的一切法律责任、后果和费用，并赔偿招标人的损失。</w:t>
      </w:r>
    </w:p>
    <w:p w14:paraId="51AC222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1.10.5.联合体投标人合作完成的设计方案，其知识产权由联合体成员共同所有，或按联合体协议书另行约定。</w:t>
      </w:r>
    </w:p>
    <w:p w14:paraId="438E048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49" w:name="_Toc516753482"/>
      <w:bookmarkStart w:id="150" w:name="_Toc3882"/>
      <w:bookmarkStart w:id="151" w:name="_Toc3733"/>
      <w:bookmarkStart w:id="152" w:name="_Toc300038930"/>
      <w:bookmarkStart w:id="153" w:name="_Toc3874"/>
      <w:bookmarkStart w:id="154" w:name="_Toc7166"/>
      <w:bookmarkStart w:id="155" w:name="_Toc795"/>
      <w:r>
        <w:rPr>
          <w:rFonts w:hint="eastAsia" w:ascii="黑体" w:hAnsi="黑体" w:eastAsia="黑体"/>
          <w:b w:val="0"/>
          <w:color w:val="000000" w:themeColor="text1"/>
          <w:sz w:val="28"/>
          <w:szCs w:val="28"/>
          <w:highlight w:val="none"/>
          <w14:textFill>
            <w14:solidFill>
              <w14:schemeClr w14:val="tx1"/>
            </w14:solidFill>
          </w14:textFill>
        </w:rPr>
        <w:t>2.招标文件</w:t>
      </w:r>
      <w:bookmarkEnd w:id="149"/>
      <w:bookmarkEnd w:id="150"/>
      <w:bookmarkEnd w:id="151"/>
      <w:bookmarkEnd w:id="152"/>
      <w:bookmarkEnd w:id="153"/>
      <w:bookmarkEnd w:id="154"/>
      <w:bookmarkEnd w:id="155"/>
    </w:p>
    <w:p w14:paraId="431F54C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56" w:name="_Toc2440"/>
      <w:bookmarkStart w:id="157" w:name="_Toc300038931"/>
      <w:bookmarkStart w:id="158" w:name="_Toc516753483"/>
      <w:bookmarkStart w:id="159" w:name="_Toc14803"/>
      <w:bookmarkStart w:id="160" w:name="_Toc29774"/>
      <w:bookmarkStart w:id="161" w:name="_Toc16990"/>
      <w:bookmarkStart w:id="162" w:name="_Toc16705"/>
      <w:r>
        <w:rPr>
          <w:rFonts w:hint="eastAsia" w:ascii="黑体" w:hAnsi="黑体" w:eastAsia="黑体"/>
          <w:b w:val="0"/>
          <w:color w:val="000000" w:themeColor="text1"/>
          <w:sz w:val="28"/>
          <w:szCs w:val="28"/>
          <w:highlight w:val="none"/>
          <w14:textFill>
            <w14:solidFill>
              <w14:schemeClr w14:val="tx1"/>
            </w14:solidFill>
          </w14:textFill>
        </w:rPr>
        <w:t>2.1.招标文件的组成</w:t>
      </w:r>
      <w:bookmarkEnd w:id="156"/>
      <w:bookmarkEnd w:id="157"/>
      <w:bookmarkEnd w:id="158"/>
      <w:bookmarkEnd w:id="159"/>
      <w:bookmarkEnd w:id="160"/>
      <w:bookmarkEnd w:id="161"/>
      <w:bookmarkEnd w:id="162"/>
    </w:p>
    <w:p w14:paraId="6340403A">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1B5F1B6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2.1.1.招标文件包括下列内容：</w:t>
      </w:r>
    </w:p>
    <w:p w14:paraId="386B9347">
      <w:pPr>
        <w:pStyle w:val="13"/>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第一章 招标公告/投标邀请书</w:t>
      </w:r>
    </w:p>
    <w:p w14:paraId="04148CBA">
      <w:pPr>
        <w:pStyle w:val="13"/>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第二章 投标人须知</w:t>
      </w:r>
    </w:p>
    <w:p w14:paraId="654CAA8B">
      <w:pPr>
        <w:pStyle w:val="13"/>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第三章 评标办法</w:t>
      </w:r>
    </w:p>
    <w:p w14:paraId="55BAB653">
      <w:pPr>
        <w:pStyle w:val="13"/>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第四章 </w:t>
      </w:r>
      <w:r>
        <w:rPr>
          <w:rFonts w:hint="eastAsia" w:ascii="宋体" w:hAnsi="宋体" w:eastAsia="宋体"/>
          <w:color w:val="000000" w:themeColor="text1"/>
          <w:szCs w:val="21"/>
          <w:highlight w:val="none"/>
          <w:lang w:eastAsia="zh-CN"/>
          <w14:textFill>
            <w14:solidFill>
              <w14:schemeClr w14:val="tx1"/>
            </w14:solidFill>
          </w14:textFill>
        </w:rPr>
        <w:t>定标方案</w:t>
      </w:r>
    </w:p>
    <w:p w14:paraId="5355A91F">
      <w:pPr>
        <w:pStyle w:val="13"/>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第五章 合同条款和格式</w:t>
      </w:r>
    </w:p>
    <w:p w14:paraId="4C7A64A4">
      <w:pPr>
        <w:pStyle w:val="13"/>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第六章 发包人要求</w:t>
      </w:r>
    </w:p>
    <w:p w14:paraId="6E2D96E0">
      <w:pPr>
        <w:pStyle w:val="13"/>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第七章 投标文件格式</w:t>
      </w:r>
    </w:p>
    <w:p w14:paraId="03E0AE5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2.1.2.除本投标人须知正文第2.1.1款所述的招标文件内容外，招标人在招标期间、符合法定时间发出的答疑、澄清、修改或补充内容，均是招标文件的组成部分，对招标人和投标人起约束作用。当招标文件、招标文件的澄清、修改、补充等在同一内容的表述不一致时，以最后发出的文件为准。</w:t>
      </w:r>
    </w:p>
    <w:p w14:paraId="0833BD65">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2.1.3.招标人应当按照有关行政主管部门发布的示范文本编制招标文件，不应擅自修改、补充条款，不得增设招标人有权废止评标结果或取消中标人中标资格的条款。招标公告（</w:t>
      </w:r>
      <w:r>
        <w:rPr>
          <w:rFonts w:hint="eastAsia" w:ascii="宋体" w:hAnsi="宋体" w:eastAsia="宋体"/>
          <w:color w:val="000000" w:themeColor="text1"/>
          <w:szCs w:val="21"/>
          <w:highlight w:val="none"/>
          <w:lang w:eastAsia="zh-CN"/>
          <w14:textFill>
            <w14:solidFill>
              <w14:schemeClr w14:val="tx1"/>
            </w14:solidFill>
          </w14:textFill>
        </w:rPr>
        <w:t>或</w:t>
      </w:r>
      <w:r>
        <w:rPr>
          <w:rFonts w:hint="eastAsia" w:ascii="宋体" w:hAnsi="宋体" w:eastAsia="宋体"/>
          <w:color w:val="000000" w:themeColor="text1"/>
          <w:szCs w:val="21"/>
          <w:highlight w:val="none"/>
          <w14:textFill>
            <w14:solidFill>
              <w14:schemeClr w14:val="tx1"/>
            </w14:solidFill>
          </w14:textFill>
        </w:rPr>
        <w:t>投标邀请书）和招标文件发布、答疑和澄清、截标、开标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评标、清标、确定中标人、</w:t>
      </w:r>
      <w:r>
        <w:rPr>
          <w:rFonts w:hint="eastAsia" w:ascii="宋体" w:hAnsi="宋体" w:eastAsia="宋体"/>
          <w:color w:val="000000" w:themeColor="text1"/>
          <w:szCs w:val="21"/>
          <w:highlight w:val="none"/>
          <w:lang w:eastAsia="zh-CN"/>
          <w14:textFill>
            <w14:solidFill>
              <w14:schemeClr w14:val="tx1"/>
            </w14:solidFill>
          </w14:textFill>
        </w:rPr>
        <w:t>中标</w:t>
      </w:r>
      <w:r>
        <w:rPr>
          <w:rFonts w:hint="eastAsia" w:ascii="宋体" w:hAnsi="宋体" w:eastAsia="宋体"/>
          <w:color w:val="000000" w:themeColor="text1"/>
          <w:szCs w:val="21"/>
          <w:highlight w:val="none"/>
          <w14:textFill>
            <w14:solidFill>
              <w14:schemeClr w14:val="tx1"/>
            </w14:solidFill>
          </w14:textFill>
        </w:rPr>
        <w:t>候选人公示</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中标结果公示等招投标活动必须符合有关规定。</w:t>
      </w:r>
    </w:p>
    <w:p w14:paraId="759AE55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2.1.4.招标文件发出的同时，应当向招投标监督机构报备。经监管机构审查认为其内容存在不符合法律法规的规定的，招标人应及时改正。</w:t>
      </w:r>
    </w:p>
    <w:p w14:paraId="3145F10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63" w:name="_Toc12021"/>
      <w:bookmarkStart w:id="164" w:name="_Toc7958"/>
      <w:bookmarkStart w:id="165" w:name="_Toc300038932"/>
      <w:bookmarkStart w:id="166" w:name="_Toc8184"/>
      <w:bookmarkStart w:id="167" w:name="_Toc22913"/>
      <w:bookmarkStart w:id="168" w:name="_Toc516753484"/>
      <w:bookmarkStart w:id="169" w:name="_Toc4080"/>
      <w:r>
        <w:rPr>
          <w:rFonts w:hint="eastAsia" w:ascii="黑体" w:hAnsi="黑体" w:eastAsia="黑体"/>
          <w:b w:val="0"/>
          <w:color w:val="000000" w:themeColor="text1"/>
          <w:sz w:val="28"/>
          <w:szCs w:val="28"/>
          <w:highlight w:val="none"/>
          <w14:textFill>
            <w14:solidFill>
              <w14:schemeClr w14:val="tx1"/>
            </w14:solidFill>
          </w14:textFill>
        </w:rPr>
        <w:t>2.2.招标文件的澄清</w:t>
      </w:r>
      <w:bookmarkEnd w:id="163"/>
      <w:bookmarkEnd w:id="164"/>
      <w:bookmarkEnd w:id="165"/>
      <w:bookmarkEnd w:id="166"/>
      <w:bookmarkEnd w:id="167"/>
      <w:bookmarkEnd w:id="168"/>
      <w:bookmarkEnd w:id="169"/>
    </w:p>
    <w:p w14:paraId="0DC11E0D">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48BA7C5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2.2.1.投标人若对招标文件有任何疑问，应按投标人须知前附表规定的方式和规定的时间之前发送给招标人。招标人将根据投标人的要求对招标文件做出必要的澄清。招标人应在投标文件截止日期15日前按投标人须知前附表规定的方式将澄清的文件发给投标人。招标人不指明澄清问题的来源。</w:t>
      </w:r>
    </w:p>
    <w:p w14:paraId="5A720715">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2.2.2.</w:t>
      </w:r>
      <w:r>
        <w:rPr>
          <w:rFonts w:ascii="宋体" w:hAnsi="宋体" w:eastAsia="宋体"/>
          <w:color w:val="000000" w:themeColor="text1"/>
          <w:szCs w:val="21"/>
          <w:highlight w:val="none"/>
          <w14:textFill>
            <w14:solidFill>
              <w14:schemeClr w14:val="tx1"/>
            </w14:solidFill>
          </w14:textFill>
        </w:rPr>
        <w:t>除非招标人认为确有必要答复，否则，招标人有权拒绝回复投标人在规定的</w:t>
      </w:r>
      <w:r>
        <w:rPr>
          <w:rFonts w:hint="eastAsia" w:ascii="宋体" w:hAnsi="宋体" w:eastAsia="宋体"/>
          <w:color w:val="000000" w:themeColor="text1"/>
          <w:szCs w:val="21"/>
          <w:highlight w:val="none"/>
          <w14:textFill>
            <w14:solidFill>
              <w14:schemeClr w14:val="tx1"/>
            </w14:solidFill>
          </w14:textFill>
        </w:rPr>
        <w:t>澄清截止</w:t>
      </w:r>
      <w:r>
        <w:rPr>
          <w:rFonts w:ascii="宋体" w:hAnsi="宋体" w:eastAsia="宋体"/>
          <w:color w:val="000000" w:themeColor="text1"/>
          <w:szCs w:val="21"/>
          <w:highlight w:val="none"/>
          <w14:textFill>
            <w14:solidFill>
              <w14:schemeClr w14:val="tx1"/>
            </w14:solidFill>
          </w14:textFill>
        </w:rPr>
        <w:t>时间后</w:t>
      </w:r>
      <w:r>
        <w:rPr>
          <w:rFonts w:hint="eastAsia" w:ascii="宋体" w:hAnsi="宋体" w:eastAsia="宋体"/>
          <w:color w:val="000000" w:themeColor="text1"/>
          <w:szCs w:val="21"/>
          <w:highlight w:val="none"/>
          <w14:textFill>
            <w14:solidFill>
              <w14:schemeClr w14:val="tx1"/>
            </w14:solidFill>
          </w14:textFill>
        </w:rPr>
        <w:t>提交</w:t>
      </w:r>
      <w:r>
        <w:rPr>
          <w:rFonts w:ascii="宋体" w:hAnsi="宋体" w:eastAsia="宋体"/>
          <w:color w:val="000000" w:themeColor="text1"/>
          <w:szCs w:val="21"/>
          <w:highlight w:val="none"/>
          <w14:textFill>
            <w14:solidFill>
              <w14:schemeClr w14:val="tx1"/>
            </w14:solidFill>
          </w14:textFill>
        </w:rPr>
        <w:t>的任何澄清要求。</w:t>
      </w:r>
    </w:p>
    <w:p w14:paraId="2D31660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2.2.3.澄清</w:t>
      </w:r>
      <w:r>
        <w:rPr>
          <w:rFonts w:ascii="宋体" w:hAnsi="宋体" w:eastAsia="宋体"/>
          <w:color w:val="000000" w:themeColor="text1"/>
          <w:szCs w:val="21"/>
          <w:highlight w:val="none"/>
          <w14:textFill>
            <w14:solidFill>
              <w14:schemeClr w14:val="tx1"/>
            </w14:solidFill>
          </w14:textFill>
        </w:rPr>
        <w:t>招标文件的时间距</w:t>
      </w:r>
      <w:r>
        <w:rPr>
          <w:rFonts w:hint="eastAsia" w:ascii="宋体" w:hAnsi="宋体" w:eastAsia="宋体"/>
          <w:color w:val="000000" w:themeColor="text1"/>
          <w:szCs w:val="21"/>
          <w:highlight w:val="none"/>
          <w14:textFill>
            <w14:solidFill>
              <w14:schemeClr w14:val="tx1"/>
            </w14:solidFill>
          </w14:textFill>
        </w:rPr>
        <w:t>招标项目</w:t>
      </w:r>
      <w:r>
        <w:rPr>
          <w:rFonts w:ascii="宋体" w:hAnsi="宋体" w:eastAsia="宋体"/>
          <w:color w:val="000000" w:themeColor="text1"/>
          <w:szCs w:val="21"/>
          <w:highlight w:val="none"/>
          <w14:textFill>
            <w14:solidFill>
              <w14:schemeClr w14:val="tx1"/>
            </w14:solidFill>
          </w14:textFill>
        </w:rPr>
        <w:t>规定的投标截止时间不足15日的，并且修改内容可能影响投标文件编制的，</w:t>
      </w:r>
      <w:r>
        <w:rPr>
          <w:rFonts w:hint="eastAsia" w:ascii="宋体" w:hAnsi="宋体" w:eastAsia="宋体"/>
          <w:color w:val="000000" w:themeColor="text1"/>
          <w:szCs w:val="21"/>
          <w:highlight w:val="none"/>
          <w14:textFill>
            <w14:solidFill>
              <w14:schemeClr w14:val="tx1"/>
            </w14:solidFill>
          </w14:textFill>
        </w:rPr>
        <w:t>招标人</w:t>
      </w:r>
      <w:r>
        <w:rPr>
          <w:rFonts w:ascii="宋体" w:hAnsi="宋体" w:eastAsia="宋体"/>
          <w:color w:val="000000" w:themeColor="text1"/>
          <w:szCs w:val="21"/>
          <w:highlight w:val="none"/>
          <w14:textFill>
            <w14:solidFill>
              <w14:schemeClr w14:val="tx1"/>
            </w14:solidFill>
          </w14:textFill>
        </w:rPr>
        <w:t>将相应延长投标截止时间。</w:t>
      </w:r>
    </w:p>
    <w:p w14:paraId="73597EE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0" w:name="_Toc14858"/>
      <w:bookmarkStart w:id="171" w:name="_Toc14681"/>
      <w:bookmarkStart w:id="172" w:name="_Toc300038933"/>
      <w:bookmarkStart w:id="173" w:name="_Toc11028"/>
      <w:bookmarkStart w:id="174" w:name="_Toc516753485"/>
      <w:bookmarkStart w:id="175" w:name="_Toc5084"/>
      <w:bookmarkStart w:id="176" w:name="_Toc13834"/>
      <w:r>
        <w:rPr>
          <w:rFonts w:hint="eastAsia" w:ascii="黑体" w:hAnsi="黑体" w:eastAsia="黑体"/>
          <w:b w:val="0"/>
          <w:color w:val="000000" w:themeColor="text1"/>
          <w:sz w:val="28"/>
          <w:szCs w:val="28"/>
          <w:highlight w:val="none"/>
          <w14:textFill>
            <w14:solidFill>
              <w14:schemeClr w14:val="tx1"/>
            </w14:solidFill>
          </w14:textFill>
        </w:rPr>
        <w:t>2.3.招标文件的修改、补充</w:t>
      </w:r>
      <w:bookmarkEnd w:id="170"/>
      <w:bookmarkEnd w:id="171"/>
      <w:bookmarkEnd w:id="172"/>
      <w:bookmarkEnd w:id="173"/>
      <w:bookmarkEnd w:id="174"/>
      <w:bookmarkEnd w:id="175"/>
      <w:bookmarkEnd w:id="176"/>
    </w:p>
    <w:p w14:paraId="37EC7193">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210C47C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2.3.1.在投标截止期15日前无论出于何种原因，招标人可主动地</w:t>
      </w:r>
      <w:r>
        <w:rPr>
          <w:rFonts w:hint="eastAsia" w:ascii="宋体" w:hAnsi="宋体" w:eastAsia="宋体" w:cs="Arial"/>
          <w:bCs/>
          <w:color w:val="000000" w:themeColor="text1"/>
          <w:kern w:val="0"/>
          <w:szCs w:val="21"/>
          <w:highlight w:val="none"/>
          <w14:textFill>
            <w14:solidFill>
              <w14:schemeClr w14:val="tx1"/>
            </w14:solidFill>
          </w14:textFill>
        </w:rPr>
        <w:t>或在解答投标人提出的澄清问题时</w:t>
      </w:r>
      <w:r>
        <w:rPr>
          <w:rFonts w:hint="eastAsia" w:ascii="宋体" w:hAnsi="宋体" w:eastAsia="宋体"/>
          <w:color w:val="000000" w:themeColor="text1"/>
          <w:szCs w:val="21"/>
          <w:highlight w:val="none"/>
          <w14:textFill>
            <w14:solidFill>
              <w14:schemeClr w14:val="tx1"/>
            </w14:solidFill>
          </w14:textFill>
        </w:rPr>
        <w:t>对招标文件进行必要的修改或补充，所有招标文件的修改或补充将按投标人须知前附表规定的相同方式发给投标人。</w:t>
      </w:r>
    </w:p>
    <w:p w14:paraId="16E39872">
      <w:pPr>
        <w:pStyle w:val="13"/>
        <w:tabs>
          <w:tab w:val="left" w:pos="567"/>
          <w:tab w:val="left" w:pos="1000"/>
        </w:tabs>
        <w:spacing w:line="360" w:lineRule="auto"/>
        <w:ind w:firstLine="424" w:firstLineChars="202"/>
        <w:jc w:val="left"/>
        <w:rPr>
          <w:rFonts w:ascii="宋体" w:hAnsi="宋体" w:eastAsia="宋体"/>
          <w:dstrike/>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2.3.2.招标人通过投标人须知前附表写明的网址发布澄清、补充或修改招标文件，投标人应自行留意招标人发出的澄清、修改或补充招标文件，并及时向招标人领取相应的文本文件（如需）。投标人未按规定时间、网址下载（地点领取）文件的，视同已收到。</w:t>
      </w:r>
    </w:p>
    <w:p w14:paraId="24790AAF">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2.3.3.</w:t>
      </w:r>
      <w:r>
        <w:rPr>
          <w:rFonts w:ascii="宋体" w:hAnsi="宋体" w:eastAsia="宋体"/>
          <w:color w:val="000000" w:themeColor="text1"/>
          <w:szCs w:val="21"/>
          <w:highlight w:val="none"/>
          <w14:textFill>
            <w14:solidFill>
              <w14:schemeClr w14:val="tx1"/>
            </w14:solidFill>
          </w14:textFill>
        </w:rPr>
        <w:t>修改</w:t>
      </w:r>
      <w:r>
        <w:rPr>
          <w:rFonts w:hint="eastAsia" w:ascii="宋体" w:hAnsi="宋体" w:eastAsia="宋体"/>
          <w:color w:val="000000" w:themeColor="text1"/>
          <w:szCs w:val="21"/>
          <w:highlight w:val="none"/>
          <w14:textFill>
            <w14:solidFill>
              <w14:schemeClr w14:val="tx1"/>
            </w14:solidFill>
          </w14:textFill>
        </w:rPr>
        <w:t>、补充</w:t>
      </w:r>
      <w:r>
        <w:rPr>
          <w:rFonts w:ascii="宋体" w:hAnsi="宋体" w:eastAsia="宋体"/>
          <w:color w:val="000000" w:themeColor="text1"/>
          <w:szCs w:val="21"/>
          <w:highlight w:val="none"/>
          <w14:textFill>
            <w14:solidFill>
              <w14:schemeClr w14:val="tx1"/>
            </w14:solidFill>
          </w14:textFill>
        </w:rPr>
        <w:t>招标文件的时间距</w:t>
      </w:r>
      <w:r>
        <w:rPr>
          <w:rFonts w:hint="eastAsia" w:ascii="宋体" w:hAnsi="宋体" w:eastAsia="宋体"/>
          <w:color w:val="000000" w:themeColor="text1"/>
          <w:szCs w:val="21"/>
          <w:highlight w:val="none"/>
          <w14:textFill>
            <w14:solidFill>
              <w14:schemeClr w14:val="tx1"/>
            </w14:solidFill>
          </w14:textFill>
        </w:rPr>
        <w:t>招标项目</w:t>
      </w:r>
      <w:r>
        <w:rPr>
          <w:rFonts w:ascii="宋体" w:hAnsi="宋体" w:eastAsia="宋体"/>
          <w:color w:val="000000" w:themeColor="text1"/>
          <w:szCs w:val="21"/>
          <w:highlight w:val="none"/>
          <w14:textFill>
            <w14:solidFill>
              <w14:schemeClr w14:val="tx1"/>
            </w14:solidFill>
          </w14:textFill>
        </w:rPr>
        <w:t>规定的投标截止时间不足15日的，并且修改内容可能影响投标文件编制的，</w:t>
      </w:r>
      <w:r>
        <w:rPr>
          <w:rFonts w:hint="eastAsia" w:ascii="宋体" w:hAnsi="宋体" w:eastAsia="宋体"/>
          <w:color w:val="000000" w:themeColor="text1"/>
          <w:szCs w:val="21"/>
          <w:highlight w:val="none"/>
          <w14:textFill>
            <w14:solidFill>
              <w14:schemeClr w14:val="tx1"/>
            </w14:solidFill>
          </w14:textFill>
        </w:rPr>
        <w:t>招标人</w:t>
      </w:r>
      <w:r>
        <w:rPr>
          <w:rFonts w:ascii="宋体" w:hAnsi="宋体" w:eastAsia="宋体"/>
          <w:color w:val="000000" w:themeColor="text1"/>
          <w:szCs w:val="21"/>
          <w:highlight w:val="none"/>
          <w14:textFill>
            <w14:solidFill>
              <w14:schemeClr w14:val="tx1"/>
            </w14:solidFill>
          </w14:textFill>
        </w:rPr>
        <w:t>将相应延长投标截止时间。</w:t>
      </w:r>
    </w:p>
    <w:p w14:paraId="2ED08D4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7" w:name="_Toc31523"/>
      <w:bookmarkStart w:id="178" w:name="_Toc26985"/>
      <w:bookmarkStart w:id="179" w:name="_Toc516753486"/>
      <w:bookmarkStart w:id="180" w:name="_Toc6523"/>
      <w:bookmarkStart w:id="181" w:name="_Toc19497"/>
      <w:bookmarkStart w:id="182" w:name="_Toc4115"/>
      <w:r>
        <w:rPr>
          <w:rFonts w:hint="eastAsia" w:ascii="黑体" w:hAnsi="黑体" w:eastAsia="黑体"/>
          <w:b w:val="0"/>
          <w:color w:val="000000" w:themeColor="text1"/>
          <w:sz w:val="28"/>
          <w:szCs w:val="28"/>
          <w:highlight w:val="none"/>
          <w14:textFill>
            <w14:solidFill>
              <w14:schemeClr w14:val="tx1"/>
            </w14:solidFill>
          </w14:textFill>
        </w:rPr>
        <w:t>2.4.招标文件异议处理</w:t>
      </w:r>
      <w:bookmarkEnd w:id="177"/>
      <w:bookmarkEnd w:id="178"/>
      <w:bookmarkEnd w:id="179"/>
      <w:bookmarkEnd w:id="180"/>
      <w:bookmarkEnd w:id="181"/>
      <w:bookmarkEnd w:id="182"/>
    </w:p>
    <w:p w14:paraId="6E535087">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6154634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2.4.1.潜在投标人或者其他利害关系人对招标文件有异议的，应当在投标截止时间10日前提出。招标人应当自收到异议之日起3日内作出答复；作出答复前，应当暂停招标投标活动。</w:t>
      </w:r>
    </w:p>
    <w:p w14:paraId="2FE6777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2.4.2.招标人编制的招标文件的内容违反法律、行政法规的强制性规定，违反公开、公平、公正和诚实信用原则，影响资格审查结果或者潜在投标人投标的，依法必须进行招标的项目的招标人应当在修改招标文件后重新招标。</w:t>
      </w:r>
    </w:p>
    <w:p w14:paraId="28A98047">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83" w:name="_Toc6825"/>
      <w:bookmarkStart w:id="184" w:name="_Toc4583"/>
      <w:bookmarkStart w:id="185" w:name="_Toc6620"/>
      <w:bookmarkStart w:id="186" w:name="_Toc300038934"/>
      <w:bookmarkStart w:id="187" w:name="_Toc9273"/>
      <w:bookmarkStart w:id="188" w:name="_Toc27972"/>
      <w:bookmarkStart w:id="189" w:name="_Toc516753487"/>
      <w:r>
        <w:rPr>
          <w:rFonts w:hint="eastAsia" w:ascii="黑体" w:hAnsi="黑体" w:eastAsia="黑体"/>
          <w:b w:val="0"/>
          <w:color w:val="000000" w:themeColor="text1"/>
          <w:sz w:val="28"/>
          <w:szCs w:val="28"/>
          <w:highlight w:val="none"/>
          <w14:textFill>
            <w14:solidFill>
              <w14:schemeClr w14:val="tx1"/>
            </w14:solidFill>
          </w14:textFill>
        </w:rPr>
        <w:t>3.投标文件</w:t>
      </w:r>
      <w:bookmarkEnd w:id="183"/>
      <w:bookmarkEnd w:id="184"/>
      <w:bookmarkEnd w:id="185"/>
      <w:bookmarkEnd w:id="186"/>
      <w:bookmarkEnd w:id="187"/>
      <w:bookmarkEnd w:id="188"/>
      <w:bookmarkEnd w:id="189"/>
    </w:p>
    <w:p w14:paraId="1FC1165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90" w:name="_Toc300038936"/>
      <w:bookmarkStart w:id="191" w:name="_Toc8568"/>
      <w:bookmarkStart w:id="192" w:name="_Toc21134"/>
      <w:bookmarkStart w:id="193" w:name="_Toc25177"/>
      <w:bookmarkStart w:id="194" w:name="_Toc516753489"/>
      <w:bookmarkStart w:id="195" w:name="_Toc14714"/>
      <w:bookmarkStart w:id="196" w:name="_Toc16480"/>
      <w:r>
        <w:rPr>
          <w:rFonts w:hint="eastAsia" w:ascii="黑体" w:hAnsi="黑体" w:eastAsia="黑体"/>
          <w:b w:val="0"/>
          <w:color w:val="000000" w:themeColor="text1"/>
          <w:sz w:val="28"/>
          <w:szCs w:val="28"/>
          <w:highlight w:val="none"/>
          <w14:textFill>
            <w14:solidFill>
              <w14:schemeClr w14:val="tx1"/>
            </w14:solidFill>
          </w14:textFill>
        </w:rPr>
        <w:t>3.1.投标文件的组成</w:t>
      </w:r>
      <w:bookmarkEnd w:id="190"/>
      <w:bookmarkEnd w:id="191"/>
      <w:bookmarkEnd w:id="192"/>
      <w:bookmarkEnd w:id="193"/>
      <w:bookmarkEnd w:id="194"/>
      <w:bookmarkEnd w:id="195"/>
      <w:bookmarkEnd w:id="196"/>
    </w:p>
    <w:p w14:paraId="49BCF4F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投标人应当按照招标文件的要求编制投标文件。投标文件由资格审查文件、商务文件和技术文件三部分组成。</w:t>
      </w:r>
    </w:p>
    <w:p w14:paraId="24141A3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3.1.1.资格审查文件包括以下内容：</w:t>
      </w:r>
    </w:p>
    <w:p w14:paraId="6C0816D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（1）资格审查申请函</w:t>
      </w:r>
    </w:p>
    <w:p w14:paraId="5B2D872F">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（2）资格审查申请函附表：</w:t>
      </w:r>
    </w:p>
    <w:p w14:paraId="7B94E15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附表1：投标人基本情况表</w:t>
      </w:r>
    </w:p>
    <w:p w14:paraId="7FFBA664">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附表2：法定代表人资格证明书、设计单位技术负责人身份证明书和设计项目负责人身份证明</w:t>
      </w:r>
    </w:p>
    <w:p w14:paraId="49B8310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附表3：投标人诚信承诺函</w:t>
      </w:r>
    </w:p>
    <w:p w14:paraId="75E2DCC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附表4：授权委托书</w:t>
      </w:r>
    </w:p>
    <w:p w14:paraId="382DD02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附表5：拟担任本项目设计（勘察）人员汇总表</w:t>
      </w:r>
    </w:p>
    <w:p w14:paraId="49E4635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附表6：拟担任主要设计（勘察）人员简历表和执业资格（职称）证书</w:t>
      </w:r>
    </w:p>
    <w:p w14:paraId="141784F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附表7：拟担任项目负责人承诺函、设计（勘察）项目负责人和其他主要设计人员到位承诺书</w:t>
      </w:r>
    </w:p>
    <w:p w14:paraId="468E546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附表8：投标人和拟担任设计项目负责人“类似项目设计业绩”（如有时）</w:t>
      </w:r>
    </w:p>
    <w:p w14:paraId="16777AC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附表9：联合体协议书（如有时）</w:t>
      </w:r>
    </w:p>
    <w:p w14:paraId="3476F994">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附表10：其他需要提交的资料</w:t>
      </w:r>
    </w:p>
    <w:p w14:paraId="35F4EB0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3.1.2.商务文件包括以下内容：</w:t>
      </w:r>
    </w:p>
    <w:p w14:paraId="52469F71">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（1）投标函</w:t>
      </w:r>
    </w:p>
    <w:p w14:paraId="4FBC8F81">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（2）投标函附表</w:t>
      </w:r>
    </w:p>
    <w:p w14:paraId="0FCB3A7A">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（3）投标保证金</w:t>
      </w:r>
    </w:p>
    <w:p w14:paraId="3B63E75A">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（4）授权委托书（与资格审查文件一致的可以不再提交）</w:t>
      </w:r>
    </w:p>
    <w:p w14:paraId="4FA281BA">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（5）设计（勘察）投标报价表</w:t>
      </w:r>
    </w:p>
    <w:p w14:paraId="1492327D">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（6）投标单位实力、以往业绩、获奖情况、信誉</w:t>
      </w:r>
    </w:p>
    <w:p w14:paraId="517D73F4">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（7）项目负责人、其他主要人员</w:t>
      </w:r>
    </w:p>
    <w:p w14:paraId="68FABFE4">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（8）服务保证（保证设计质量、进度，配合工程实施）</w:t>
      </w:r>
    </w:p>
    <w:p w14:paraId="10103084">
      <w:pPr>
        <w:pStyle w:val="13"/>
        <w:tabs>
          <w:tab w:val="left" w:pos="510"/>
          <w:tab w:val="left" w:pos="1000"/>
        </w:tabs>
        <w:spacing w:line="360" w:lineRule="auto"/>
        <w:ind w:firstLine="424" w:firstLineChars="20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（9）其他（根据招标文件的要求和投标人认为需要提供的资料）</w:t>
      </w:r>
    </w:p>
    <w:p w14:paraId="7D4CEF6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（10）定标要素情况表</w:t>
      </w:r>
    </w:p>
    <w:p w14:paraId="348E03D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3.1.3.技术文件包括以下内容：</w:t>
      </w:r>
    </w:p>
    <w:p w14:paraId="48255FB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（1）设计说明和设计图纸汇编本</w:t>
      </w:r>
    </w:p>
    <w:p w14:paraId="104A604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（2）勘察纲要（发包内容包含勘察的，应当提交勘察纲要）</w:t>
      </w:r>
    </w:p>
    <w:p w14:paraId="4CA7C925">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（3）展示图、演示盘、模型和</w:t>
      </w:r>
      <w:r>
        <w:rPr>
          <w:rFonts w:ascii="宋体" w:hAnsi="宋体"/>
          <w:color w:val="000000" w:themeColor="text1"/>
          <w:szCs w:val="21"/>
          <w:highlight w:val="none"/>
          <w14:textFill>
            <w14:solidFill>
              <w14:schemeClr w14:val="tx1"/>
            </w14:solidFill>
          </w14:textFill>
        </w:rPr>
        <w:t>BIM</w:t>
      </w:r>
      <w:r>
        <w:rPr>
          <w:rFonts w:hint="eastAsia" w:ascii="宋体" w:hAnsi="宋体"/>
          <w:color w:val="000000" w:themeColor="text1"/>
          <w:szCs w:val="21"/>
          <w:highlight w:val="none"/>
          <w14:textFill>
            <w14:solidFill>
              <w14:schemeClr w14:val="tx1"/>
            </w14:solidFill>
          </w14:textFill>
        </w:rPr>
        <w:t>动态演示视频</w:t>
      </w:r>
    </w:p>
    <w:p w14:paraId="01A0BEA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与投标的技术文件（设计说明和设计图纸汇编本）相应的展示图、演示盘、模型和</w:t>
      </w:r>
      <w:r>
        <w:rPr>
          <w:rFonts w:ascii="宋体" w:hAnsi="宋体"/>
          <w:color w:val="000000" w:themeColor="text1"/>
          <w:szCs w:val="21"/>
          <w:highlight w:val="none"/>
          <w14:textFill>
            <w14:solidFill>
              <w14:schemeClr w14:val="tx1"/>
            </w14:solidFill>
          </w14:textFill>
        </w:rPr>
        <w:t>BIM</w:t>
      </w:r>
      <w:r>
        <w:rPr>
          <w:rFonts w:hint="eastAsia" w:ascii="宋体" w:hAnsi="宋体"/>
          <w:color w:val="000000" w:themeColor="text1"/>
          <w:szCs w:val="21"/>
          <w:highlight w:val="none"/>
          <w14:textFill>
            <w14:solidFill>
              <w14:schemeClr w14:val="tx1"/>
            </w14:solidFill>
          </w14:textFill>
        </w:rPr>
        <w:t>动态演示视频</w:t>
      </w:r>
      <w:r>
        <w:rPr>
          <w:rFonts w:hint="eastAsia" w:ascii="宋体" w:hAnsi="宋体" w:eastAsia="宋体"/>
          <w:color w:val="000000" w:themeColor="text1"/>
          <w:szCs w:val="21"/>
          <w:highlight w:val="none"/>
          <w14:textFill>
            <w14:solidFill>
              <w14:schemeClr w14:val="tx1"/>
            </w14:solidFill>
          </w14:textFill>
        </w:rPr>
        <w:t>等是否要求提交见投标须知前附表规定。</w:t>
      </w:r>
      <w:r>
        <w:rPr>
          <w:rFonts w:hint="eastAsia" w:ascii="宋体"/>
          <w:color w:val="000000" w:themeColor="text1"/>
          <w:szCs w:val="21"/>
          <w:highlight w:val="none"/>
          <w14:textFill>
            <w14:solidFill>
              <w14:schemeClr w14:val="tx1"/>
            </w14:solidFill>
          </w14:textFill>
        </w:rPr>
        <w:t>技术文件的要求见第六章“发包人要求”第四条规定。</w:t>
      </w:r>
    </w:p>
    <w:p w14:paraId="2A89C5E4">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5F3642A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97" w:name="_Toc2347"/>
      <w:bookmarkStart w:id="198" w:name="_Toc16811"/>
      <w:bookmarkStart w:id="199" w:name="_Toc30376"/>
      <w:bookmarkStart w:id="200" w:name="_Toc4653"/>
      <w:bookmarkStart w:id="201" w:name="_Toc300038938"/>
      <w:bookmarkStart w:id="202" w:name="_Toc516753491"/>
      <w:bookmarkStart w:id="203" w:name="_Toc27802"/>
      <w:bookmarkStart w:id="204" w:name="_Toc300038937"/>
      <w:bookmarkStart w:id="205" w:name="_Toc516753490"/>
      <w:bookmarkStart w:id="206" w:name="_Toc6328"/>
      <w:bookmarkStart w:id="207" w:name="_Toc1244"/>
      <w:r>
        <w:rPr>
          <w:rFonts w:hint="eastAsia" w:ascii="黑体" w:hAnsi="黑体" w:eastAsia="黑体"/>
          <w:b w:val="0"/>
          <w:color w:val="000000" w:themeColor="text1"/>
          <w:sz w:val="28"/>
          <w:szCs w:val="28"/>
          <w:highlight w:val="none"/>
          <w14:textFill>
            <w14:solidFill>
              <w14:schemeClr w14:val="tx1"/>
            </w14:solidFill>
          </w14:textFill>
        </w:rPr>
        <w:t>3.2.最高投标报价限价与投标报价</w:t>
      </w:r>
      <w:bookmarkEnd w:id="197"/>
      <w:bookmarkEnd w:id="198"/>
      <w:bookmarkEnd w:id="199"/>
      <w:bookmarkEnd w:id="200"/>
      <w:bookmarkEnd w:id="201"/>
      <w:bookmarkEnd w:id="202"/>
      <w:bookmarkEnd w:id="203"/>
    </w:p>
    <w:p w14:paraId="0B1A482D">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27C3C56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3.2.1.招标人可参照国家发展计划委员会、建设部2002年发布的《工程设计收费标准》计算方法在招标文件中公布工程设计收费计费额、工程设计收费调整系数、其他设计收费等相关数据，结合项目实际确定浮动幅度值，计算得出设计项目工程设计费最高投标报价限价；招标内容包含勘察的，招标人根据招标的勘察范围和内容参照国家发展计划委员会、建设部2002年发布的《工程勘察收费标准》计算方法，结合项目实际确定浮动幅度值，计算得出工程勘察费最高投标报价限价。财政性投融资招标项目勘察设计费按照《厦门市建设局等4家单位关于优化我市政府投资项目勘察设计费管理的通知》（厦建设[2021]31号）执行（如有新的计费标准，则按新的计费标准执行）。投标人填报的勘察设计投标报价均不得超过招标人公布的勘察设计最高投标报价限价。最高投标报价限价金额和计算办法见投标人须知前附表。</w:t>
      </w:r>
    </w:p>
    <w:p w14:paraId="40A76580">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财政性投融资招标项目</w:t>
      </w:r>
      <w:r>
        <w:rPr>
          <w:rFonts w:ascii="宋体" w:hAnsi="宋体" w:eastAsia="宋体"/>
          <w:color w:val="000000" w:themeColor="text1"/>
          <w:szCs w:val="21"/>
          <w:highlight w:val="none"/>
          <w14:textFill>
            <w14:solidFill>
              <w14:schemeClr w14:val="tx1"/>
            </w14:solidFill>
          </w14:textFill>
        </w:rPr>
        <w:t>BIM</w:t>
      </w:r>
      <w:r>
        <w:rPr>
          <w:rFonts w:hint="eastAsia" w:ascii="宋体" w:hAnsi="宋体" w:eastAsia="宋体"/>
          <w:color w:val="000000" w:themeColor="text1"/>
          <w:szCs w:val="21"/>
          <w:highlight w:val="none"/>
          <w14:textFill>
            <w14:solidFill>
              <w14:schemeClr w14:val="tx1"/>
            </w14:solidFill>
          </w14:textFill>
        </w:rPr>
        <w:t>技术应用收费按照项目投资批复文件中</w:t>
      </w:r>
      <w:r>
        <w:rPr>
          <w:rFonts w:ascii="宋体" w:hAnsi="宋体" w:eastAsia="宋体"/>
          <w:color w:val="000000" w:themeColor="text1"/>
          <w:szCs w:val="21"/>
          <w:highlight w:val="none"/>
          <w14:textFill>
            <w14:solidFill>
              <w14:schemeClr w14:val="tx1"/>
            </w14:solidFill>
          </w14:textFill>
        </w:rPr>
        <w:t>BIM</w:t>
      </w:r>
      <w:r>
        <w:rPr>
          <w:rFonts w:hint="eastAsia" w:ascii="宋体" w:hAnsi="宋体" w:eastAsia="宋体"/>
          <w:color w:val="000000" w:themeColor="text1"/>
          <w:szCs w:val="21"/>
          <w:highlight w:val="none"/>
          <w14:textFill>
            <w14:solidFill>
              <w14:schemeClr w14:val="tx1"/>
            </w14:solidFill>
          </w14:textFill>
        </w:rPr>
        <w:t>技术应用计费标准列明收费金额；国有自筹资金招标项目</w:t>
      </w:r>
      <w:r>
        <w:rPr>
          <w:rFonts w:ascii="宋体" w:hAnsi="宋体" w:eastAsia="宋体"/>
          <w:color w:val="000000" w:themeColor="text1"/>
          <w:szCs w:val="21"/>
          <w:highlight w:val="none"/>
          <w14:textFill>
            <w14:solidFill>
              <w14:schemeClr w14:val="tx1"/>
            </w14:solidFill>
          </w14:textFill>
        </w:rPr>
        <w:t>BIM</w:t>
      </w:r>
      <w:r>
        <w:rPr>
          <w:rFonts w:hint="eastAsia" w:ascii="宋体" w:hAnsi="宋体" w:eastAsia="宋体"/>
          <w:color w:val="000000" w:themeColor="text1"/>
          <w:szCs w:val="21"/>
          <w:highlight w:val="none"/>
          <w14:textFill>
            <w14:solidFill>
              <w14:schemeClr w14:val="tx1"/>
            </w14:solidFill>
          </w14:textFill>
        </w:rPr>
        <w:t>技术应用收费参照厦门市建设工程造价管理协会《关于发布〈厦门市建筑信息模型（</w:t>
      </w:r>
      <w:r>
        <w:rPr>
          <w:rFonts w:ascii="宋体" w:hAnsi="宋体" w:eastAsia="宋体"/>
          <w:color w:val="000000" w:themeColor="text1"/>
          <w:szCs w:val="21"/>
          <w:highlight w:val="none"/>
          <w14:textFill>
            <w14:solidFill>
              <w14:schemeClr w14:val="tx1"/>
            </w14:solidFill>
          </w14:textFill>
        </w:rPr>
        <w:t>BIM</w:t>
      </w:r>
      <w:r>
        <w:rPr>
          <w:rFonts w:hint="eastAsia" w:ascii="宋体" w:hAnsi="宋体" w:eastAsia="宋体"/>
          <w:color w:val="000000" w:themeColor="text1"/>
          <w:szCs w:val="21"/>
          <w:highlight w:val="none"/>
          <w14:textFill>
            <w14:solidFill>
              <w14:schemeClr w14:val="tx1"/>
            </w14:solidFill>
          </w14:textFill>
        </w:rPr>
        <w:t>）技术应用计费参考〉的通知》（厦建价协[2021]05号）计费标准列明收费金额（如有新的计费标准，则按新的计费标准执行）。</w:t>
      </w:r>
    </w:p>
    <w:p w14:paraId="5C0C5204">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财政性投融资招标项目绿色建筑设计费按照项目投资批复文件中绿色建筑计费标准列明收费金额；国有自筹资金招标项目绿色建筑设计费参照</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《关于规范福建省绿色建筑与海绵城市咨询服务收费标准及相关事项的通知》</w:t>
      </w:r>
      <w:r>
        <w:rPr>
          <w:rFonts w:hint="eastAsia" w:ascii="宋体" w:hAnsi="宋体" w:eastAsia="宋体" w:cs="宋体"/>
          <w:i w:val="0"/>
          <w:iCs w:val="0"/>
          <w:color w:val="000000" w:themeColor="text1"/>
          <w:sz w:val="21"/>
          <w:szCs w:val="21"/>
          <w:highlight w:val="none"/>
          <w:u w:val="none"/>
          <w14:textFill>
            <w14:solidFill>
              <w14:schemeClr w14:val="tx1"/>
            </w14:solidFill>
          </w14:textFill>
        </w:rPr>
        <w:t>（</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闽绿建函</w:t>
      </w:r>
      <w:r>
        <w:rPr>
          <w:rFonts w:hint="eastAsia" w:ascii="宋体" w:hAnsi="宋体" w:eastAsia="宋体" w:cs="宋体"/>
          <w:i w:val="0"/>
          <w:iCs w:val="0"/>
          <w:color w:val="000000" w:themeColor="text1"/>
          <w:sz w:val="21"/>
          <w:szCs w:val="21"/>
          <w:highlight w:val="none"/>
          <w:u w:val="none"/>
          <w14:textFill>
            <w14:solidFill>
              <w14:schemeClr w14:val="tx1"/>
            </w14:solidFill>
          </w14:textFill>
        </w:rPr>
        <w:t>[20</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17</w:t>
      </w:r>
      <w:r>
        <w:rPr>
          <w:rFonts w:hint="eastAsia" w:ascii="宋体" w:hAnsi="宋体" w:eastAsia="宋体" w:cs="宋体"/>
          <w:i w:val="0"/>
          <w:iCs w:val="0"/>
          <w:color w:val="000000" w:themeColor="text1"/>
          <w:sz w:val="21"/>
          <w:szCs w:val="21"/>
          <w:highlight w:val="none"/>
          <w:u w:val="none"/>
          <w14:textFill>
            <w14:solidFill>
              <w14:schemeClr w14:val="tx1"/>
            </w14:solidFill>
          </w14:textFill>
        </w:rPr>
        <w:t>]</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14</w:t>
      </w:r>
      <w:r>
        <w:rPr>
          <w:rFonts w:hint="eastAsia" w:ascii="宋体" w:hAnsi="宋体" w:eastAsia="宋体" w:cs="宋体"/>
          <w:i w:val="0"/>
          <w:iCs w:val="0"/>
          <w:color w:val="000000" w:themeColor="text1"/>
          <w:sz w:val="21"/>
          <w:szCs w:val="21"/>
          <w:highlight w:val="none"/>
          <w:u w:val="none"/>
          <w14:textFill>
            <w14:solidFill>
              <w14:schemeClr w14:val="tx1"/>
            </w14:solidFill>
          </w14:textFill>
        </w:rPr>
        <w:t>号）</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或</w:t>
      </w:r>
      <w:r>
        <w:rPr>
          <w:rFonts w:hint="eastAsia" w:ascii="宋体" w:hAnsi="宋体" w:eastAsia="宋体"/>
          <w:color w:val="000000" w:themeColor="text1"/>
          <w:szCs w:val="21"/>
          <w:highlight w:val="none"/>
          <w14:textFill>
            <w14:solidFill>
              <w14:schemeClr w14:val="tx1"/>
            </w14:solidFill>
          </w14:textFill>
        </w:rPr>
        <w:t>《厦门市人民政府办公厅转发市建设管理局等部门关于厦门市绿色建筑行动实施方案的通知》（厦府办〔2014〕11 号）计费标准列明收费金额（如有新的计费标准，则按新的计费标准执行）</w:t>
      </w:r>
      <w:r>
        <w:rPr>
          <w:rFonts w:hint="eastAsia" w:ascii="宋体" w:hAnsi="宋体" w:eastAsia="宋体"/>
          <w:color w:val="000000" w:themeColor="text1"/>
          <w:szCs w:val="21"/>
          <w:highlight w:val="none"/>
          <w:lang w:eastAsia="zh-CN"/>
          <w14:textFill>
            <w14:solidFill>
              <w14:schemeClr w14:val="tx1"/>
            </w14:solidFill>
          </w14:textFill>
        </w:rPr>
        <w:t>。</w:t>
      </w:r>
    </w:p>
    <w:p w14:paraId="79795DF0">
      <w:pPr>
        <w:pStyle w:val="13"/>
        <w:tabs>
          <w:tab w:val="left" w:pos="1000"/>
        </w:tabs>
        <w:spacing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招标人的工程勘察收费基准价是根据现有和参考临近工程项目的资料做出的估算；若资料欠缺，可采用工程投资额的1-3%进行估算，投资额较大或地质条件简单取小值、投资额较小或地质条件复杂取大值。</w:t>
      </w:r>
    </w:p>
    <w:p w14:paraId="6408C36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3.2.2.</w:t>
      </w:r>
      <w:r>
        <w:rPr>
          <w:rFonts w:hint="eastAsia"/>
          <w:color w:val="000000" w:themeColor="text1"/>
          <w:szCs w:val="21"/>
          <w:highlight w:val="none"/>
          <w14:textFill>
            <w14:solidFill>
              <w14:schemeClr w14:val="tx1"/>
            </w14:solidFill>
          </w14:textFill>
        </w:rPr>
        <w:t>投标人应充分了解</w:t>
      </w:r>
      <w:r>
        <w:rPr>
          <w:rFonts w:hint="eastAsia" w:ascii="宋体" w:hAnsi="宋体" w:eastAsia="宋体"/>
          <w:color w:val="000000" w:themeColor="text1"/>
          <w:szCs w:val="21"/>
          <w:highlight w:val="none"/>
          <w14:textFill>
            <w14:solidFill>
              <w14:schemeClr w14:val="tx1"/>
            </w14:solidFill>
          </w14:textFill>
        </w:rPr>
        <w:t>本招标项目</w:t>
      </w:r>
      <w:r>
        <w:rPr>
          <w:rFonts w:hint="eastAsia"/>
          <w:color w:val="000000" w:themeColor="text1"/>
          <w:szCs w:val="21"/>
          <w:highlight w:val="none"/>
          <w14:textFill>
            <w14:solidFill>
              <w14:schemeClr w14:val="tx1"/>
            </w14:solidFill>
          </w14:textFill>
        </w:rPr>
        <w:t>的总体情况以及影响投标报价的其他要素，按照招标文件规定的设计（勘察）工作内容，结合企业综合实力，自行测算设计（勘察）费用，并</w:t>
      </w:r>
      <w:r>
        <w:rPr>
          <w:rFonts w:hint="eastAsia" w:ascii="宋体" w:hAnsi="宋体" w:eastAsia="宋体"/>
          <w:color w:val="000000" w:themeColor="text1"/>
          <w:szCs w:val="21"/>
          <w:highlight w:val="none"/>
          <w14:textFill>
            <w14:solidFill>
              <w14:schemeClr w14:val="tx1"/>
            </w14:solidFill>
          </w14:textFill>
        </w:rPr>
        <w:t>按第七章</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投标文件格式</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的要求在投标函中进行报价并填写设计（勘察）投标报价相应表格；</w:t>
      </w:r>
      <w:r>
        <w:rPr>
          <w:rFonts w:hint="eastAsia" w:ascii="宋体" w:hAnsi="宋体" w:eastAsia="宋体" w:cs="Times New Roman"/>
          <w:color w:val="000000" w:themeColor="text1"/>
          <w:szCs w:val="21"/>
          <w:highlight w:val="none"/>
          <w14:textFill>
            <w14:solidFill>
              <w14:schemeClr w14:val="tx1"/>
            </w14:solidFill>
          </w14:textFill>
        </w:rPr>
        <w:t>采用分项收费方式</w:t>
      </w:r>
      <w:r>
        <w:rPr>
          <w:rFonts w:hint="eastAsia" w:ascii="宋体" w:hAnsi="宋体" w:eastAsia="宋体"/>
          <w:color w:val="000000" w:themeColor="text1"/>
          <w:szCs w:val="21"/>
          <w:highlight w:val="none"/>
          <w14:textFill>
            <w14:solidFill>
              <w14:schemeClr w14:val="tx1"/>
            </w14:solidFill>
          </w14:textFill>
        </w:rPr>
        <w:t>的，招标人应在最高投标报价限价公布的</w:t>
      </w:r>
      <w:r>
        <w:rPr>
          <w:rFonts w:hint="eastAsia" w:ascii="宋体" w:hAnsi="宋体" w:eastAsia="宋体" w:cs="Times New Roman"/>
          <w:color w:val="000000" w:themeColor="text1"/>
          <w:szCs w:val="21"/>
          <w:highlight w:val="none"/>
          <w14:textFill>
            <w14:solidFill>
              <w14:schemeClr w14:val="tx1"/>
            </w14:solidFill>
          </w14:textFill>
        </w:rPr>
        <w:t>《工程设计收费分项表》、《BIM技术应用收费分项表》、《绿色建筑设计费分项表》</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《工程勘察分项表》</w:t>
      </w:r>
      <w:r>
        <w:rPr>
          <w:rFonts w:hint="eastAsia" w:ascii="宋体" w:hAnsi="宋体" w:eastAsia="宋体"/>
          <w:color w:val="000000" w:themeColor="text1"/>
          <w:szCs w:val="21"/>
          <w:highlight w:val="none"/>
          <w14:textFill>
            <w14:solidFill>
              <w14:schemeClr w14:val="tx1"/>
            </w14:solidFill>
          </w14:textFill>
        </w:rPr>
        <w:t>基础上增加相应报价栏供投标人报价，</w:t>
      </w:r>
      <w:r>
        <w:rPr>
          <w:rFonts w:hint="eastAsia" w:ascii="宋体" w:hAnsi="宋体" w:eastAsia="宋体" w:cs="Times New Roman"/>
          <w:color w:val="000000" w:themeColor="text1"/>
          <w:szCs w:val="21"/>
          <w:highlight w:val="none"/>
          <w14:textFill>
            <w14:solidFill>
              <w14:schemeClr w14:val="tx1"/>
            </w14:solidFill>
          </w14:textFill>
        </w:rPr>
        <w:t>格式由招标人自拟</w:t>
      </w:r>
      <w:r>
        <w:rPr>
          <w:rFonts w:hint="eastAsia"/>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投标人的投标报价应是完成招标文件和合同条款上所列招标项目的范围、服务期限、以及服务内容等全部内容的价格体现。</w:t>
      </w:r>
    </w:p>
    <w:p w14:paraId="4DE57B3B">
      <w:pPr>
        <w:pStyle w:val="13"/>
        <w:tabs>
          <w:tab w:val="left" w:pos="1000"/>
        </w:tabs>
        <w:spacing w:line="360" w:lineRule="auto"/>
        <w:ind w:firstLine="411" w:firstLineChars="196"/>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3.2.3.本招标文件约定由中标人承担工程勘察的，为满足设计和规范所要求的全部勘察报告和资料，以及工程施工所需要的配合服务（包括收集资料，现场踏勘，制订勘察纲要，进行测绘、勘探、取样、试验、测试、检测、监测等勘察作业，以及编制工程勘察文件和岩土工程设计文件等收取的费用，并包括与设计单位、施工单位的配合，后续服务等内容）的费用应包含在勘察费的投标报价中；承担方案设计的，其为方案获得批准所需要的优化和修改的全部工作的费用也包含在设计费中；承担施工图设计的，其为工程所需的初步设计、概算和施工现场服务的费用也都包含在施工图设计费中。所有根据合同或其他原因应由中标人支付的税金和其他应缴纳的费用都要包括在投标报价中。</w:t>
      </w:r>
    </w:p>
    <w:p w14:paraId="07FF644B">
      <w:pPr>
        <w:pStyle w:val="13"/>
        <w:tabs>
          <w:tab w:val="left" w:pos="1000"/>
        </w:tabs>
        <w:spacing w:line="360" w:lineRule="auto"/>
        <w:ind w:firstLine="411" w:firstLineChars="196"/>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3.2.4.设计计费基数是根据招标时拟定的工程规模进行估算的，如工程估算与经批准的金额不一致的，则以后者金额为计费基数，按实调整设计费，但中标的设计费浮动幅度保持不变。中标人的设计费投标报价有优惠的，则按实调整后的设计费乘以优惠率，</w:t>
      </w:r>
      <w:r>
        <w:rPr>
          <w:rFonts w:hint="eastAsia" w:ascii="宋体" w:hAnsi="宋体" w:eastAsia="宋体" w:cs="宋体"/>
          <w:color w:val="000000" w:themeColor="text1"/>
          <w:szCs w:val="21"/>
          <w:highlight w:val="none"/>
          <w14:textFill>
            <w14:solidFill>
              <w14:schemeClr w14:val="tx1"/>
            </w14:solidFill>
          </w14:textFill>
        </w:rPr>
        <w:t>优惠率=（1-设计费投标报价/设计费最高投标报价限价）×100％</w:t>
      </w:r>
      <w:r>
        <w:rPr>
          <w:rFonts w:hint="eastAsia" w:ascii="宋体" w:hAnsi="宋体" w:eastAsia="宋体"/>
          <w:color w:val="000000" w:themeColor="text1"/>
          <w:szCs w:val="21"/>
          <w:highlight w:val="none"/>
          <w14:textFill>
            <w14:solidFill>
              <w14:schemeClr w14:val="tx1"/>
            </w14:solidFill>
          </w14:textFill>
        </w:rPr>
        <w:t>。</w:t>
      </w:r>
    </w:p>
    <w:p w14:paraId="6281FBFA">
      <w:pPr>
        <w:pStyle w:val="13"/>
        <w:tabs>
          <w:tab w:val="left" w:pos="1000"/>
        </w:tabs>
        <w:spacing w:line="360" w:lineRule="auto"/>
        <w:ind w:firstLine="411" w:firstLineChars="196"/>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3.2.5.工程勘察收费基准价是根据招标时拟定的工程规模进行估算的，如实际规模与招标时拟定的规模有异的，招标人和中标人在合同中约定以最终确定的工程规模对应的实物工作量计算工程勘察收费基准价和调整工程勘察收费金额，但其他因素不得作为调价的依据，中标的勘察费浮动幅度值保持不变。中标人的勘察费投标报价有优惠的，则按实调整后的勘察费乘以优惠率，优惠率=</w:t>
      </w:r>
      <w:r>
        <w:rPr>
          <w:rFonts w:hint="eastAsia" w:ascii="宋体"/>
          <w:color w:val="000000" w:themeColor="text1"/>
          <w:szCs w:val="21"/>
          <w:highlight w:val="none"/>
          <w14:textFill>
            <w14:solidFill>
              <w14:schemeClr w14:val="tx1"/>
            </w14:solidFill>
          </w14:textFill>
        </w:rPr>
        <w:t>（1-勘察费投标报价/勘察费</w:t>
      </w:r>
      <w:r>
        <w:rPr>
          <w:rFonts w:hint="eastAsia" w:ascii="宋体" w:hAnsi="宋体" w:eastAsia="宋体"/>
          <w:color w:val="000000" w:themeColor="text1"/>
          <w:szCs w:val="21"/>
          <w:highlight w:val="none"/>
          <w14:textFill>
            <w14:solidFill>
              <w14:schemeClr w14:val="tx1"/>
            </w14:solidFill>
          </w14:textFill>
        </w:rPr>
        <w:t>最高投标报价限价</w:t>
      </w:r>
      <w:r>
        <w:rPr>
          <w:rFonts w:hint="eastAsia" w:ascii="宋体"/>
          <w:color w:val="000000" w:themeColor="text1"/>
          <w:szCs w:val="21"/>
          <w:highlight w:val="none"/>
          <w14:textFill>
            <w14:solidFill>
              <w14:schemeClr w14:val="tx1"/>
            </w14:solidFill>
          </w14:textFill>
        </w:rPr>
        <w:t>）×100％</w:t>
      </w:r>
      <w:r>
        <w:rPr>
          <w:rFonts w:hint="eastAsia" w:ascii="宋体" w:hAnsi="宋体" w:eastAsia="宋体"/>
          <w:color w:val="000000" w:themeColor="text1"/>
          <w:szCs w:val="21"/>
          <w:highlight w:val="none"/>
          <w14:textFill>
            <w14:solidFill>
              <w14:schemeClr w14:val="tx1"/>
            </w14:solidFill>
          </w14:textFill>
        </w:rPr>
        <w:t>。</w:t>
      </w:r>
    </w:p>
    <w:p w14:paraId="4F9EA49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3.2.6.本招标项目的投标应以人民币报价,合同实施时亦以人民币支付。境外机构的投标人的报价若以可兑换货币报价的，则以投标截止期前1工作日中国银行公布的外汇牌价折算，但所有支付均使用人民币。</w:t>
      </w:r>
    </w:p>
    <w:p w14:paraId="76E2B575">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3.2.7.</w:t>
      </w:r>
      <w:r>
        <w:rPr>
          <w:rFonts w:hint="eastAsia"/>
          <w:color w:val="000000" w:themeColor="text1"/>
          <w:szCs w:val="21"/>
          <w:highlight w:val="none"/>
          <w14:textFill>
            <w14:solidFill>
              <w14:schemeClr w14:val="tx1"/>
            </w14:solidFill>
          </w14:textFill>
        </w:rPr>
        <w:t>投标报价的其他要求见投标人须知前附表。</w:t>
      </w:r>
    </w:p>
    <w:p w14:paraId="106E44BA">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08" w:name="_Toc32118"/>
      <w:bookmarkStart w:id="209" w:name="_Toc516753493"/>
      <w:bookmarkStart w:id="210" w:name="_Toc20986"/>
      <w:bookmarkStart w:id="211" w:name="_Toc300038940"/>
      <w:bookmarkStart w:id="212" w:name="_Toc22362"/>
      <w:bookmarkStart w:id="213" w:name="_Toc22678"/>
      <w:bookmarkStart w:id="214" w:name="_Toc13829"/>
      <w:r>
        <w:rPr>
          <w:rFonts w:hint="eastAsia" w:ascii="黑体" w:hAnsi="黑体" w:eastAsia="黑体"/>
          <w:b w:val="0"/>
          <w:color w:val="000000" w:themeColor="text1"/>
          <w:sz w:val="28"/>
          <w:szCs w:val="28"/>
          <w:highlight w:val="none"/>
          <w14:textFill>
            <w14:solidFill>
              <w14:schemeClr w14:val="tx1"/>
            </w14:solidFill>
          </w14:textFill>
        </w:rPr>
        <w:t>3.3.投标有效期</w:t>
      </w:r>
      <w:bookmarkEnd w:id="208"/>
      <w:bookmarkEnd w:id="209"/>
      <w:bookmarkEnd w:id="210"/>
      <w:bookmarkEnd w:id="211"/>
      <w:bookmarkEnd w:id="212"/>
      <w:bookmarkEnd w:id="213"/>
      <w:bookmarkEnd w:id="214"/>
    </w:p>
    <w:p w14:paraId="636248EF">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586B6B4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3.3.1.除投标人须知前附表另有规定外，投标有效期为90日历天。在此期限内，凡符合招标文件要求的投标文件均保持有效。投标有效期从</w:t>
      </w:r>
      <w:r>
        <w:rPr>
          <w:rFonts w:hint="eastAsia" w:ascii="宋体" w:hAnsi="宋体" w:eastAsia="宋体"/>
          <w:color w:val="000000" w:themeColor="text1"/>
          <w:szCs w:val="21"/>
          <w:highlight w:val="none"/>
          <w:lang w:eastAsia="zh-CN"/>
          <w14:textFill>
            <w14:solidFill>
              <w14:schemeClr w14:val="tx1"/>
            </w14:solidFill>
          </w14:textFill>
        </w:rPr>
        <w:t>递交投标文件</w:t>
      </w:r>
      <w:r>
        <w:rPr>
          <w:rFonts w:hint="eastAsia" w:ascii="宋体" w:hAnsi="宋体" w:eastAsia="宋体"/>
          <w:color w:val="000000" w:themeColor="text1"/>
          <w:szCs w:val="21"/>
          <w:highlight w:val="none"/>
          <w14:textFill>
            <w14:solidFill>
              <w14:schemeClr w14:val="tx1"/>
            </w14:solidFill>
          </w14:textFill>
        </w:rPr>
        <w:t>的截止之日起算。</w:t>
      </w:r>
    </w:p>
    <w:p w14:paraId="18C047F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3.3.2.如果出现特殊情况，招标人在原定投标有效期满之前，可要求投标人将投标有效期延长一段时间。招标人应当通过电子交易平台通知所有投标人延长投标有效期。投标人应当在规定的时间内通过电子交易平台进行确认，逾期未确认的，视为不同意延长投标有效期。投标人可以拒绝这种要求而</w:t>
      </w:r>
      <w:r>
        <w:rPr>
          <w:rFonts w:hint="eastAsia" w:ascii="宋体" w:hAnsi="宋体" w:eastAsia="宋体"/>
          <w:color w:val="000000" w:themeColor="text1"/>
          <w:szCs w:val="21"/>
          <w:highlight w:val="none"/>
          <w:lang w:eastAsia="zh-CN"/>
          <w14:textFill>
            <w14:solidFill>
              <w14:schemeClr w14:val="tx1"/>
            </w14:solidFill>
          </w14:textFill>
        </w:rPr>
        <w:t>予以退还</w:t>
      </w:r>
      <w:r>
        <w:rPr>
          <w:rFonts w:hint="eastAsia" w:ascii="宋体" w:hAnsi="宋体" w:eastAsia="宋体"/>
          <w:color w:val="000000" w:themeColor="text1"/>
          <w:szCs w:val="21"/>
          <w:highlight w:val="none"/>
          <w14:textFill>
            <w14:solidFill>
              <w14:schemeClr w14:val="tx1"/>
            </w14:solidFill>
          </w14:textFill>
        </w:rPr>
        <w:t>投标保证金。同意延期的投标人，不需要也不允许修改他的投标文件，但需要将其投标保证金延长相同的时间。在延长的投标有效期内，本须知第3.4款关于投标保证金的退还与</w:t>
      </w:r>
      <w:r>
        <w:rPr>
          <w:rFonts w:hint="eastAsia" w:ascii="宋体" w:hAnsi="宋体" w:eastAsia="宋体"/>
          <w:color w:val="000000" w:themeColor="text1"/>
          <w:szCs w:val="21"/>
          <w:highlight w:val="none"/>
          <w:lang w:val="en-US" w:eastAsia="zh-CN"/>
          <w14:textFill>
            <w14:solidFill>
              <w14:schemeClr w14:val="tx1"/>
            </w14:solidFill>
          </w14:textFill>
        </w:rPr>
        <w:t>不予退还</w:t>
      </w:r>
      <w:r>
        <w:rPr>
          <w:rFonts w:hint="eastAsia" w:ascii="宋体" w:hAnsi="宋体" w:eastAsia="宋体"/>
          <w:color w:val="000000" w:themeColor="text1"/>
          <w:szCs w:val="21"/>
          <w:highlight w:val="none"/>
          <w14:textFill>
            <w14:solidFill>
              <w14:schemeClr w14:val="tx1"/>
            </w14:solidFill>
          </w14:textFill>
        </w:rPr>
        <w:t>的规定仍然适用。</w:t>
      </w:r>
    </w:p>
    <w:bookmarkEnd w:id="204"/>
    <w:bookmarkEnd w:id="205"/>
    <w:bookmarkEnd w:id="206"/>
    <w:bookmarkEnd w:id="207"/>
    <w:p w14:paraId="6A9E01A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15" w:name="_Toc516753494"/>
      <w:bookmarkStart w:id="216" w:name="_Toc13276"/>
      <w:bookmarkStart w:id="217" w:name="_Toc18027"/>
      <w:bookmarkStart w:id="218" w:name="_Toc332"/>
      <w:bookmarkStart w:id="219" w:name="_Toc23678"/>
      <w:bookmarkStart w:id="220" w:name="_Toc300038941"/>
      <w:bookmarkStart w:id="221" w:name="_Toc29252"/>
      <w:r>
        <w:rPr>
          <w:rFonts w:hint="eastAsia" w:ascii="黑体" w:hAnsi="黑体" w:eastAsia="黑体"/>
          <w:b w:val="0"/>
          <w:color w:val="000000" w:themeColor="text1"/>
          <w:sz w:val="28"/>
          <w:szCs w:val="28"/>
          <w:highlight w:val="none"/>
          <w14:textFill>
            <w14:solidFill>
              <w14:schemeClr w14:val="tx1"/>
            </w14:solidFill>
          </w14:textFill>
        </w:rPr>
        <w:t>3.4.投标保证金</w:t>
      </w:r>
      <w:bookmarkEnd w:id="215"/>
      <w:bookmarkEnd w:id="216"/>
      <w:bookmarkEnd w:id="217"/>
      <w:bookmarkEnd w:id="218"/>
      <w:bookmarkEnd w:id="219"/>
      <w:bookmarkEnd w:id="220"/>
      <w:bookmarkEnd w:id="221"/>
    </w:p>
    <w:p w14:paraId="56425D9F">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17DCEB7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3.4.1.投标人应提供一份投标人须知前附表所述金额和规定的</w:t>
      </w:r>
      <w:r>
        <w:rPr>
          <w:rFonts w:hint="eastAsia" w:ascii="宋体" w:hAnsi="宋体" w:eastAsia="宋体"/>
          <w:color w:val="000000" w:themeColor="text1"/>
          <w:szCs w:val="21"/>
          <w:highlight w:val="none"/>
          <w:lang w:val="en-US" w:eastAsia="zh-CN"/>
          <w14:textFill>
            <w14:solidFill>
              <w14:schemeClr w14:val="tx1"/>
            </w14:solidFill>
          </w14:textFill>
        </w:rPr>
        <w:t>递交</w:t>
      </w:r>
      <w:r>
        <w:rPr>
          <w:rFonts w:hint="eastAsia" w:ascii="宋体" w:hAnsi="宋体" w:eastAsia="宋体"/>
          <w:color w:val="000000" w:themeColor="text1"/>
          <w:szCs w:val="21"/>
          <w:highlight w:val="none"/>
          <w14:textFill>
            <w14:solidFill>
              <w14:schemeClr w14:val="tx1"/>
            </w14:solidFill>
          </w14:textFill>
        </w:rPr>
        <w:t>方式的投标保证金，并将相关证明材料作为其投标文件的组成部分。招标人要求的投标保证金不得超过招标项目估算价的2%。投标保证金有效期应当不少于投标有效期。以联合体形式投标的，投标保证金由牵头人</w:t>
      </w:r>
      <w:r>
        <w:rPr>
          <w:rFonts w:hint="eastAsia" w:ascii="宋体" w:hAnsi="宋体" w:eastAsia="宋体"/>
          <w:color w:val="000000" w:themeColor="text1"/>
          <w:szCs w:val="21"/>
          <w:highlight w:val="none"/>
          <w:lang w:eastAsia="zh-CN"/>
          <w14:textFill>
            <w14:solidFill>
              <w14:schemeClr w14:val="tx1"/>
            </w14:solidFill>
          </w14:textFill>
        </w:rPr>
        <w:t>递交</w:t>
      </w:r>
      <w:r>
        <w:rPr>
          <w:rFonts w:hint="eastAsia" w:ascii="宋体" w:hAnsi="宋体" w:eastAsia="宋体"/>
          <w:color w:val="000000" w:themeColor="text1"/>
          <w:szCs w:val="21"/>
          <w:highlight w:val="none"/>
          <w14:textFill>
            <w14:solidFill>
              <w14:schemeClr w14:val="tx1"/>
            </w14:solidFill>
          </w14:textFill>
        </w:rPr>
        <w:t>。</w:t>
      </w:r>
    </w:p>
    <w:p w14:paraId="0E05C37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3.4.2.对于未能按要求</w:t>
      </w:r>
      <w:r>
        <w:rPr>
          <w:rFonts w:hint="eastAsia" w:ascii="宋体" w:hAnsi="宋体" w:eastAsia="宋体"/>
          <w:color w:val="000000" w:themeColor="text1"/>
          <w:szCs w:val="21"/>
          <w:highlight w:val="none"/>
          <w:lang w:eastAsia="zh-CN"/>
          <w14:textFill>
            <w14:solidFill>
              <w14:schemeClr w14:val="tx1"/>
            </w14:solidFill>
          </w14:textFill>
        </w:rPr>
        <w:t>递交</w:t>
      </w:r>
      <w:r>
        <w:rPr>
          <w:rFonts w:hint="eastAsia" w:ascii="宋体" w:hAnsi="宋体" w:eastAsia="宋体"/>
          <w:color w:val="000000" w:themeColor="text1"/>
          <w:szCs w:val="21"/>
          <w:highlight w:val="none"/>
          <w14:textFill>
            <w14:solidFill>
              <w14:schemeClr w14:val="tx1"/>
            </w14:solidFill>
          </w14:textFill>
        </w:rPr>
        <w:t>投标保证金的投标，将被视为不响应招标文件而予以拒绝。</w:t>
      </w:r>
    </w:p>
    <w:p w14:paraId="3E13AF7C">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3.4.3.招标人在</w:t>
      </w:r>
      <w:r>
        <w:rPr>
          <w:rFonts w:hint="eastAsia" w:ascii="宋体" w:hAnsi="宋体" w:eastAsia="宋体"/>
          <w:color w:val="000000" w:themeColor="text1"/>
          <w:szCs w:val="21"/>
          <w:highlight w:val="none"/>
          <w:lang w:val="en-US" w:eastAsia="zh-CN"/>
          <w14:textFill>
            <w14:solidFill>
              <w14:schemeClr w14:val="tx1"/>
            </w14:solidFill>
          </w14:textFill>
        </w:rPr>
        <w:t>中标结果公布之日起</w:t>
      </w:r>
      <w:r>
        <w:rPr>
          <w:rFonts w:hint="eastAsia" w:ascii="宋体" w:hAnsi="宋体" w:eastAsia="宋体"/>
          <w:color w:val="000000" w:themeColor="text1"/>
          <w:szCs w:val="21"/>
          <w:highlight w:val="none"/>
          <w14:textFill>
            <w14:solidFill>
              <w14:schemeClr w14:val="tx1"/>
            </w14:solidFill>
          </w14:textFill>
        </w:rPr>
        <w:t>的5日内（因投标人投诉可能造成重新评标</w:t>
      </w:r>
      <w:r>
        <w:rPr>
          <w:rFonts w:hint="eastAsia" w:ascii="宋体" w:hAnsi="宋体" w:eastAsia="宋体"/>
          <w:color w:val="000000" w:themeColor="text1"/>
          <w:szCs w:val="21"/>
          <w:highlight w:val="none"/>
          <w:lang w:val="en-US" w:eastAsia="zh-CN"/>
          <w14:textFill>
            <w14:solidFill>
              <w14:schemeClr w14:val="tx1"/>
            </w14:solidFill>
          </w14:textFill>
        </w:rPr>
        <w:t>或重新定标</w:t>
      </w:r>
      <w:r>
        <w:rPr>
          <w:rFonts w:hint="eastAsia" w:ascii="宋体" w:hAnsi="宋体" w:eastAsia="宋体"/>
          <w:color w:val="000000" w:themeColor="text1"/>
          <w:szCs w:val="21"/>
          <w:highlight w:val="none"/>
          <w14:textFill>
            <w14:solidFill>
              <w14:schemeClr w14:val="tx1"/>
            </w14:solidFill>
          </w14:textFill>
        </w:rPr>
        <w:t>的，在投诉处理完后5日内），应通知</w:t>
      </w:r>
      <w:r>
        <w:rPr>
          <w:rFonts w:hint="eastAsia" w:ascii="宋体" w:hAnsi="宋体" w:eastAsia="宋体"/>
          <w:color w:val="000000" w:themeColor="text1"/>
          <w:szCs w:val="21"/>
          <w:highlight w:val="none"/>
          <w:lang w:val="en-US" w:eastAsia="zh-CN"/>
          <w14:textFill>
            <w14:solidFill>
              <w14:schemeClr w14:val="tx1"/>
            </w14:solidFill>
          </w14:textFill>
        </w:rPr>
        <w:t>中标候选人</w:t>
      </w:r>
      <w:r>
        <w:rPr>
          <w:rFonts w:hint="eastAsia" w:ascii="宋体" w:hAnsi="宋体" w:eastAsia="宋体"/>
          <w:color w:val="000000" w:themeColor="text1"/>
          <w:szCs w:val="21"/>
          <w:highlight w:val="none"/>
          <w14:textFill>
            <w14:solidFill>
              <w14:schemeClr w14:val="tx1"/>
            </w14:solidFill>
          </w14:textFill>
        </w:rPr>
        <w:t>以外的投标人到投标保证金的收款单位办理投标保证金退还手续，同时通知投标保证金的收款单位开始退还投标保证金的日期、退还金额、退还的投标人名称，并退还现金投标保证金及银行同期存款利息（银行存款利率类型及利息部分应出具发票的类型见投标人须知前附表的规定，下同）。</w:t>
      </w:r>
    </w:p>
    <w:p w14:paraId="0DCD484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招标人在与中标人签订合同后的5日内，按本投标人须知第3.4.</w:t>
      </w:r>
      <w:r>
        <w:rPr>
          <w:rFonts w:hint="eastAsia" w:ascii="宋体" w:hAnsi="宋体" w:eastAsia="宋体"/>
          <w:color w:val="000000" w:themeColor="text1"/>
          <w:szCs w:val="21"/>
          <w:highlight w:val="none"/>
          <w:lang w:val="en-US" w:eastAsia="zh-CN"/>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项规定的办法将投标保证金退还中标人</w:t>
      </w:r>
      <w:r>
        <w:rPr>
          <w:rFonts w:hint="eastAsia" w:ascii="宋体" w:hAnsi="宋体" w:eastAsia="宋体"/>
          <w:color w:val="000000" w:themeColor="text1"/>
          <w:szCs w:val="21"/>
          <w:highlight w:val="none"/>
          <w:lang w:val="en-US" w:eastAsia="zh-CN"/>
          <w14:textFill>
            <w14:solidFill>
              <w14:schemeClr w14:val="tx1"/>
            </w14:solidFill>
          </w14:textFill>
        </w:rPr>
        <w:t>及中标候选人</w:t>
      </w:r>
      <w:r>
        <w:rPr>
          <w:rFonts w:hint="eastAsia" w:ascii="宋体" w:hAnsi="宋体" w:eastAsia="宋体"/>
          <w:color w:val="000000" w:themeColor="text1"/>
          <w:szCs w:val="21"/>
          <w:highlight w:val="none"/>
          <w14:textFill>
            <w14:solidFill>
              <w14:schemeClr w14:val="tx1"/>
            </w14:solidFill>
          </w14:textFill>
        </w:rPr>
        <w:t>。招标文件中规定中标人需提交履约担保的, 招标人应当在与中标人签订合同且提交履约担保后的5日内, 将投标保证金退还中标人。</w:t>
      </w:r>
    </w:p>
    <w:p w14:paraId="4D6D253A">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3.4.4.如投标人有下列情况之一发生时，其投标保证金将</w:t>
      </w:r>
      <w:r>
        <w:rPr>
          <w:rFonts w:hint="eastAsia" w:ascii="宋体" w:hAnsi="宋体" w:eastAsia="宋体"/>
          <w:strike w:val="0"/>
          <w:color w:val="000000" w:themeColor="text1"/>
          <w:szCs w:val="21"/>
          <w:highlight w:val="none"/>
          <w:lang w:val="en-US" w:eastAsia="zh-CN"/>
          <w14:textFill>
            <w14:solidFill>
              <w14:schemeClr w14:val="tx1"/>
            </w14:solidFill>
          </w14:textFill>
        </w:rPr>
        <w:t>不予退还</w:t>
      </w:r>
      <w:r>
        <w:rPr>
          <w:rFonts w:hint="eastAsia" w:ascii="宋体" w:hAnsi="宋体" w:eastAsia="宋体"/>
          <w:color w:val="000000" w:themeColor="text1"/>
          <w:szCs w:val="21"/>
          <w:highlight w:val="none"/>
          <w14:textFill>
            <w14:solidFill>
              <w14:schemeClr w14:val="tx1"/>
            </w14:solidFill>
          </w14:textFill>
        </w:rPr>
        <w:t>：</w:t>
      </w:r>
    </w:p>
    <w:p w14:paraId="17B13CC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 投标人在投标有效期内撤回其投标文件（电子投标文件无法解密或无法打开读取的除外）；</w:t>
      </w:r>
    </w:p>
    <w:p w14:paraId="5695716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（2）投标人拒绝按《评标办法》规定对细微偏差补正；</w:t>
      </w:r>
    </w:p>
    <w:p w14:paraId="7E0A3335">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（3）中标人非因不可抗力原因放弃中标、或无正当理由在规定期限内不与招标人订立合同、或在签订合同时向招标人提出附加条件、或不按照招标文件要求提交履约担保金；</w:t>
      </w:r>
    </w:p>
    <w:p w14:paraId="5631CCC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（4）投标文件存在投标人须知第4.1.4款规定的雷同情形之一的；</w:t>
      </w:r>
    </w:p>
    <w:p w14:paraId="1577289E">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（5）发生</w:t>
      </w:r>
      <w:r>
        <w:rPr>
          <w:rFonts w:hint="eastAsia" w:ascii="宋体" w:hAnsi="宋体" w:eastAsia="宋体"/>
          <w:color w:val="000000" w:themeColor="text1"/>
          <w:szCs w:val="21"/>
          <w:highlight w:val="none"/>
          <w:lang w:val="en-US" w:eastAsia="zh-CN"/>
          <w14:textFill>
            <w14:solidFill>
              <w14:schemeClr w14:val="tx1"/>
            </w14:solidFill>
          </w14:textFill>
        </w:rPr>
        <w:t>招标文件或</w:t>
      </w:r>
      <w:r>
        <w:rPr>
          <w:rFonts w:hint="eastAsia" w:ascii="宋体" w:hAnsi="宋体" w:eastAsia="宋体"/>
          <w:color w:val="000000" w:themeColor="text1"/>
          <w:szCs w:val="21"/>
          <w:highlight w:val="none"/>
          <w14:textFill>
            <w14:solidFill>
              <w14:schemeClr w14:val="tx1"/>
            </w14:solidFill>
          </w14:textFill>
        </w:rPr>
        <w:t>投标人须知前附表规定的其他可以不予退还投标保证金的情形。</w:t>
      </w:r>
    </w:p>
    <w:p w14:paraId="3FCBDAB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22" w:name="_Toc11189"/>
      <w:bookmarkStart w:id="223" w:name="_Toc22138"/>
      <w:bookmarkStart w:id="224" w:name="_Toc27385"/>
      <w:r>
        <w:rPr>
          <w:rFonts w:hint="eastAsia" w:ascii="黑体" w:hAnsi="黑体" w:eastAsia="黑体"/>
          <w:b w:val="0"/>
          <w:color w:val="000000" w:themeColor="text1"/>
          <w:sz w:val="28"/>
          <w:szCs w:val="28"/>
          <w:highlight w:val="none"/>
          <w14:textFill>
            <w14:solidFill>
              <w14:schemeClr w14:val="tx1"/>
            </w14:solidFill>
          </w14:textFill>
        </w:rPr>
        <w:t>3.5.备选投标方案</w:t>
      </w:r>
      <w:bookmarkEnd w:id="222"/>
      <w:bookmarkEnd w:id="223"/>
      <w:bookmarkEnd w:id="224"/>
    </w:p>
    <w:p w14:paraId="1AD6A4BF">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43550E6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3.5.1.招标人只允许每家投标人报送一个设计方案，投标人所提交的投标文件应符合招标文件的要求，满足评标需要的全部资料。除非投标人须知前附表允许投标人</w:t>
      </w:r>
      <w:r>
        <w:rPr>
          <w:rFonts w:hint="eastAsia" w:ascii="宋体" w:hAnsi="宋体" w:eastAsia="宋体"/>
          <w:color w:val="000000" w:themeColor="text1"/>
          <w:szCs w:val="21"/>
          <w:highlight w:val="none"/>
          <w:lang w:eastAsia="zh-CN"/>
          <w14:textFill>
            <w14:solidFill>
              <w14:schemeClr w14:val="tx1"/>
            </w14:solidFill>
          </w14:textFill>
        </w:rPr>
        <w:t>递交备选</w:t>
      </w:r>
      <w:r>
        <w:rPr>
          <w:rFonts w:hint="eastAsia" w:ascii="宋体" w:hAnsi="宋体" w:eastAsia="宋体"/>
          <w:color w:val="000000" w:themeColor="text1"/>
          <w:szCs w:val="21"/>
          <w:highlight w:val="none"/>
          <w14:textFill>
            <w14:solidFill>
              <w14:schemeClr w14:val="tx1"/>
            </w14:solidFill>
          </w14:textFill>
        </w:rPr>
        <w:t>方案，否则备选方案将不予考虑。</w:t>
      </w:r>
    </w:p>
    <w:p w14:paraId="077F4EE0">
      <w:pPr>
        <w:pStyle w:val="13"/>
        <w:tabs>
          <w:tab w:val="left" w:pos="567"/>
          <w:tab w:val="left" w:pos="1000"/>
        </w:tabs>
        <w:spacing w:line="360" w:lineRule="auto"/>
        <w:ind w:firstLine="424" w:firstLineChars="202"/>
        <w:jc w:val="left"/>
        <w:rPr>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3.5.2.</w:t>
      </w:r>
      <w:r>
        <w:rPr>
          <w:color w:val="000000" w:themeColor="text1"/>
          <w:highlight w:val="none"/>
          <w14:textFill>
            <w14:solidFill>
              <w14:schemeClr w14:val="tx1"/>
            </w14:solidFill>
          </w14:textFill>
        </w:rPr>
        <w:t>允许投标人递交备选投标方案的，</w:t>
      </w:r>
      <w:r>
        <w:rPr>
          <w:rFonts w:hint="eastAsia"/>
          <w:color w:val="000000" w:themeColor="text1"/>
          <w:highlight w:val="none"/>
          <w14:textFill>
            <w14:solidFill>
              <w14:schemeClr w14:val="tx1"/>
            </w14:solidFill>
          </w14:textFill>
        </w:rPr>
        <w:t>则投标人除提交正式投标文件外，还可以按照招标文件要求</w:t>
      </w:r>
      <w:r>
        <w:rPr>
          <w:rFonts w:hint="eastAsia"/>
          <w:color w:val="000000" w:themeColor="text1"/>
          <w:highlight w:val="none"/>
          <w:lang w:eastAsia="zh-CN"/>
          <w14:textFill>
            <w14:solidFill>
              <w14:schemeClr w14:val="tx1"/>
            </w14:solidFill>
          </w14:textFill>
        </w:rPr>
        <w:t>递交备选</w:t>
      </w:r>
      <w:r>
        <w:rPr>
          <w:rFonts w:hint="eastAsia"/>
          <w:color w:val="000000" w:themeColor="text1"/>
          <w:highlight w:val="none"/>
          <w14:textFill>
            <w14:solidFill>
              <w14:schemeClr w14:val="tx1"/>
            </w14:solidFill>
          </w14:textFill>
        </w:rPr>
        <w:t>方案。备选方案应包括设计方案、图纸、投资估算表、备选方案报价书等满足评标需要的全部资料。</w:t>
      </w:r>
    </w:p>
    <w:p w14:paraId="1CFE161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25" w:name="_Toc300038942"/>
      <w:bookmarkStart w:id="226" w:name="_Toc21263"/>
      <w:bookmarkStart w:id="227" w:name="_Toc23877"/>
      <w:bookmarkStart w:id="228" w:name="_Toc732"/>
      <w:bookmarkStart w:id="229" w:name="_Toc17689"/>
      <w:bookmarkStart w:id="230" w:name="_Toc516753495"/>
      <w:bookmarkStart w:id="231" w:name="_Toc19087"/>
      <w:r>
        <w:rPr>
          <w:rFonts w:hint="eastAsia" w:ascii="黑体" w:hAnsi="黑体" w:eastAsia="黑体"/>
          <w:b w:val="0"/>
          <w:color w:val="000000" w:themeColor="text1"/>
          <w:sz w:val="28"/>
          <w:szCs w:val="28"/>
          <w:highlight w:val="none"/>
          <w14:textFill>
            <w14:solidFill>
              <w14:schemeClr w14:val="tx1"/>
            </w14:solidFill>
          </w14:textFill>
        </w:rPr>
        <w:t>3.6.投标文件的编制</w:t>
      </w:r>
      <w:bookmarkEnd w:id="225"/>
      <w:bookmarkEnd w:id="226"/>
      <w:bookmarkEnd w:id="227"/>
      <w:bookmarkEnd w:id="228"/>
      <w:bookmarkEnd w:id="229"/>
      <w:bookmarkEnd w:id="230"/>
      <w:bookmarkEnd w:id="231"/>
    </w:p>
    <w:p w14:paraId="6CD94087">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483BB7C4">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3.6.1.投标文件应包含本须知正文第3.1款中规定的内容，投标人提交的投标文件应当使用招标文件第七章所规定的投标文件格式（包括有关脚注要求和说明）进行编制，如有必要，表格可以按同样格式扩展，招标文件不要求或无相关内容的可以不提供。在满足招标文件实质性要求的基础上，投标人可以提出比招标文件要求更有利于招标人的承诺。</w:t>
      </w:r>
    </w:p>
    <w:p w14:paraId="5097050A">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3.6.2.投标文件应当对招标文件有关报价、设计（勘察）服务期限、投标有效期、发包人要求、招标范围和内容等实质性内容作出响应，否则将被视为不响应招标文件而予以拒绝。</w:t>
      </w:r>
    </w:p>
    <w:p w14:paraId="45DEAB8E">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3.6.3.除投标人须知前附表另有规定外，投标文件所附证明文件、单据等证明材料均为原件扫描件，扫描件每页篇幅应当完整。</w:t>
      </w:r>
    </w:p>
    <w:p w14:paraId="04EB4AAA">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3.6.4.除招标文件另有规定外。投标人应采用单位和个人姓名</w:t>
      </w:r>
      <w:r>
        <w:rPr>
          <w:rFonts w:hint="eastAsia" w:ascii="宋体" w:hAnsi="宋体" w:eastAsia="宋体"/>
          <w:color w:val="000000" w:themeColor="text1"/>
          <w:szCs w:val="21"/>
          <w:highlight w:val="none"/>
          <w:lang w:eastAsia="zh-CN"/>
          <w14:textFill>
            <w14:solidFill>
              <w14:schemeClr w14:val="tx1"/>
            </w14:solidFill>
          </w14:textFill>
        </w:rPr>
        <w:t>CA证书</w:t>
      </w:r>
      <w:r>
        <w:rPr>
          <w:rFonts w:hint="eastAsia" w:ascii="宋体" w:hAnsi="宋体" w:eastAsia="宋体"/>
          <w:color w:val="000000" w:themeColor="text1"/>
          <w:szCs w:val="21"/>
          <w:highlight w:val="none"/>
          <w14:textFill>
            <w14:solidFill>
              <w14:schemeClr w14:val="tx1"/>
            </w14:solidFill>
          </w14:textFill>
        </w:rPr>
        <w:t>，按招标文件要求在相应位置加盖电子印章。加盖投标人单位公章是指加盖投标人单位电子公章。法定代表人或委托代理人或设计项目负责人的签字（盖章）是指在指定位置加盖个人电子姓名章，或书面签字后再进行扫描并上传。设计项目负责人盖建筑师执业章的，由投标人加盖拟担任项目设计负责人实体建筑师执业章后再进行扫描并上传。需要加盖出图章（图纸专用章）的，由投标人按规定加盖本单位实体出图章（图纸专用章）后再进行扫描上传。由委托代理人签字的，投标文件中必须同时</w:t>
      </w:r>
      <w:r>
        <w:rPr>
          <w:rFonts w:hint="eastAsia" w:ascii="宋体" w:hAnsi="宋体" w:eastAsia="宋体"/>
          <w:color w:val="000000" w:themeColor="text1"/>
          <w:szCs w:val="21"/>
          <w:highlight w:val="none"/>
          <w:lang w:eastAsia="zh-CN"/>
          <w14:textFill>
            <w14:solidFill>
              <w14:schemeClr w14:val="tx1"/>
            </w14:solidFill>
          </w14:textFill>
        </w:rPr>
        <w:t>递交投标文件</w:t>
      </w:r>
      <w:r>
        <w:rPr>
          <w:rFonts w:hint="eastAsia" w:ascii="宋体" w:hAnsi="宋体" w:eastAsia="宋体"/>
          <w:color w:val="000000" w:themeColor="text1"/>
          <w:szCs w:val="21"/>
          <w:highlight w:val="none"/>
          <w14:textFill>
            <w14:solidFill>
              <w14:schemeClr w14:val="tx1"/>
            </w14:solidFill>
          </w14:textFill>
        </w:rPr>
        <w:t>的法定代表人授权委托书，投标文件签署授权委托书格式、签字、盖章及内容均应符合要求，否则投标文件签署授权委托书无效。</w:t>
      </w:r>
    </w:p>
    <w:p w14:paraId="5D427E0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3.6.5.除投标人对错误处须修改外，全套投标文件应无涂改或行间插字和增删，如有修改，修改之处均应盖投标人的印章或由投标文件签署人签字或盖章。</w:t>
      </w:r>
    </w:p>
    <w:p w14:paraId="22AF506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32" w:name="_Toc516688928"/>
      <w:bookmarkEnd w:id="232"/>
      <w:bookmarkStart w:id="233" w:name="_Toc516688929"/>
      <w:bookmarkEnd w:id="233"/>
      <w:bookmarkStart w:id="234" w:name="_Toc516688930"/>
      <w:bookmarkEnd w:id="234"/>
      <w:bookmarkStart w:id="235" w:name="_Toc30109"/>
      <w:bookmarkStart w:id="236" w:name="_Toc516753496"/>
      <w:bookmarkStart w:id="237" w:name="_Toc5901"/>
      <w:bookmarkStart w:id="238" w:name="_Toc10653"/>
      <w:bookmarkStart w:id="239" w:name="_Toc19766"/>
      <w:bookmarkStart w:id="240" w:name="_Toc300038943"/>
      <w:bookmarkStart w:id="241" w:name="_Toc27755"/>
      <w:r>
        <w:rPr>
          <w:rFonts w:hint="eastAsia" w:ascii="黑体" w:hAnsi="黑体" w:eastAsia="黑体"/>
          <w:b w:val="0"/>
          <w:color w:val="000000" w:themeColor="text1"/>
          <w:sz w:val="28"/>
          <w:szCs w:val="28"/>
          <w:highlight w:val="none"/>
          <w14:textFill>
            <w14:solidFill>
              <w14:schemeClr w14:val="tx1"/>
            </w14:solidFill>
          </w14:textFill>
        </w:rPr>
        <w:t>4.投标</w:t>
      </w:r>
      <w:bookmarkEnd w:id="235"/>
      <w:bookmarkEnd w:id="236"/>
      <w:bookmarkEnd w:id="237"/>
      <w:bookmarkEnd w:id="238"/>
      <w:bookmarkEnd w:id="239"/>
      <w:bookmarkEnd w:id="240"/>
      <w:bookmarkEnd w:id="241"/>
    </w:p>
    <w:p w14:paraId="580C5D8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42" w:name="_Toc7574"/>
      <w:bookmarkStart w:id="243" w:name="_Toc4456"/>
      <w:bookmarkStart w:id="244" w:name="_Toc27277"/>
      <w:bookmarkStart w:id="245" w:name="_Toc23150"/>
      <w:bookmarkStart w:id="246" w:name="_Toc516753497"/>
      <w:bookmarkStart w:id="247" w:name="_Toc26371"/>
      <w:bookmarkStart w:id="248" w:name="_Toc300038944"/>
      <w:r>
        <w:rPr>
          <w:rFonts w:hint="eastAsia" w:ascii="黑体" w:hAnsi="黑体" w:eastAsia="黑体"/>
          <w:b w:val="0"/>
          <w:color w:val="000000" w:themeColor="text1"/>
          <w:sz w:val="28"/>
          <w:szCs w:val="28"/>
          <w:highlight w:val="none"/>
          <w14:textFill>
            <w14:solidFill>
              <w14:schemeClr w14:val="tx1"/>
            </w14:solidFill>
          </w14:textFill>
        </w:rPr>
        <w:t>4.1.投标文件的加密和标识</w:t>
      </w:r>
      <w:bookmarkEnd w:id="242"/>
      <w:bookmarkEnd w:id="243"/>
      <w:bookmarkEnd w:id="244"/>
    </w:p>
    <w:p w14:paraId="23ACC08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4.1.1.</w:t>
      </w:r>
      <w:r>
        <w:rPr>
          <w:rFonts w:ascii="宋体" w:hAnsi="宋体" w:eastAsia="宋体"/>
          <w:color w:val="000000" w:themeColor="text1"/>
          <w:szCs w:val="21"/>
          <w:highlight w:val="none"/>
          <w14:textFill>
            <w14:solidFill>
              <w14:schemeClr w14:val="tx1"/>
            </w14:solidFill>
          </w14:textFill>
        </w:rPr>
        <w:t>投标人应当按照投标人须知前附表</w:t>
      </w:r>
      <w:r>
        <w:rPr>
          <w:rFonts w:hint="eastAsia" w:ascii="宋体" w:hAnsi="宋体" w:eastAsia="宋体"/>
          <w:color w:val="000000" w:themeColor="text1"/>
          <w:szCs w:val="21"/>
          <w:highlight w:val="none"/>
          <w14:textFill>
            <w14:solidFill>
              <w14:schemeClr w14:val="tx1"/>
            </w14:solidFill>
          </w14:textFill>
        </w:rPr>
        <w:t>的规定编制与</w:t>
      </w:r>
      <w:r>
        <w:rPr>
          <w:rFonts w:ascii="宋体" w:hAnsi="宋体" w:eastAsia="宋体"/>
          <w:color w:val="000000" w:themeColor="text1"/>
          <w:szCs w:val="21"/>
          <w:highlight w:val="none"/>
          <w14:textFill>
            <w14:solidFill>
              <w14:schemeClr w14:val="tx1"/>
            </w14:solidFill>
          </w14:textFill>
        </w:rPr>
        <w:t>加密投标文件。</w:t>
      </w:r>
    </w:p>
    <w:p w14:paraId="2250263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4.1.2.投标文件中的技术文件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含</w:t>
      </w:r>
      <w:r>
        <w:rPr>
          <w:rFonts w:hint="eastAsia" w:ascii="宋体" w:hAnsi="宋体" w:eastAsia="宋体" w:cs="宋体"/>
          <w:color w:val="000000" w:themeColor="text1"/>
          <w:szCs w:val="21"/>
          <w:highlight w:val="none"/>
          <w14:textFill>
            <w14:solidFill>
              <w14:schemeClr w14:val="tx1"/>
            </w14:solidFill>
          </w14:textFill>
        </w:rPr>
        <w:t>展示图、演示盘、模型和BIM动态演示视频</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应采用暗标形式递交，均不得盖章或体现投标人名称、具体人名或可以认为是投标人承担过的工程项目名称或其他可以判定投标人的标识或文字。</w:t>
      </w:r>
    </w:p>
    <w:p w14:paraId="5617763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4.1.3.如需采用线下</w:t>
      </w:r>
      <w:r>
        <w:rPr>
          <w:rFonts w:hint="eastAsia" w:ascii="宋体" w:hAnsi="宋体" w:eastAsia="宋体"/>
          <w:color w:val="000000" w:themeColor="text1"/>
          <w:szCs w:val="21"/>
          <w:highlight w:val="none"/>
          <w:lang w:val="en-US" w:eastAsia="zh-CN"/>
          <w14:textFill>
            <w14:solidFill>
              <w14:schemeClr w14:val="tx1"/>
            </w14:solidFill>
          </w14:textFill>
        </w:rPr>
        <w:t>递交</w:t>
      </w:r>
      <w:r>
        <w:rPr>
          <w:rFonts w:hint="eastAsia" w:ascii="宋体" w:hAnsi="宋体" w:eastAsia="宋体"/>
          <w:color w:val="000000" w:themeColor="text1"/>
          <w:szCs w:val="21"/>
          <w:highlight w:val="none"/>
          <w14:textFill>
            <w14:solidFill>
              <w14:schemeClr w14:val="tx1"/>
            </w14:solidFill>
          </w14:textFill>
        </w:rPr>
        <w:t>展示图、演示盘、模型</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演示视频</w:t>
      </w:r>
      <w:r>
        <w:rPr>
          <w:rFonts w:hint="eastAsia" w:ascii="宋体" w:hAnsi="宋体" w:eastAsia="宋体"/>
          <w:color w:val="000000" w:themeColor="text1"/>
          <w:szCs w:val="21"/>
          <w:highlight w:val="none"/>
          <w14:textFill>
            <w14:solidFill>
              <w14:schemeClr w14:val="tx1"/>
            </w14:solidFill>
          </w14:textFill>
        </w:rPr>
        <w:t>时，</w:t>
      </w:r>
      <w:r>
        <w:rPr>
          <w:rFonts w:ascii="宋体" w:hAnsi="宋体" w:eastAsia="宋体"/>
          <w:color w:val="000000" w:themeColor="text1"/>
          <w:szCs w:val="21"/>
          <w:highlight w:val="none"/>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应各自单独包封，包封必须使用无字牛皮纸，</w:t>
      </w:r>
      <w:r>
        <w:rPr>
          <w:rFonts w:hint="eastAsia" w:ascii="宋体" w:hAnsi="宋体" w:eastAsia="宋体"/>
          <w:color w:val="000000" w:themeColor="text1"/>
          <w:szCs w:val="21"/>
          <w:highlight w:val="none"/>
          <w:lang w:val="en-US" w:eastAsia="zh-CN"/>
          <w14:textFill>
            <w14:solidFill>
              <w14:schemeClr w14:val="tx1"/>
            </w14:solidFill>
          </w14:textFill>
        </w:rPr>
        <w:t>包封上</w:t>
      </w:r>
      <w:r>
        <w:rPr>
          <w:rFonts w:hint="eastAsia" w:ascii="宋体" w:hAnsi="宋体" w:eastAsia="宋体"/>
          <w:color w:val="000000" w:themeColor="text1"/>
          <w:szCs w:val="21"/>
          <w:highlight w:val="none"/>
          <w14:textFill>
            <w14:solidFill>
              <w14:schemeClr w14:val="tx1"/>
            </w14:solidFill>
          </w14:textFill>
        </w:rPr>
        <w:t>不得签字、盖章或有其他可以判定投标人的标识或文字。招标人收标时，应做好接收与签收工作。</w:t>
      </w:r>
    </w:p>
    <w:p w14:paraId="0E766C9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4.1.4.投标人的投标文件存在下列情形，视为投标文件雷同：</w:t>
      </w:r>
    </w:p>
    <w:p w14:paraId="69436DC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14:paraId="276E55D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（2）不同投标人的电子投标文件使用同一台计算机编制。不同投标人的电子投标文件编制时的计算机硬件信息中存在一条及以上的计算机网卡MAC地址（如有）、CPU序列号和数据储存设备序列号均相同的。</w:t>
      </w:r>
    </w:p>
    <w:p w14:paraId="10E89E3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（3）不同投标人的技术文件经电子交易平台查重分析，内容异常一致或者实质性相同的。</w:t>
      </w:r>
    </w:p>
    <w:bookmarkEnd w:id="245"/>
    <w:bookmarkEnd w:id="246"/>
    <w:bookmarkEnd w:id="247"/>
    <w:bookmarkEnd w:id="248"/>
    <w:p w14:paraId="6D1E0F6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49" w:name="_Toc11709"/>
      <w:bookmarkStart w:id="250" w:name="_Toc300038945"/>
      <w:bookmarkStart w:id="251" w:name="_Toc27363"/>
      <w:bookmarkStart w:id="252" w:name="_Toc3012"/>
      <w:bookmarkStart w:id="253" w:name="_Toc516753498"/>
      <w:bookmarkStart w:id="254" w:name="_Toc22080"/>
      <w:bookmarkStart w:id="255" w:name="_Toc30652"/>
      <w:r>
        <w:rPr>
          <w:rFonts w:hint="eastAsia" w:ascii="黑体" w:hAnsi="黑体" w:eastAsia="黑体"/>
          <w:b w:val="0"/>
          <w:color w:val="000000" w:themeColor="text1"/>
          <w:sz w:val="28"/>
          <w:szCs w:val="28"/>
          <w:highlight w:val="none"/>
          <w14:textFill>
            <w14:solidFill>
              <w14:schemeClr w14:val="tx1"/>
            </w14:solidFill>
          </w14:textFill>
        </w:rPr>
        <w:t>4.2.投标文件的递交</w:t>
      </w:r>
      <w:bookmarkEnd w:id="249"/>
      <w:bookmarkEnd w:id="250"/>
      <w:bookmarkEnd w:id="251"/>
      <w:bookmarkEnd w:id="252"/>
      <w:bookmarkEnd w:id="253"/>
      <w:bookmarkEnd w:id="254"/>
      <w:bookmarkEnd w:id="255"/>
    </w:p>
    <w:p w14:paraId="4F163E65">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1DF44D9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4.2.1.</w:t>
      </w:r>
      <w:r>
        <w:rPr>
          <w:rFonts w:ascii="宋体" w:hAnsi="宋体" w:eastAsia="宋体"/>
          <w:color w:val="000000" w:themeColor="text1"/>
          <w:szCs w:val="21"/>
          <w:highlight w:val="none"/>
          <w14:textFill>
            <w14:solidFill>
              <w14:schemeClr w14:val="tx1"/>
            </w14:solidFill>
          </w14:textFill>
        </w:rPr>
        <w:t>投标人应在投标人须知前附表规定的投标截止时间前递交投标文件。</w:t>
      </w:r>
      <w:r>
        <w:rPr>
          <w:rFonts w:hint="eastAsia" w:ascii="宋体" w:hAnsi="宋体" w:eastAsia="宋体"/>
          <w:color w:val="000000" w:themeColor="text1"/>
          <w:szCs w:val="21"/>
          <w:highlight w:val="none"/>
          <w14:textFill>
            <w14:solidFill>
              <w14:schemeClr w14:val="tx1"/>
            </w14:solidFill>
          </w14:textFill>
        </w:rPr>
        <w:t>招标人可以按本投标人须知第2.3、2.4款规定以修改补充通知的方式，酌情延长递交投标文件的截止时间。在此情况下，投标人的所有权利和义务以及投标人所制约的截止时间，均应</w:t>
      </w:r>
      <w:r>
        <w:rPr>
          <w:rFonts w:hint="eastAsia" w:ascii="宋体" w:hAnsi="宋体" w:eastAsia="宋体"/>
          <w:color w:val="000000" w:themeColor="text1"/>
          <w:szCs w:val="21"/>
          <w:highlight w:val="none"/>
          <w:lang w:val="en-US" w:eastAsia="zh-CN"/>
          <w14:textFill>
            <w14:solidFill>
              <w14:schemeClr w14:val="tx1"/>
            </w14:solidFill>
          </w14:textFill>
        </w:rPr>
        <w:t>以</w:t>
      </w:r>
      <w:r>
        <w:rPr>
          <w:rFonts w:hint="eastAsia" w:ascii="宋体" w:hAnsi="宋体" w:eastAsia="宋体"/>
          <w:color w:val="000000" w:themeColor="text1"/>
          <w:szCs w:val="21"/>
          <w:highlight w:val="none"/>
          <w14:textFill>
            <w14:solidFill>
              <w14:schemeClr w14:val="tx1"/>
            </w14:solidFill>
          </w14:textFill>
        </w:rPr>
        <w:t>延长后新的截止时间为准。</w:t>
      </w:r>
    </w:p>
    <w:p w14:paraId="330D667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4.2.2.投标人应按投标人须知前附表规定的电子交易平台，于投标截止时间前递交投标文件至电子交易平台。投标截止时间前未完成投标文件传输的，视为撤回投标文件。电子交易平台在投标截止时间前收到投标人送达的投标文件，应当即时向投标人发出递交回执通知，投标人应妥善保管。逾期送达的，电子交易平台不予受理。</w:t>
      </w:r>
    </w:p>
    <w:p w14:paraId="07CE92F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4.2.3.除另有规定外，投标人所递交的投标文件不予退还。</w:t>
      </w:r>
    </w:p>
    <w:p w14:paraId="736D306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4.2.4.到投标截止时间止，招标人收到的投标文件少于3家的，招标人将依法重新组织招标。</w:t>
      </w:r>
    </w:p>
    <w:p w14:paraId="174BBD4A">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56" w:name="_Toc7249"/>
      <w:bookmarkStart w:id="257" w:name="_Toc2832"/>
      <w:bookmarkStart w:id="258" w:name="_Toc300038947"/>
      <w:bookmarkStart w:id="259" w:name="_Toc516753500"/>
      <w:bookmarkStart w:id="260" w:name="_Toc14364"/>
      <w:bookmarkStart w:id="261" w:name="_Toc1827"/>
      <w:bookmarkStart w:id="262" w:name="_Toc32491"/>
      <w:r>
        <w:rPr>
          <w:rFonts w:hint="eastAsia" w:ascii="黑体" w:hAnsi="黑体" w:eastAsia="黑体"/>
          <w:b w:val="0"/>
          <w:color w:val="000000" w:themeColor="text1"/>
          <w:sz w:val="28"/>
          <w:szCs w:val="28"/>
          <w:highlight w:val="none"/>
          <w14:textFill>
            <w14:solidFill>
              <w14:schemeClr w14:val="tx1"/>
            </w14:solidFill>
          </w14:textFill>
        </w:rPr>
        <w:t>4.3.投标文件的补充、修改与撤回</w:t>
      </w:r>
      <w:bookmarkEnd w:id="256"/>
      <w:bookmarkEnd w:id="257"/>
      <w:bookmarkEnd w:id="258"/>
      <w:bookmarkEnd w:id="259"/>
      <w:bookmarkEnd w:id="260"/>
      <w:bookmarkEnd w:id="261"/>
      <w:bookmarkEnd w:id="262"/>
    </w:p>
    <w:p w14:paraId="40371C97">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6A0233E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4.3.1.投标人可以在递交投标文件以后，在</w:t>
      </w:r>
      <w:r>
        <w:rPr>
          <w:rFonts w:ascii="宋体" w:hAnsi="宋体" w:eastAsia="宋体"/>
          <w:color w:val="000000" w:themeColor="text1"/>
          <w:szCs w:val="21"/>
          <w:highlight w:val="none"/>
          <w14:textFill>
            <w14:solidFill>
              <w14:schemeClr w14:val="tx1"/>
            </w14:solidFill>
          </w14:textFill>
        </w:rPr>
        <w:t>投标人须知前附表</w:t>
      </w:r>
      <w:r>
        <w:rPr>
          <w:rFonts w:hint="eastAsia" w:ascii="宋体" w:hAnsi="宋体" w:eastAsia="宋体"/>
          <w:color w:val="000000" w:themeColor="text1"/>
          <w:szCs w:val="21"/>
          <w:highlight w:val="none"/>
          <w14:textFill>
            <w14:solidFill>
              <w14:schemeClr w14:val="tx1"/>
            </w14:solidFill>
          </w14:textFill>
        </w:rPr>
        <w:t>规定的投标截止时间之前，通过电子交易平台撤回，修改后再提交。以其最后递交的投标文件为准。在投标截止时间以后，投标人不能更改投标文件。</w:t>
      </w:r>
    </w:p>
    <w:p w14:paraId="03A9EE4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4.3.2.从投标截止期至投标有效期之间的这段时间内，投标人不得撤回其投标文件，否则根据本须知正文第3.4款的规定，该投标人的投标保证金</w:t>
      </w:r>
      <w:r>
        <w:rPr>
          <w:rFonts w:hint="eastAsia" w:ascii="宋体" w:hAnsi="宋体" w:eastAsia="宋体"/>
          <w:color w:val="000000" w:themeColor="text1"/>
          <w:szCs w:val="21"/>
          <w:highlight w:val="none"/>
          <w:lang w:val="en-US" w:eastAsia="zh-CN"/>
          <w14:textFill>
            <w14:solidFill>
              <w14:schemeClr w14:val="tx1"/>
            </w14:solidFill>
          </w14:textFill>
        </w:rPr>
        <w:t>不予退还</w:t>
      </w:r>
      <w:r>
        <w:rPr>
          <w:rFonts w:hint="eastAsia" w:ascii="宋体" w:hAnsi="宋体" w:eastAsia="宋体"/>
          <w:color w:val="000000" w:themeColor="text1"/>
          <w:szCs w:val="21"/>
          <w:highlight w:val="none"/>
          <w14:textFill>
            <w14:solidFill>
              <w14:schemeClr w14:val="tx1"/>
            </w14:solidFill>
          </w14:textFill>
        </w:rPr>
        <w:t>。</w:t>
      </w:r>
    </w:p>
    <w:p w14:paraId="293D3B6C">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63" w:name="_Toc10227"/>
      <w:bookmarkStart w:id="264" w:name="_Toc27253"/>
      <w:bookmarkStart w:id="265" w:name="_Toc31386"/>
      <w:bookmarkStart w:id="266" w:name="_Toc516753501"/>
      <w:bookmarkStart w:id="267" w:name="_Toc23666"/>
      <w:bookmarkStart w:id="268" w:name="_Toc29781"/>
      <w:bookmarkStart w:id="269" w:name="_Toc300038948"/>
      <w:r>
        <w:rPr>
          <w:rFonts w:hint="eastAsia" w:ascii="黑体" w:hAnsi="黑体" w:eastAsia="黑体"/>
          <w:b w:val="0"/>
          <w:color w:val="000000" w:themeColor="text1"/>
          <w:sz w:val="28"/>
          <w:szCs w:val="28"/>
          <w:highlight w:val="none"/>
          <w14:textFill>
            <w14:solidFill>
              <w14:schemeClr w14:val="tx1"/>
            </w14:solidFill>
          </w14:textFill>
        </w:rPr>
        <w:t>5.开标</w:t>
      </w:r>
      <w:bookmarkEnd w:id="263"/>
      <w:bookmarkEnd w:id="264"/>
      <w:bookmarkEnd w:id="265"/>
      <w:bookmarkEnd w:id="266"/>
      <w:bookmarkEnd w:id="267"/>
      <w:bookmarkEnd w:id="268"/>
      <w:bookmarkEnd w:id="269"/>
    </w:p>
    <w:p w14:paraId="59B7FC2D">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70" w:name="_Toc300038949"/>
      <w:bookmarkStart w:id="271" w:name="_Toc15294"/>
      <w:bookmarkStart w:id="272" w:name="_Toc9100"/>
      <w:bookmarkStart w:id="273" w:name="_Toc17878"/>
      <w:bookmarkStart w:id="274" w:name="_Toc516753502"/>
      <w:bookmarkStart w:id="275" w:name="_Toc14158"/>
      <w:bookmarkStart w:id="276" w:name="_Toc15583"/>
      <w:r>
        <w:rPr>
          <w:rFonts w:hint="eastAsia" w:ascii="黑体" w:hAnsi="黑体" w:eastAsia="黑体"/>
          <w:b w:val="0"/>
          <w:color w:val="000000" w:themeColor="text1"/>
          <w:sz w:val="28"/>
          <w:szCs w:val="28"/>
          <w:highlight w:val="none"/>
          <w14:textFill>
            <w14:solidFill>
              <w14:schemeClr w14:val="tx1"/>
            </w14:solidFill>
          </w14:textFill>
        </w:rPr>
        <w:t>5.1.开标</w:t>
      </w:r>
      <w:bookmarkEnd w:id="270"/>
      <w:bookmarkEnd w:id="271"/>
      <w:bookmarkEnd w:id="272"/>
      <w:bookmarkEnd w:id="273"/>
      <w:bookmarkEnd w:id="274"/>
      <w:bookmarkEnd w:id="275"/>
      <w:bookmarkEnd w:id="276"/>
    </w:p>
    <w:p w14:paraId="0AF7EDE8">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3D18201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bookmarkStart w:id="277" w:name="_Toc516688939"/>
      <w:bookmarkEnd w:id="277"/>
      <w:bookmarkStart w:id="278" w:name="_Toc516688938"/>
      <w:bookmarkEnd w:id="278"/>
      <w:bookmarkStart w:id="279" w:name="_Toc516688940"/>
      <w:bookmarkEnd w:id="279"/>
      <w:bookmarkStart w:id="280" w:name="_Toc516753503"/>
      <w:bookmarkStart w:id="281" w:name="_Toc300038950"/>
      <w:bookmarkStart w:id="282" w:name="_Toc10646"/>
      <w:bookmarkStart w:id="283" w:name="_Toc13107"/>
      <w:r>
        <w:rPr>
          <w:rFonts w:hint="eastAsia" w:ascii="宋体" w:hAnsi="宋体" w:eastAsia="宋体"/>
          <w:color w:val="000000" w:themeColor="text1"/>
          <w:szCs w:val="21"/>
          <w:highlight w:val="none"/>
          <w14:textFill>
            <w14:solidFill>
              <w14:schemeClr w14:val="tx1"/>
            </w14:solidFill>
          </w14:textFill>
        </w:rPr>
        <w:t>5.1.1.招标人应按照投标人须知前附表规定的时间（开标时间）和地点，在电子交易平台公开在线组织开标，所有投标人均应准时在线参加开标。投标人应按照招标文件规定的时间及方式对电子投标文件进行解密。电子交易平台应为投标人远程解密电子投标文件提供便利和软件技术支持。投标人在招标项目开标时需登录电子交易平台，待解密环节开始时及时插入</w:t>
      </w:r>
      <w:r>
        <w:rPr>
          <w:rFonts w:hint="eastAsia" w:ascii="宋体" w:hAnsi="宋体" w:eastAsia="宋体"/>
          <w:color w:val="000000" w:themeColor="text1"/>
          <w:szCs w:val="21"/>
          <w:highlight w:val="none"/>
          <w:lang w:eastAsia="zh-CN"/>
          <w14:textFill>
            <w14:solidFill>
              <w14:schemeClr w14:val="tx1"/>
            </w14:solidFill>
          </w14:textFill>
        </w:rPr>
        <w:t>CA证书</w:t>
      </w:r>
      <w:r>
        <w:rPr>
          <w:rFonts w:hint="eastAsia" w:ascii="宋体" w:hAnsi="宋体" w:eastAsia="宋体"/>
          <w:color w:val="000000" w:themeColor="text1"/>
          <w:szCs w:val="21"/>
          <w:highlight w:val="none"/>
          <w14:textFill>
            <w14:solidFill>
              <w14:schemeClr w14:val="tx1"/>
            </w14:solidFill>
          </w14:textFill>
        </w:rPr>
        <w:t>进行投标文件在线解密，投标文件在线解密方式见投标人须知前附表规定。</w:t>
      </w:r>
    </w:p>
    <w:p w14:paraId="662A506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投标截止时间前，经建设单位研究确定的定标方案应当使用建设单位CA证书加密后上传公共资源电子交易平台，未按前述规定上传定标方案的，不得开标，招标人应当向招投标监督机构备案后重新确定开标时间。</w:t>
      </w:r>
    </w:p>
    <w:p w14:paraId="5FB6168C">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5.1.2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或延期开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开标结果不受影响</w:t>
      </w:r>
      <w:r>
        <w:rPr>
          <w:rFonts w:hint="eastAsia" w:ascii="宋体" w:hAnsi="宋体" w:eastAsia="宋体"/>
          <w:color w:val="000000" w:themeColor="text1"/>
          <w:szCs w:val="21"/>
          <w:highlight w:val="none"/>
          <w14:textFill>
            <w14:solidFill>
              <w14:schemeClr w14:val="tx1"/>
            </w14:solidFill>
          </w14:textFill>
        </w:rPr>
        <w:t>。</w:t>
      </w:r>
    </w:p>
    <w:p w14:paraId="11A5A70D">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5.1.3.解密程序完成后，由电子交易平台自动生成《开标记录表（1）》、《开标记录表（2）》格式见投标人须知附件2-</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w:t>
      </w:r>
    </w:p>
    <w:p w14:paraId="0085C613">
      <w:pPr>
        <w:pStyle w:val="13"/>
        <w:tabs>
          <w:tab w:val="left" w:pos="567"/>
          <w:tab w:val="left" w:pos="1000"/>
        </w:tabs>
        <w:spacing w:line="360" w:lineRule="auto"/>
        <w:ind w:firstLine="0" w:firstLineChars="0"/>
        <w:jc w:val="left"/>
        <w:rPr>
          <w:rFonts w:ascii="宋体" w:hAnsi="宋体" w:eastAsia="宋体"/>
          <w:color w:val="000000" w:themeColor="text1"/>
          <w:szCs w:val="21"/>
          <w:highlight w:val="none"/>
          <w14:textFill>
            <w14:solidFill>
              <w14:schemeClr w14:val="tx1"/>
            </w14:solidFill>
          </w14:textFill>
        </w:rPr>
      </w:pPr>
      <w:bookmarkStart w:id="284" w:name="_Toc1777"/>
      <w:r>
        <w:rPr>
          <w:rFonts w:hint="eastAsia" w:ascii="黑体" w:hAnsi="黑体" w:eastAsia="黑体"/>
          <w:b w:val="0"/>
          <w:color w:val="000000" w:themeColor="text1"/>
          <w:sz w:val="28"/>
          <w:szCs w:val="28"/>
          <w:highlight w:val="none"/>
          <w14:textFill>
            <w14:solidFill>
              <w14:schemeClr w14:val="tx1"/>
            </w14:solidFill>
          </w14:textFill>
        </w:rPr>
        <w:t>6.评标</w:t>
      </w:r>
      <w:bookmarkEnd w:id="280"/>
      <w:bookmarkEnd w:id="281"/>
      <w:bookmarkEnd w:id="282"/>
      <w:bookmarkEnd w:id="283"/>
      <w:bookmarkEnd w:id="284"/>
      <w:bookmarkStart w:id="285" w:name="_Toc22099"/>
      <w:bookmarkStart w:id="286" w:name="_Toc300038951"/>
      <w:bookmarkStart w:id="287" w:name="_Toc516753504"/>
      <w:bookmarkStart w:id="288" w:name="_Toc8979"/>
    </w:p>
    <w:p w14:paraId="19CA2D50">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89" w:name="_Toc20208"/>
      <w:bookmarkStart w:id="290" w:name="_Toc20292"/>
      <w:bookmarkStart w:id="291" w:name="_Toc5568"/>
      <w:r>
        <w:rPr>
          <w:rFonts w:hint="eastAsia" w:ascii="黑体" w:hAnsi="黑体" w:eastAsia="黑体"/>
          <w:b w:val="0"/>
          <w:color w:val="000000" w:themeColor="text1"/>
          <w:sz w:val="28"/>
          <w:szCs w:val="28"/>
          <w:highlight w:val="none"/>
          <w14:textFill>
            <w14:solidFill>
              <w14:schemeClr w14:val="tx1"/>
            </w14:solidFill>
          </w14:textFill>
        </w:rPr>
        <w:t>6.</w:t>
      </w:r>
      <w:r>
        <w:rPr>
          <w:rFonts w:hint="eastAsia" w:ascii="黑体" w:hAnsi="黑体" w:eastAsia="黑体"/>
          <w:b w:val="0"/>
          <w:color w:val="000000" w:themeColor="text1"/>
          <w:sz w:val="28"/>
          <w:szCs w:val="28"/>
          <w:highlight w:val="none"/>
          <w:lang w:val="en-US" w:eastAsia="zh-CN"/>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.评标委员会</w:t>
      </w:r>
      <w:bookmarkEnd w:id="285"/>
      <w:bookmarkEnd w:id="286"/>
      <w:bookmarkEnd w:id="287"/>
      <w:bookmarkEnd w:id="288"/>
      <w:bookmarkEnd w:id="289"/>
      <w:bookmarkEnd w:id="290"/>
      <w:bookmarkEnd w:id="291"/>
    </w:p>
    <w:p w14:paraId="5461B226">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4646056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.1.评标委员会由招标人依法组建，负责评标活动。</w:t>
      </w:r>
      <w:r>
        <w:rPr>
          <w:rFonts w:hint="eastAsia" w:ascii="宋体"/>
          <w:color w:val="000000" w:themeColor="text1"/>
          <w:szCs w:val="21"/>
          <w:highlight w:val="none"/>
          <w14:textFill>
            <w14:solidFill>
              <w14:schemeClr w14:val="tx1"/>
            </w14:solidFill>
          </w14:textFill>
        </w:rPr>
        <w:t>评标委员会由与建设项目相关的技术方面的专家和</w:t>
      </w:r>
      <w:r>
        <w:rPr>
          <w:rFonts w:hint="eastAsia" w:ascii="宋体" w:hAnsi="宋体" w:eastAsia="宋体" w:cs="宋体"/>
          <w:color w:val="000000" w:themeColor="text1"/>
          <w:sz w:val="21"/>
          <w:szCs w:val="21"/>
          <w:highlight w:val="none"/>
          <w:lang w:eastAsia="zh-CN"/>
          <w14:textFill>
            <w14:solidFill>
              <w14:schemeClr w14:val="tx1"/>
            </w14:solidFill>
          </w14:textFill>
        </w:rPr>
        <w:t>建设（代建）单位</w:t>
      </w:r>
      <w:r>
        <w:rPr>
          <w:rFonts w:hint="eastAsia" w:ascii="宋体"/>
          <w:color w:val="000000" w:themeColor="text1"/>
          <w:szCs w:val="21"/>
          <w:highlight w:val="none"/>
          <w14:textFill>
            <w14:solidFill>
              <w14:schemeClr w14:val="tx1"/>
            </w14:solidFill>
          </w14:textFill>
        </w:rPr>
        <w:t>代表组成</w:t>
      </w:r>
      <w:r>
        <w:rPr>
          <w:rFonts w:hint="eastAsia" w:ascii="宋体" w:hAnsi="宋体" w:eastAsia="宋体"/>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32"/>
          <w:highlight w:val="none"/>
          <w14:textFill>
            <w14:solidFill>
              <w14:schemeClr w14:val="tx1"/>
            </w14:solidFill>
          </w14:textFill>
        </w:rPr>
        <w:t>技术特别复杂、专业性要求特别高或者国家有特殊要求，采取随机抽取</w:t>
      </w:r>
      <w:r>
        <w:rPr>
          <w:rFonts w:hint="default" w:ascii="Times New Roman" w:hAnsi="Times New Roman" w:cs="Times New Roman"/>
          <w:color w:val="000000" w:themeColor="text1"/>
          <w:szCs w:val="32"/>
          <w:highlight w:val="none"/>
          <w:lang w:eastAsia="zh-CN"/>
          <w14:textFill>
            <w14:solidFill>
              <w14:schemeClr w14:val="tx1"/>
            </w14:solidFill>
          </w14:textFill>
        </w:rPr>
        <w:t>方式</w:t>
      </w:r>
      <w:r>
        <w:rPr>
          <w:rFonts w:hint="default" w:ascii="Times New Roman" w:hAnsi="Times New Roman" w:cs="Times New Roman"/>
          <w:color w:val="000000" w:themeColor="text1"/>
          <w:szCs w:val="32"/>
          <w:highlight w:val="none"/>
          <w14:textFill>
            <w14:solidFill>
              <w14:schemeClr w14:val="tx1"/>
            </w14:solidFill>
          </w14:textFill>
        </w:rPr>
        <w:t>难以保证胜任评标工作或者省综合评标专家库中相应专业的评标专家数量无法满足评标需要的</w:t>
      </w:r>
      <w:r>
        <w:rPr>
          <w:rFonts w:hint="default" w:ascii="Times New Roman" w:hAnsi="Times New Roman" w:cs="Times New Roman"/>
          <w:color w:val="000000" w:themeColor="text1"/>
          <w:szCs w:val="32"/>
          <w:highlight w:val="none"/>
          <w:lang w:eastAsia="zh-CN"/>
          <w14:textFill>
            <w14:solidFill>
              <w14:schemeClr w14:val="tx1"/>
            </w14:solidFill>
          </w14:textFill>
        </w:rPr>
        <w:t>项目</w:t>
      </w:r>
      <w:r>
        <w:rPr>
          <w:rFonts w:hint="default" w:ascii="Times New Roman" w:hAnsi="Times New Roman" w:cs="Times New Roman"/>
          <w:color w:val="000000" w:themeColor="text1"/>
          <w:szCs w:val="32"/>
          <w:highlight w:val="none"/>
          <w14:textFill>
            <w14:solidFill>
              <w14:schemeClr w14:val="tx1"/>
            </w14:solidFill>
          </w14:textFill>
        </w:rPr>
        <w:t>，招标人</w:t>
      </w:r>
      <w:r>
        <w:rPr>
          <w:rFonts w:hint="default" w:ascii="Times New Roman" w:hAnsi="Times New Roman" w:cs="Times New Roman"/>
          <w:color w:val="000000" w:themeColor="text1"/>
          <w:szCs w:val="32"/>
          <w:highlight w:val="none"/>
          <w:lang w:eastAsia="zh-CN"/>
          <w14:textFill>
            <w14:solidFill>
              <w14:schemeClr w14:val="tx1"/>
            </w14:solidFill>
          </w14:textFill>
        </w:rPr>
        <w:t>可以</w:t>
      </w:r>
      <w:r>
        <w:rPr>
          <w:rFonts w:hint="default" w:ascii="Times New Roman" w:hAnsi="Times New Roman" w:cs="Times New Roman"/>
          <w:color w:val="000000" w:themeColor="text1"/>
          <w:szCs w:val="32"/>
          <w:highlight w:val="none"/>
          <w14:textFill>
            <w14:solidFill>
              <w14:schemeClr w14:val="tx1"/>
            </w14:solidFill>
          </w14:textFill>
        </w:rPr>
        <w:t>按照</w:t>
      </w:r>
      <w:r>
        <w:rPr>
          <w:rFonts w:hint="eastAsia" w:ascii="Times New Roman" w:hAnsi="Times New Roman" w:cs="Times New Roman"/>
          <w:color w:val="000000" w:themeColor="text1"/>
          <w:szCs w:val="32"/>
          <w:highlight w:val="none"/>
          <w:lang w:val="en-US" w:eastAsia="zh-CN"/>
          <w14:textFill>
            <w14:solidFill>
              <w14:schemeClr w14:val="tx1"/>
            </w14:solidFill>
          </w14:textFill>
        </w:rPr>
        <w:t>福建</w:t>
      </w:r>
      <w:r>
        <w:rPr>
          <w:rFonts w:hint="default" w:ascii="Times New Roman" w:hAnsi="Times New Roman" w:cs="Times New Roman"/>
          <w:color w:val="000000" w:themeColor="text1"/>
          <w:szCs w:val="32"/>
          <w:highlight w:val="none"/>
          <w14:textFill>
            <w14:solidFill>
              <w14:schemeClr w14:val="tx1"/>
            </w14:solidFill>
          </w14:textFill>
        </w:rPr>
        <w:t>省综合评标专家库管理</w:t>
      </w:r>
      <w:r>
        <w:rPr>
          <w:rFonts w:hint="default" w:ascii="Times New Roman" w:hAnsi="Times New Roman" w:cs="Times New Roman"/>
          <w:color w:val="000000" w:themeColor="text1"/>
          <w:szCs w:val="32"/>
          <w:highlight w:val="none"/>
          <w:lang w:eastAsia="zh-CN"/>
          <w14:textFill>
            <w14:solidFill>
              <w14:schemeClr w14:val="tx1"/>
            </w14:solidFill>
          </w14:textFill>
        </w:rPr>
        <w:t>有关</w:t>
      </w:r>
      <w:r>
        <w:rPr>
          <w:rFonts w:hint="default" w:ascii="Times New Roman" w:hAnsi="Times New Roman" w:cs="Times New Roman"/>
          <w:color w:val="000000" w:themeColor="text1"/>
          <w:szCs w:val="32"/>
          <w:highlight w:val="none"/>
          <w14:textFill>
            <w14:solidFill>
              <w14:schemeClr w14:val="tx1"/>
            </w14:solidFill>
          </w14:textFill>
        </w:rPr>
        <w:t>规定直接确定评标委员会的专家成员</w:t>
      </w:r>
      <w:r>
        <w:rPr>
          <w:rFonts w:hint="default" w:ascii="Times New Roman" w:hAnsi="Times New Roman" w:cs="Times New Roman"/>
          <w:color w:val="000000" w:themeColor="text1"/>
          <w:szCs w:val="32"/>
          <w:highlight w:val="none"/>
          <w:lang w:eastAsia="zh-CN"/>
          <w14:textFill>
            <w14:solidFill>
              <w14:schemeClr w14:val="tx1"/>
            </w14:solidFill>
          </w14:textFill>
        </w:rPr>
        <w:t>，</w:t>
      </w:r>
      <w:r>
        <w:rPr>
          <w:rFonts w:hint="default" w:ascii="Times New Roman" w:hAnsi="Times New Roman" w:cs="Times New Roman"/>
          <w:color w:val="000000" w:themeColor="text1"/>
          <w:szCs w:val="32"/>
          <w:highlight w:val="none"/>
          <w14:textFill>
            <w14:solidFill>
              <w14:schemeClr w14:val="tx1"/>
            </w14:solidFill>
          </w14:textFill>
        </w:rPr>
        <w:t>也可以直接邀请相应专业的中国科学院院士、中国工程院院士、全国工程勘察设计大师参加评标。</w:t>
      </w:r>
    </w:p>
    <w:p w14:paraId="416A066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.2.评标委员会的技术专家成员应在投标文件解密完成后</w:t>
      </w:r>
      <w:r>
        <w:rPr>
          <w:rFonts w:hint="eastAsia" w:ascii="宋体" w:hAnsi="宋体" w:eastAsia="宋体" w:cs="宋体"/>
          <w:color w:val="000000" w:themeColor="text1"/>
          <w:sz w:val="21"/>
          <w:szCs w:val="21"/>
          <w:highlight w:val="none"/>
          <w14:textFill>
            <w14:solidFill>
              <w14:schemeClr w14:val="tx1"/>
            </w14:solidFill>
          </w14:textFill>
        </w:rPr>
        <w:t>从规定的评标专家库中</w:t>
      </w:r>
      <w:r>
        <w:rPr>
          <w:rFonts w:hint="eastAsia" w:ascii="宋体" w:hAnsi="宋体" w:eastAsia="宋体"/>
          <w:color w:val="000000" w:themeColor="text1"/>
          <w:szCs w:val="21"/>
          <w:highlight w:val="none"/>
          <w14:textFill>
            <w14:solidFill>
              <w14:schemeClr w14:val="tx1"/>
            </w14:solidFill>
          </w14:textFill>
        </w:rPr>
        <w:t>抽取；直接确定评标委员会的专家成员的，招标人应当采取有效措施做好保密工作。</w:t>
      </w:r>
    </w:p>
    <w:p w14:paraId="716FC65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92" w:name="_Toc300038954"/>
      <w:bookmarkStart w:id="293" w:name="_Toc3621"/>
      <w:bookmarkStart w:id="294" w:name="_Toc516753507"/>
      <w:bookmarkStart w:id="295" w:name="_Toc19789"/>
      <w:bookmarkStart w:id="296" w:name="_Toc16962"/>
      <w:bookmarkStart w:id="297" w:name="_Toc23053"/>
      <w:bookmarkStart w:id="298" w:name="_Toc11536"/>
      <w:r>
        <w:rPr>
          <w:rFonts w:hint="eastAsia" w:ascii="黑体" w:hAnsi="黑体" w:eastAsia="黑体"/>
          <w:b w:val="0"/>
          <w:color w:val="000000" w:themeColor="text1"/>
          <w:sz w:val="28"/>
          <w:szCs w:val="28"/>
          <w:highlight w:val="none"/>
          <w14:textFill>
            <w14:solidFill>
              <w14:schemeClr w14:val="tx1"/>
            </w14:solidFill>
          </w14:textFill>
        </w:rPr>
        <w:t>6.</w:t>
      </w:r>
      <w:r>
        <w:rPr>
          <w:rFonts w:hint="eastAsia" w:ascii="黑体" w:hAnsi="黑体" w:eastAsia="黑体"/>
          <w:b w:val="0"/>
          <w:color w:val="000000" w:themeColor="text1"/>
          <w:sz w:val="28"/>
          <w:szCs w:val="28"/>
          <w:highlight w:val="none"/>
          <w:lang w:val="en-US" w:eastAsia="zh-CN"/>
          <w14:textFill>
            <w14:solidFill>
              <w14:schemeClr w14:val="tx1"/>
            </w14:solidFill>
          </w14:textFill>
        </w:rPr>
        <w:t>2</w:t>
      </w:r>
      <w:r>
        <w:rPr>
          <w:rFonts w:hint="eastAsia" w:ascii="黑体" w:hAnsi="黑体" w:eastAsia="黑体"/>
          <w:b w:val="0"/>
          <w:color w:val="000000" w:themeColor="text1"/>
          <w:sz w:val="28"/>
          <w:szCs w:val="28"/>
          <w:highlight w:val="none"/>
          <w14:textFill>
            <w14:solidFill>
              <w14:schemeClr w14:val="tx1"/>
            </w14:solidFill>
          </w14:textFill>
        </w:rPr>
        <w:t>.评标</w:t>
      </w:r>
      <w:bookmarkEnd w:id="292"/>
      <w:bookmarkEnd w:id="293"/>
      <w:bookmarkEnd w:id="294"/>
      <w:bookmarkEnd w:id="295"/>
      <w:bookmarkEnd w:id="296"/>
      <w:bookmarkEnd w:id="297"/>
      <w:bookmarkEnd w:id="298"/>
    </w:p>
    <w:p w14:paraId="23DF7AC7">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46D5122E">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本招标项目采用的评标办法见投标人须知前附表规定。评标委员会按照招标文件第三章“评标办法”规定进行评标。</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评标办法</w:t>
      </w:r>
      <w:r>
        <w:rPr>
          <w:rFonts w:ascii="宋体" w:hAnsi="宋体" w:eastAsia="宋体"/>
          <w:color w:val="000000" w:themeColor="text1"/>
          <w:szCs w:val="21"/>
          <w:highlight w:val="none"/>
          <w14:textFill>
            <w14:solidFill>
              <w14:schemeClr w14:val="tx1"/>
            </w14:solidFill>
          </w14:textFill>
        </w:rPr>
        <w:t>”没有规定的方法、评审因素和标准，不作为评标依据。</w:t>
      </w:r>
    </w:p>
    <w:p w14:paraId="7D249718">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299" w:name="_Toc13610"/>
      <w:bookmarkStart w:id="300" w:name="_Toc24856"/>
      <w:bookmarkStart w:id="301" w:name="_Toc32034"/>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7.清标、定标、中标与合同授予</w:t>
      </w:r>
      <w:bookmarkEnd w:id="299"/>
      <w:bookmarkEnd w:id="300"/>
      <w:bookmarkEnd w:id="301"/>
    </w:p>
    <w:p w14:paraId="554CE411">
      <w:pPr>
        <w:keepNext/>
        <w:keepLines/>
        <w:widowControl/>
        <w:adjustRightInd w:val="0"/>
        <w:spacing w:before="260" w:beforeLines="50" w:after="260" w:afterLines="50" w:line="360" w:lineRule="auto"/>
        <w:ind w:firstLine="0"/>
        <w:jc w:val="both"/>
        <w:textAlignment w:val="baseline"/>
        <w:outlineLvl w:val="2"/>
        <w:rPr>
          <w:rFonts w:hint="eastAsia" w:ascii="黑体" w:hAnsi="黑体" w:eastAsia="黑体" w:cs="Times New Roman"/>
          <w:b w:val="0"/>
          <w:bCs/>
          <w:color w:val="000000" w:themeColor="text1"/>
          <w:kern w:val="0"/>
          <w:sz w:val="28"/>
          <w:szCs w:val="28"/>
          <w:highlight w:val="none"/>
          <w:lang w:val="en-US" w:eastAsia="zh-CN" w:bidi="ar-SA"/>
          <w14:textFill>
            <w14:solidFill>
              <w14:schemeClr w14:val="tx1"/>
            </w14:solidFill>
          </w14:textFill>
        </w:rPr>
      </w:pPr>
      <w:bookmarkStart w:id="302" w:name="_Toc27683"/>
      <w:bookmarkStart w:id="303" w:name="_Toc15558"/>
      <w:bookmarkStart w:id="304" w:name="_Toc32051"/>
      <w:bookmarkStart w:id="305" w:name="_Toc22115"/>
      <w:bookmarkStart w:id="306" w:name="_Toc12396"/>
      <w:bookmarkStart w:id="307" w:name="_Toc6011"/>
      <w:bookmarkStart w:id="308" w:name="_Toc9744"/>
      <w:bookmarkStart w:id="309" w:name="_Toc189"/>
      <w:r>
        <w:rPr>
          <w:rFonts w:hint="eastAsia" w:ascii="黑体" w:hAnsi="黑体" w:eastAsia="黑体" w:cs="Times New Roman"/>
          <w:b w:val="0"/>
          <w:bCs/>
          <w:color w:val="000000" w:themeColor="text1"/>
          <w:kern w:val="0"/>
          <w:sz w:val="28"/>
          <w:szCs w:val="28"/>
          <w:highlight w:val="none"/>
          <w:lang w:val="zh-CN" w:eastAsia="zh-CN" w:bidi="ar-SA"/>
          <w14:textFill>
            <w14:solidFill>
              <w14:schemeClr w14:val="tx1"/>
            </w14:solidFill>
          </w14:textFill>
        </w:rPr>
        <w:t>7.1</w:t>
      </w:r>
      <w:r>
        <w:rPr>
          <w:rFonts w:hint="eastAsia" w:ascii="黑体" w:hAnsi="黑体" w:eastAsia="黑体" w:cs="Times New Roman"/>
          <w:b w:val="0"/>
          <w:bCs/>
          <w:color w:val="000000" w:themeColor="text1"/>
          <w:kern w:val="0"/>
          <w:sz w:val="28"/>
          <w:szCs w:val="28"/>
          <w:highlight w:val="none"/>
          <w:lang w:val="en-US" w:eastAsia="zh-CN" w:bidi="ar-SA"/>
          <w14:textFill>
            <w14:solidFill>
              <w14:schemeClr w14:val="tx1"/>
            </w14:solidFill>
          </w14:textFill>
        </w:rPr>
        <w:t>.清标小组</w:t>
      </w:r>
      <w:bookmarkEnd w:id="302"/>
      <w:bookmarkEnd w:id="303"/>
      <w:bookmarkEnd w:id="304"/>
      <w:bookmarkEnd w:id="305"/>
    </w:p>
    <w:p w14:paraId="41E0BA34">
      <w:pPr>
        <w:pStyle w:val="13"/>
        <w:tabs>
          <w:tab w:val="left" w:pos="567"/>
          <w:tab w:val="left" w:pos="1000"/>
        </w:tabs>
        <w:snapToGrid w:val="0"/>
        <w:spacing w:line="360" w:lineRule="auto"/>
        <w:ind w:firstLine="424" w:firstLineChars="202"/>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cstheme="minorBidi"/>
          <w:color w:val="000000" w:themeColor="text1"/>
          <w:kern w:val="2"/>
          <w:sz w:val="21"/>
          <w:szCs w:val="21"/>
          <w:highlight w:val="none"/>
          <w:lang w:val="en-US" w:eastAsia="zh-CN" w:bidi="ar-SA"/>
          <w14:textFill>
            <w14:solidFill>
              <w14:schemeClr w14:val="tx1"/>
            </w14:solidFill>
          </w14:textFill>
        </w:rPr>
        <w:t>清标小组按照第四章“定标方案”规定的规则组建并按照规定的方法、规则、标准和程序负责清标工作，整理汇总各定标候选人的定标子要素得分并编制清标报告。</w:t>
      </w:r>
    </w:p>
    <w:p w14:paraId="5A9A1860">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310" w:name="_Toc27037"/>
      <w:bookmarkStart w:id="311" w:name="_Toc4023"/>
      <w:bookmarkStart w:id="312" w:name="_Toc25770"/>
      <w:bookmarkStart w:id="313" w:name="_Toc24204"/>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7.2.定标委员会</w:t>
      </w:r>
      <w:bookmarkEnd w:id="306"/>
      <w:bookmarkEnd w:id="307"/>
      <w:bookmarkEnd w:id="308"/>
      <w:bookmarkEnd w:id="309"/>
      <w:bookmarkEnd w:id="310"/>
      <w:bookmarkEnd w:id="311"/>
      <w:bookmarkEnd w:id="312"/>
      <w:bookmarkEnd w:id="313"/>
    </w:p>
    <w:p w14:paraId="1854D19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定标委员会按照第四章“定标方案”规定的规则组建并按照规定的方法、规则、标准和程序负责定标工作，编制定标报告。</w:t>
      </w:r>
    </w:p>
    <w:p w14:paraId="5F440E0F">
      <w:pPr>
        <w:keepNext/>
        <w:keepLines/>
        <w:widowControl w:val="0"/>
        <w:adjustRightInd w:val="0"/>
        <w:spacing w:before="260" w:beforeLines="50" w:after="260" w:afterLines="50" w:line="360" w:lineRule="auto"/>
        <w:jc w:val="both"/>
        <w:textAlignment w:val="baseline"/>
        <w:outlineLvl w:val="2"/>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314" w:name="_Toc21570"/>
      <w:bookmarkStart w:id="315" w:name="_Toc19583"/>
      <w:bookmarkStart w:id="316" w:name="_Toc11811"/>
      <w:bookmarkStart w:id="317" w:name="_Toc14290"/>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7.3.定标方案</w:t>
      </w:r>
      <w:bookmarkEnd w:id="314"/>
      <w:bookmarkEnd w:id="315"/>
      <w:bookmarkEnd w:id="316"/>
      <w:bookmarkEnd w:id="317"/>
    </w:p>
    <w:p w14:paraId="75594CC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第四章“定标方案”中使用的定标方法见投标人须知前附表。定标方案没有规定的方法、规则、标准，不作为清标或定标依据。</w:t>
      </w:r>
    </w:p>
    <w:p w14:paraId="19FB670A">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318" w:name="_Toc19644"/>
      <w:bookmarkStart w:id="319" w:name="_Toc759"/>
      <w:bookmarkStart w:id="320" w:name="_Toc26261"/>
      <w:bookmarkStart w:id="321" w:name="_Toc22384"/>
      <w:bookmarkStart w:id="322" w:name="_Toc554"/>
      <w:bookmarkStart w:id="323" w:name="_Toc25476"/>
      <w:bookmarkStart w:id="324" w:name="_Toc25479"/>
      <w:bookmarkStart w:id="325" w:name="_Toc1429"/>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7.4.中标候选人公示</w:t>
      </w:r>
      <w:bookmarkEnd w:id="318"/>
      <w:bookmarkEnd w:id="319"/>
      <w:bookmarkEnd w:id="320"/>
      <w:bookmarkEnd w:id="321"/>
      <w:bookmarkEnd w:id="322"/>
      <w:bookmarkEnd w:id="323"/>
      <w:bookmarkEnd w:id="324"/>
      <w:bookmarkEnd w:id="325"/>
    </w:p>
    <w:p w14:paraId="1495F3BD">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w:t>
      </w:r>
      <w:r>
        <w:rPr>
          <w:rFonts w:hint="eastAsia" w:ascii="宋体" w:hAnsi="宋体" w:eastAsia="宋体"/>
          <w:color w:val="000000" w:themeColor="text1"/>
          <w:szCs w:val="21"/>
          <w:highlight w:val="none"/>
          <w:lang w:val="en-US" w:eastAsia="zh-CN"/>
          <w14:textFill>
            <w14:solidFill>
              <w14:schemeClr w14:val="tx1"/>
            </w14:solidFill>
          </w14:textFill>
        </w:rPr>
        <w:t>自完成定标之日起3日内，</w:t>
      </w:r>
      <w:r>
        <w:rPr>
          <w:rFonts w:hint="eastAsia" w:ascii="宋体" w:hAnsi="宋体" w:eastAsia="宋体"/>
          <w:color w:val="000000" w:themeColor="text1"/>
          <w:szCs w:val="21"/>
          <w:highlight w:val="none"/>
          <w14:textFill>
            <w14:solidFill>
              <w14:schemeClr w14:val="tx1"/>
            </w14:solidFill>
          </w14:textFill>
        </w:rPr>
        <w:t>在投标人须知前附表规定的媒介公示</w:t>
      </w:r>
      <w:r>
        <w:rPr>
          <w:rFonts w:hint="eastAsia" w:ascii="宋体" w:hAnsi="宋体" w:eastAsia="宋体"/>
          <w:color w:val="000000" w:themeColor="text1"/>
          <w:szCs w:val="21"/>
          <w:highlight w:val="none"/>
          <w:lang w:val="en-US" w:eastAsia="zh-CN"/>
          <w14:textFill>
            <w14:solidFill>
              <w14:schemeClr w14:val="tx1"/>
            </w14:solidFill>
          </w14:textFill>
        </w:rPr>
        <w:t>中</w:t>
      </w:r>
      <w:r>
        <w:rPr>
          <w:rFonts w:hint="eastAsia" w:ascii="宋体" w:hAnsi="宋体" w:eastAsia="宋体"/>
          <w:color w:val="000000" w:themeColor="text1"/>
          <w:szCs w:val="21"/>
          <w:highlight w:val="none"/>
          <w14:textFill>
            <w14:solidFill>
              <w14:schemeClr w14:val="tx1"/>
            </w14:solidFill>
          </w14:textFill>
        </w:rPr>
        <w:t>标候选人</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中</w:t>
      </w:r>
      <w:r>
        <w:rPr>
          <w:rFonts w:hint="eastAsia" w:ascii="宋体" w:hAnsi="宋体" w:eastAsia="宋体"/>
          <w:color w:val="000000" w:themeColor="text1"/>
          <w:szCs w:val="21"/>
          <w:highlight w:val="none"/>
          <w14:textFill>
            <w14:solidFill>
              <w14:schemeClr w14:val="tx1"/>
            </w14:solidFill>
          </w14:textFill>
        </w:rPr>
        <w:t>标候选人公示的格式见投标人须知附件2-2</w:t>
      </w:r>
      <w:r>
        <w:rPr>
          <w:rFonts w:hint="eastAsia" w:ascii="宋体" w:hAnsi="宋体" w:eastAsia="宋体"/>
          <w:color w:val="000000" w:themeColor="text1"/>
          <w:szCs w:val="21"/>
          <w:highlight w:val="none"/>
          <w:lang w:eastAsia="zh-CN"/>
          <w14:textFill>
            <w14:solidFill>
              <w14:schemeClr w14:val="tx1"/>
            </w14:solidFill>
          </w14:textFill>
        </w:rPr>
        <w:t>。</w:t>
      </w:r>
    </w:p>
    <w:p w14:paraId="1461A883">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326" w:name="_Toc16066"/>
      <w:bookmarkStart w:id="327" w:name="_Toc2191"/>
      <w:bookmarkStart w:id="328" w:name="_Toc15245"/>
      <w:bookmarkStart w:id="329" w:name="_Toc25"/>
      <w:bookmarkStart w:id="330" w:name="_Toc1765"/>
      <w:bookmarkStart w:id="331" w:name="_Toc13453"/>
      <w:bookmarkStart w:id="332" w:name="_Toc30547"/>
      <w:bookmarkStart w:id="333" w:name="_Toc8201"/>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7.5.中标通知</w:t>
      </w:r>
      <w:bookmarkEnd w:id="326"/>
      <w:bookmarkEnd w:id="327"/>
      <w:bookmarkEnd w:id="328"/>
      <w:bookmarkEnd w:id="329"/>
      <w:bookmarkEnd w:id="330"/>
      <w:bookmarkEnd w:id="331"/>
      <w:bookmarkEnd w:id="332"/>
      <w:bookmarkEnd w:id="333"/>
    </w:p>
    <w:p w14:paraId="726C212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中标人确定后，招标人应当向中标人发出中标通知书，并将中标结果在投标人须知前附表规定的媒介公示进行公布。中标结果公布格式见投标人须知附件2-3，中标通知书格式投标人须知附件2-4。</w:t>
      </w:r>
    </w:p>
    <w:p w14:paraId="3D420AB3">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562D4627">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34" w:name="_Toc300038960"/>
      <w:bookmarkStart w:id="335" w:name="_Toc516753514"/>
      <w:bookmarkStart w:id="336" w:name="_Toc26762"/>
      <w:bookmarkStart w:id="337" w:name="_Toc14063"/>
      <w:bookmarkStart w:id="338" w:name="_Toc25539"/>
      <w:bookmarkStart w:id="339" w:name="_Toc24047"/>
      <w:bookmarkStart w:id="340" w:name="_Toc19867"/>
      <w:bookmarkStart w:id="341" w:name="_Toc300038958"/>
      <w:bookmarkStart w:id="342" w:name="_Toc516753512"/>
      <w:bookmarkStart w:id="343" w:name="_Toc10535"/>
      <w:bookmarkStart w:id="344" w:name="_Toc23524"/>
      <w:r>
        <w:rPr>
          <w:rFonts w:hint="eastAsia" w:ascii="黑体" w:hAnsi="黑体" w:eastAsia="黑体"/>
          <w:b w:val="0"/>
          <w:color w:val="000000" w:themeColor="text1"/>
          <w:sz w:val="28"/>
          <w:szCs w:val="28"/>
          <w:highlight w:val="none"/>
          <w14:textFill>
            <w14:solidFill>
              <w14:schemeClr w14:val="tx1"/>
            </w14:solidFill>
          </w14:textFill>
        </w:rPr>
        <w:t>7.</w:t>
      </w:r>
      <w:r>
        <w:rPr>
          <w:rFonts w:hint="eastAsia" w:ascii="黑体" w:hAnsi="黑体" w:eastAsia="黑体"/>
          <w:b w:val="0"/>
          <w:color w:val="000000" w:themeColor="text1"/>
          <w:sz w:val="28"/>
          <w:szCs w:val="28"/>
          <w:highlight w:val="none"/>
          <w:lang w:val="en-US" w:eastAsia="zh-CN"/>
          <w14:textFill>
            <w14:solidFill>
              <w14:schemeClr w14:val="tx1"/>
            </w14:solidFill>
          </w14:textFill>
        </w:rPr>
        <w:t>6</w:t>
      </w:r>
      <w:r>
        <w:rPr>
          <w:rFonts w:hint="eastAsia" w:ascii="黑体" w:hAnsi="黑体" w:eastAsia="黑体"/>
          <w:b w:val="0"/>
          <w:color w:val="000000" w:themeColor="text1"/>
          <w:sz w:val="28"/>
          <w:szCs w:val="28"/>
          <w:highlight w:val="none"/>
          <w14:textFill>
            <w14:solidFill>
              <w14:schemeClr w14:val="tx1"/>
            </w14:solidFill>
          </w14:textFill>
        </w:rPr>
        <w:t>.</w:t>
      </w:r>
      <w:bookmarkEnd w:id="334"/>
      <w:bookmarkEnd w:id="335"/>
      <w:bookmarkEnd w:id="336"/>
      <w:bookmarkEnd w:id="337"/>
      <w:r>
        <w:rPr>
          <w:rFonts w:hint="eastAsia" w:ascii="黑体" w:hAnsi="黑体" w:eastAsia="黑体"/>
          <w:b w:val="0"/>
          <w:color w:val="000000" w:themeColor="text1"/>
          <w:sz w:val="28"/>
          <w:szCs w:val="28"/>
          <w:highlight w:val="none"/>
          <w14:textFill>
            <w14:solidFill>
              <w14:schemeClr w14:val="tx1"/>
            </w14:solidFill>
          </w14:textFill>
        </w:rPr>
        <w:t>技术成果经济补偿</w:t>
      </w:r>
      <w:bookmarkEnd w:id="338"/>
      <w:bookmarkEnd w:id="339"/>
      <w:bookmarkEnd w:id="340"/>
    </w:p>
    <w:p w14:paraId="797276B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6</w:t>
      </w:r>
      <w:r>
        <w:rPr>
          <w:rFonts w:hint="eastAsia" w:ascii="宋体" w:hAnsi="宋体" w:eastAsia="宋体"/>
          <w:color w:val="000000" w:themeColor="text1"/>
          <w:szCs w:val="21"/>
          <w:highlight w:val="none"/>
          <w14:textFill>
            <w14:solidFill>
              <w14:schemeClr w14:val="tx1"/>
            </w14:solidFill>
          </w14:textFill>
        </w:rPr>
        <w:t>.1.招标人应当在招标文件中明确对未中标设计方案的补偿费的标准、支付时间和方式。响应招标文件的实质性要求的，且入围中标候选的投标人，招标人应给予未中标补偿，但承担设计的中标人除外。补偿金额应不少于投标文件制作成本。</w:t>
      </w:r>
    </w:p>
    <w:p w14:paraId="341E55A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6</w:t>
      </w:r>
      <w:r>
        <w:rPr>
          <w:rFonts w:hint="eastAsia" w:ascii="宋体" w:hAnsi="宋体" w:eastAsia="宋体"/>
          <w:color w:val="000000" w:themeColor="text1"/>
          <w:szCs w:val="21"/>
          <w:highlight w:val="none"/>
          <w14:textFill>
            <w14:solidFill>
              <w14:schemeClr w14:val="tx1"/>
            </w14:solidFill>
          </w14:textFill>
        </w:rPr>
        <w:t>.2.本招标项目对未中标补偿费的标准、支付时间和方式见投标人须知前附表规定。投标人取得补偿之后，所投设计方案及成果的知识产权问题按照本投标人须知正文第1.10款的约定执行。</w:t>
      </w:r>
    </w:p>
    <w:p w14:paraId="46E6526D">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6</w:t>
      </w:r>
      <w:r>
        <w:rPr>
          <w:rFonts w:hint="eastAsia" w:ascii="宋体" w:hAnsi="宋体" w:eastAsia="宋体"/>
          <w:color w:val="000000" w:themeColor="text1"/>
          <w:szCs w:val="21"/>
          <w:highlight w:val="none"/>
          <w14:textFill>
            <w14:solidFill>
              <w14:schemeClr w14:val="tx1"/>
            </w14:solidFill>
          </w14:textFill>
        </w:rPr>
        <w:t>.3.中标结果公布后，招标人终止实施项目，应按中标人已完成工作量支付相应费用。</w:t>
      </w:r>
    </w:p>
    <w:p w14:paraId="4EF2E37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45" w:name="_Toc18960"/>
      <w:bookmarkStart w:id="346" w:name="_Toc31834"/>
      <w:bookmarkStart w:id="347" w:name="_Toc17479"/>
      <w:r>
        <w:rPr>
          <w:rFonts w:hint="eastAsia" w:ascii="黑体" w:hAnsi="黑体" w:eastAsia="黑体"/>
          <w:b w:val="0"/>
          <w:color w:val="000000" w:themeColor="text1"/>
          <w:sz w:val="28"/>
          <w:szCs w:val="28"/>
          <w:highlight w:val="none"/>
          <w14:textFill>
            <w14:solidFill>
              <w14:schemeClr w14:val="tx1"/>
            </w14:solidFill>
          </w14:textFill>
        </w:rPr>
        <w:t>7.</w:t>
      </w:r>
      <w:r>
        <w:rPr>
          <w:rFonts w:hint="eastAsia" w:ascii="黑体" w:hAnsi="黑体" w:eastAsia="黑体"/>
          <w:b w:val="0"/>
          <w:color w:val="000000" w:themeColor="text1"/>
          <w:sz w:val="28"/>
          <w:szCs w:val="28"/>
          <w:highlight w:val="none"/>
          <w:lang w:val="en-US" w:eastAsia="zh-CN"/>
          <w14:textFill>
            <w14:solidFill>
              <w14:schemeClr w14:val="tx1"/>
            </w14:solidFill>
          </w14:textFill>
        </w:rPr>
        <w:t>7</w:t>
      </w:r>
      <w:r>
        <w:rPr>
          <w:rFonts w:hint="eastAsia" w:ascii="黑体" w:hAnsi="黑体" w:eastAsia="黑体"/>
          <w:b w:val="0"/>
          <w:color w:val="000000" w:themeColor="text1"/>
          <w:sz w:val="28"/>
          <w:szCs w:val="28"/>
          <w:highlight w:val="none"/>
          <w14:textFill>
            <w14:solidFill>
              <w14:schemeClr w14:val="tx1"/>
            </w14:solidFill>
          </w14:textFill>
        </w:rPr>
        <w:t>.</w:t>
      </w:r>
      <w:r>
        <w:rPr>
          <w:rFonts w:ascii="黑体" w:hAnsi="黑体" w:eastAsia="黑体"/>
          <w:b w:val="0"/>
          <w:color w:val="000000" w:themeColor="text1"/>
          <w:sz w:val="28"/>
          <w:szCs w:val="28"/>
          <w:highlight w:val="none"/>
          <w14:textFill>
            <w14:solidFill>
              <w14:schemeClr w14:val="tx1"/>
            </w14:solidFill>
          </w14:textFill>
        </w:rPr>
        <w:t>履约保证金</w:t>
      </w:r>
      <w:bookmarkEnd w:id="345"/>
      <w:bookmarkEnd w:id="346"/>
      <w:bookmarkEnd w:id="347"/>
    </w:p>
    <w:p w14:paraId="14018C5D">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7</w:t>
      </w:r>
      <w:r>
        <w:rPr>
          <w:rFonts w:hint="eastAsia" w:ascii="宋体" w:hAnsi="宋体" w:eastAsia="宋体"/>
          <w:color w:val="000000" w:themeColor="text1"/>
          <w:szCs w:val="21"/>
          <w:highlight w:val="none"/>
          <w14:textFill>
            <w14:solidFill>
              <w14:schemeClr w14:val="tx1"/>
            </w14:solidFill>
          </w14:textFill>
        </w:rPr>
        <w:t>.1.在签订合同前，中标人应按投标人须知前附表规定的形式、金额和招标文件第五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同时招标人应向中标人提交履约担保金等额的工程款支付担保。</w:t>
      </w:r>
    </w:p>
    <w:p w14:paraId="66DDBA5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7</w:t>
      </w:r>
      <w:r>
        <w:rPr>
          <w:rFonts w:hint="eastAsia" w:ascii="宋体" w:hAnsi="宋体" w:eastAsia="宋体"/>
          <w:color w:val="000000" w:themeColor="text1"/>
          <w:szCs w:val="21"/>
          <w:highlight w:val="none"/>
          <w14:textFill>
            <w14:solidFill>
              <w14:schemeClr w14:val="tx1"/>
            </w14:solidFill>
          </w14:textFill>
        </w:rPr>
        <w:t>.2.中标人不能按本章第7.</w:t>
      </w:r>
      <w:r>
        <w:rPr>
          <w:rFonts w:hint="eastAsia" w:ascii="宋体" w:hAnsi="宋体" w:eastAsia="宋体"/>
          <w:color w:val="000000" w:themeColor="text1"/>
          <w:szCs w:val="21"/>
          <w:highlight w:val="none"/>
          <w:lang w:val="en-US" w:eastAsia="zh-CN"/>
          <w14:textFill>
            <w14:solidFill>
              <w14:schemeClr w14:val="tx1"/>
            </w14:solidFill>
          </w14:textFill>
        </w:rPr>
        <w:t>7</w:t>
      </w:r>
      <w:r>
        <w:rPr>
          <w:rFonts w:hint="eastAsia" w:ascii="宋体" w:hAnsi="宋体" w:eastAsia="宋体"/>
          <w:color w:val="000000" w:themeColor="text1"/>
          <w:szCs w:val="21"/>
          <w:highlight w:val="none"/>
          <w14:textFill>
            <w14:solidFill>
              <w14:schemeClr w14:val="tx1"/>
            </w14:solidFill>
          </w14:textFill>
        </w:rPr>
        <w:t>.1项要求提交履约保证金的，视为放弃中标，其投标保证金不予退还，给招标人造成的损失超过投标保证金数额的，中标人还应当对超过部分予以赔偿。</w:t>
      </w:r>
    </w:p>
    <w:p w14:paraId="3F04AC55">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48" w:name="_Toc5140"/>
      <w:bookmarkStart w:id="349" w:name="_Toc4182"/>
      <w:bookmarkStart w:id="350" w:name="_Toc6482"/>
      <w:r>
        <w:rPr>
          <w:rFonts w:hint="eastAsia" w:ascii="黑体" w:hAnsi="黑体" w:eastAsia="黑体"/>
          <w:b w:val="0"/>
          <w:color w:val="000000" w:themeColor="text1"/>
          <w:sz w:val="28"/>
          <w:szCs w:val="28"/>
          <w:highlight w:val="none"/>
          <w14:textFill>
            <w14:solidFill>
              <w14:schemeClr w14:val="tx1"/>
            </w14:solidFill>
          </w14:textFill>
        </w:rPr>
        <w:t>7.</w:t>
      </w:r>
      <w:r>
        <w:rPr>
          <w:rFonts w:hint="eastAsia" w:ascii="黑体" w:hAnsi="黑体" w:eastAsia="黑体"/>
          <w:b w:val="0"/>
          <w:color w:val="000000" w:themeColor="text1"/>
          <w:sz w:val="28"/>
          <w:szCs w:val="28"/>
          <w:highlight w:val="none"/>
          <w:lang w:val="en-US" w:eastAsia="zh-CN"/>
          <w14:textFill>
            <w14:solidFill>
              <w14:schemeClr w14:val="tx1"/>
            </w14:solidFill>
          </w14:textFill>
        </w:rPr>
        <w:t>8</w:t>
      </w:r>
      <w:r>
        <w:rPr>
          <w:rFonts w:hint="eastAsia" w:ascii="黑体" w:hAnsi="黑体" w:eastAsia="黑体"/>
          <w:b w:val="0"/>
          <w:color w:val="000000" w:themeColor="text1"/>
          <w:sz w:val="28"/>
          <w:szCs w:val="28"/>
          <w:highlight w:val="none"/>
          <w14:textFill>
            <w14:solidFill>
              <w14:schemeClr w14:val="tx1"/>
            </w14:solidFill>
          </w14:textFill>
        </w:rPr>
        <w:t>.签订</w:t>
      </w:r>
      <w:bookmarkEnd w:id="341"/>
      <w:r>
        <w:rPr>
          <w:rFonts w:hint="eastAsia" w:ascii="黑体" w:hAnsi="黑体" w:eastAsia="黑体"/>
          <w:b w:val="0"/>
          <w:color w:val="000000" w:themeColor="text1"/>
          <w:sz w:val="28"/>
          <w:szCs w:val="28"/>
          <w:highlight w:val="none"/>
          <w14:textFill>
            <w14:solidFill>
              <w14:schemeClr w14:val="tx1"/>
            </w14:solidFill>
          </w14:textFill>
        </w:rPr>
        <w:t>合同</w:t>
      </w:r>
      <w:bookmarkEnd w:id="342"/>
      <w:bookmarkEnd w:id="343"/>
      <w:bookmarkEnd w:id="344"/>
      <w:bookmarkEnd w:id="348"/>
      <w:bookmarkEnd w:id="349"/>
      <w:bookmarkEnd w:id="350"/>
    </w:p>
    <w:p w14:paraId="065799A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1.在收到中标通知书后，中标人应按投标人须知前附表规定的时间内，派代表与招标人联系商定签订合同事宜。招标人和中标人应当在投标有效期内并在中标通知书发出之日起30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14:paraId="6C46537A">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.2.中标人非因不可抗力原因放弃中标的，</w:t>
      </w:r>
      <w:r>
        <w:rPr>
          <w:rFonts w:hint="eastAsia" w:ascii="宋体" w:hAnsi="宋体" w:eastAsia="宋体"/>
          <w:color w:val="000000" w:themeColor="text1"/>
          <w:szCs w:val="21"/>
          <w:highlight w:val="none"/>
          <w:lang w:val="en-US" w:eastAsia="zh-CN"/>
          <w14:textFill>
            <w14:solidFill>
              <w14:schemeClr w14:val="tx1"/>
            </w14:solidFill>
          </w14:textFill>
        </w:rPr>
        <w:t>不予退还</w:t>
      </w:r>
      <w:r>
        <w:rPr>
          <w:rFonts w:hint="eastAsia" w:ascii="宋体" w:hAnsi="宋体" w:eastAsia="宋体"/>
          <w:color w:val="000000" w:themeColor="text1"/>
          <w:szCs w:val="21"/>
          <w:highlight w:val="none"/>
          <w14:textFill>
            <w14:solidFill>
              <w14:schemeClr w14:val="tx1"/>
            </w14:solidFill>
          </w14:textFill>
        </w:rPr>
        <w:t>其投标保证金；不按招标文件规定的条件在规定期限内与招标人签订合同</w:t>
      </w:r>
      <w:r>
        <w:rPr>
          <w:rFonts w:ascii="宋体" w:hAnsi="宋体" w:eastAsia="宋体"/>
          <w:color w:val="000000" w:themeColor="text1"/>
          <w:szCs w:val="21"/>
          <w:highlight w:val="none"/>
          <w14:textFill>
            <w14:solidFill>
              <w14:schemeClr w14:val="tx1"/>
            </w14:solidFill>
          </w14:textFill>
        </w:rPr>
        <w:t>的或者不按照招标文件要求提交履约保证金的，</w:t>
      </w:r>
      <w:r>
        <w:rPr>
          <w:rFonts w:hint="eastAsia" w:ascii="宋体" w:hAnsi="宋体" w:eastAsia="宋体"/>
          <w:color w:val="000000" w:themeColor="text1"/>
          <w:szCs w:val="21"/>
          <w:highlight w:val="none"/>
          <w14:textFill>
            <w14:solidFill>
              <w14:schemeClr w14:val="tx1"/>
            </w14:solidFill>
          </w14:textFill>
        </w:rPr>
        <w:t>招标人有权取消其中标资格并</w:t>
      </w:r>
      <w:r>
        <w:rPr>
          <w:rFonts w:hint="eastAsia" w:ascii="宋体" w:hAnsi="宋体" w:eastAsia="宋体"/>
          <w:color w:val="000000" w:themeColor="text1"/>
          <w:szCs w:val="21"/>
          <w:highlight w:val="none"/>
          <w:lang w:val="en-US" w:eastAsia="zh-CN"/>
          <w14:textFill>
            <w14:solidFill>
              <w14:schemeClr w14:val="tx1"/>
            </w14:solidFill>
          </w14:textFill>
        </w:rPr>
        <w:t>不予退还其</w:t>
      </w:r>
      <w:r>
        <w:rPr>
          <w:rFonts w:hint="eastAsia" w:ascii="宋体" w:hAnsi="宋体" w:eastAsia="宋体"/>
          <w:color w:val="000000" w:themeColor="text1"/>
          <w:szCs w:val="21"/>
          <w:highlight w:val="none"/>
          <w14:textFill>
            <w14:solidFill>
              <w14:schemeClr w14:val="tx1"/>
            </w14:solidFill>
          </w14:textFill>
        </w:rPr>
        <w:t>投标保证金。导致招标人从其他</w:t>
      </w:r>
      <w:r>
        <w:rPr>
          <w:rFonts w:hint="eastAsia" w:ascii="宋体" w:hAnsi="宋体" w:eastAsia="宋体"/>
          <w:color w:val="000000" w:themeColor="text1"/>
          <w:szCs w:val="21"/>
          <w:highlight w:val="none"/>
          <w:lang w:val="en-US" w:eastAsia="zh-CN"/>
          <w14:textFill>
            <w14:solidFill>
              <w14:schemeClr w14:val="tx1"/>
            </w14:solidFill>
          </w14:textFill>
        </w:rPr>
        <w:t>中标</w:t>
      </w:r>
      <w:r>
        <w:rPr>
          <w:rFonts w:hint="eastAsia" w:ascii="宋体" w:hAnsi="宋体" w:eastAsia="宋体"/>
          <w:color w:val="000000" w:themeColor="text1"/>
          <w:szCs w:val="21"/>
          <w:highlight w:val="none"/>
          <w14:textFill>
            <w14:solidFill>
              <w14:schemeClr w14:val="tx1"/>
            </w14:solidFill>
          </w14:textFill>
        </w:rPr>
        <w:t>候选人中重新确定中标人的，应当向招标人赔偿中标差价等损失；导致招标人重新招标的，应当向招标人赔偿本次招标和重新招标所发生的费用等损失。</w:t>
      </w:r>
    </w:p>
    <w:p w14:paraId="33233A2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.3.</w:t>
      </w:r>
      <w:r>
        <w:rPr>
          <w:rFonts w:ascii="宋体" w:hAnsi="宋体" w:eastAsia="宋体"/>
          <w:color w:val="000000" w:themeColor="text1"/>
          <w:szCs w:val="21"/>
          <w:highlight w:val="none"/>
          <w14:textFill>
            <w14:solidFill>
              <w14:schemeClr w14:val="tx1"/>
            </w14:solidFill>
          </w14:textFill>
        </w:rPr>
        <w:t>联合体中标的，联合体各方应当共同与招标人签订合同，就中标项目向招标人承担连带责任。</w:t>
      </w:r>
    </w:p>
    <w:p w14:paraId="774BE76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.4.在闽开展勘察设计业务的省外勘察设计单位应当在签订勘察设计合同之日起10内登入福建省建筑市场综合监督信息平台登记本单位相关信息，具体见闽建办设[2015]1号。</w:t>
      </w:r>
    </w:p>
    <w:p w14:paraId="6034DF5B">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51" w:name="_Toc2394"/>
      <w:bookmarkStart w:id="352" w:name="_Toc27615"/>
      <w:bookmarkStart w:id="353" w:name="_Toc21568"/>
      <w:r>
        <w:rPr>
          <w:rFonts w:hint="eastAsia" w:ascii="黑体" w:hAnsi="黑体" w:eastAsia="黑体"/>
          <w:b w:val="0"/>
          <w:color w:val="000000" w:themeColor="text1"/>
          <w:sz w:val="28"/>
          <w:szCs w:val="28"/>
          <w:highlight w:val="none"/>
          <w14:textFill>
            <w14:solidFill>
              <w14:schemeClr w14:val="tx1"/>
            </w14:solidFill>
          </w14:textFill>
        </w:rPr>
        <w:t>8.</w:t>
      </w:r>
      <w:r>
        <w:rPr>
          <w:rFonts w:ascii="黑体" w:hAnsi="黑体" w:eastAsia="黑体"/>
          <w:b w:val="0"/>
          <w:color w:val="000000" w:themeColor="text1"/>
          <w:sz w:val="28"/>
          <w:szCs w:val="28"/>
          <w:highlight w:val="none"/>
          <w14:textFill>
            <w14:solidFill>
              <w14:schemeClr w14:val="tx1"/>
            </w14:solidFill>
          </w14:textFill>
        </w:rPr>
        <w:t>纪律和监督</w:t>
      </w:r>
      <w:bookmarkEnd w:id="351"/>
      <w:bookmarkEnd w:id="352"/>
      <w:bookmarkEnd w:id="353"/>
    </w:p>
    <w:p w14:paraId="32D41F9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54" w:name="_Toc24518"/>
      <w:bookmarkStart w:id="355" w:name="_Toc10047"/>
      <w:bookmarkStart w:id="356" w:name="_Toc13050"/>
      <w:r>
        <w:rPr>
          <w:rFonts w:hint="eastAsia" w:ascii="黑体" w:hAnsi="黑体" w:eastAsia="黑体"/>
          <w:b w:val="0"/>
          <w:color w:val="000000" w:themeColor="text1"/>
          <w:sz w:val="28"/>
          <w:szCs w:val="28"/>
          <w:highlight w:val="none"/>
          <w14:textFill>
            <w14:solidFill>
              <w14:schemeClr w14:val="tx1"/>
            </w14:solidFill>
          </w14:textFill>
        </w:rPr>
        <w:t>8.1.</w:t>
      </w:r>
      <w:r>
        <w:rPr>
          <w:rFonts w:ascii="黑体" w:hAnsi="黑体" w:eastAsia="黑体"/>
          <w:b w:val="0"/>
          <w:color w:val="000000" w:themeColor="text1"/>
          <w:sz w:val="28"/>
          <w:szCs w:val="28"/>
          <w:highlight w:val="none"/>
          <w14:textFill>
            <w14:solidFill>
              <w14:schemeClr w14:val="tx1"/>
            </w14:solidFill>
          </w14:textFill>
        </w:rPr>
        <w:t>对招标人的纪律要求</w:t>
      </w:r>
      <w:bookmarkEnd w:id="354"/>
      <w:bookmarkEnd w:id="355"/>
      <w:bookmarkEnd w:id="356"/>
    </w:p>
    <w:p w14:paraId="22C6EAA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招标人不得泄露招标投标活动中应当保密的情况和资料，不得与投标人串通损害国家利益、社会公共利益或者他人合法权益。</w:t>
      </w:r>
    </w:p>
    <w:p w14:paraId="7B11A3F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57" w:name="_bookmark73"/>
      <w:bookmarkEnd w:id="357"/>
      <w:bookmarkStart w:id="358" w:name="_Toc13154"/>
      <w:bookmarkStart w:id="359" w:name="_Toc26941"/>
      <w:bookmarkStart w:id="360" w:name="_Toc18859"/>
      <w:r>
        <w:rPr>
          <w:rFonts w:hint="eastAsia" w:ascii="黑体" w:hAnsi="黑体" w:eastAsia="黑体"/>
          <w:b w:val="0"/>
          <w:color w:val="000000" w:themeColor="text1"/>
          <w:sz w:val="28"/>
          <w:szCs w:val="28"/>
          <w:highlight w:val="none"/>
          <w14:textFill>
            <w14:solidFill>
              <w14:schemeClr w14:val="tx1"/>
            </w14:solidFill>
          </w14:textFill>
        </w:rPr>
        <w:t>8.2.</w:t>
      </w:r>
      <w:r>
        <w:rPr>
          <w:rFonts w:ascii="黑体" w:hAnsi="黑体" w:eastAsia="黑体"/>
          <w:b w:val="0"/>
          <w:color w:val="000000" w:themeColor="text1"/>
          <w:sz w:val="28"/>
          <w:szCs w:val="28"/>
          <w:highlight w:val="none"/>
          <w14:textFill>
            <w14:solidFill>
              <w14:schemeClr w14:val="tx1"/>
            </w14:solidFill>
          </w14:textFill>
        </w:rPr>
        <w:t>对投标人的纪律要求</w:t>
      </w:r>
      <w:bookmarkEnd w:id="358"/>
      <w:bookmarkEnd w:id="359"/>
      <w:bookmarkEnd w:id="360"/>
    </w:p>
    <w:p w14:paraId="1F33A9CE">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投标人不得相互串通投标或者与招标人串通投标，不得向招标人或者评标委员会成员</w:t>
      </w:r>
      <w:r>
        <w:rPr>
          <w:rFonts w:hint="eastAsia" w:ascii="宋体" w:hAnsi="宋体" w:eastAsia="宋体"/>
          <w:color w:val="000000" w:themeColor="text1"/>
          <w:szCs w:val="21"/>
          <w:highlight w:val="none"/>
          <w14:textFill>
            <w14:solidFill>
              <w14:schemeClr w14:val="tx1"/>
            </w14:solidFill>
          </w14:textFill>
        </w:rPr>
        <w:t>或定标委员会成员</w:t>
      </w:r>
      <w:r>
        <w:rPr>
          <w:rFonts w:ascii="宋体" w:hAnsi="宋体" w:eastAsia="宋体"/>
          <w:color w:val="000000" w:themeColor="text1"/>
          <w:szCs w:val="21"/>
          <w:highlight w:val="none"/>
          <w14:textFill>
            <w14:solidFill>
              <w14:schemeClr w14:val="tx1"/>
            </w14:solidFill>
          </w14:textFill>
        </w:rPr>
        <w:t>行贿谋取中标，不得以他人名义投标或者以其他方式弄虚作假骗取中标；投标人不得以任何方式干扰</w:t>
      </w:r>
      <w:r>
        <w:rPr>
          <w:rFonts w:hint="eastAsia" w:ascii="宋体" w:hAnsi="宋体" w:eastAsia="宋体"/>
          <w:color w:val="000000" w:themeColor="text1"/>
          <w:szCs w:val="21"/>
          <w:highlight w:val="none"/>
          <w14:textFill>
            <w14:solidFill>
              <w14:schemeClr w14:val="tx1"/>
            </w14:solidFill>
          </w14:textFill>
        </w:rPr>
        <w:t>或</w:t>
      </w:r>
      <w:r>
        <w:rPr>
          <w:rFonts w:ascii="宋体" w:hAnsi="宋体" w:eastAsia="宋体"/>
          <w:color w:val="000000" w:themeColor="text1"/>
          <w:szCs w:val="21"/>
          <w:highlight w:val="none"/>
          <w14:textFill>
            <w14:solidFill>
              <w14:schemeClr w14:val="tx1"/>
            </w14:solidFill>
          </w14:textFill>
        </w:rPr>
        <w:t>影响评标</w:t>
      </w:r>
      <w:r>
        <w:rPr>
          <w:rFonts w:hint="eastAsia" w:ascii="宋体" w:hAnsi="宋体" w:eastAsia="宋体"/>
          <w:color w:val="000000" w:themeColor="text1"/>
          <w:szCs w:val="21"/>
          <w:highlight w:val="none"/>
          <w14:textFill>
            <w14:solidFill>
              <w14:schemeClr w14:val="tx1"/>
            </w14:solidFill>
          </w14:textFill>
        </w:rPr>
        <w:t>清标和定标</w:t>
      </w:r>
      <w:r>
        <w:rPr>
          <w:rFonts w:ascii="宋体" w:hAnsi="宋体" w:eastAsia="宋体"/>
          <w:color w:val="000000" w:themeColor="text1"/>
          <w:szCs w:val="21"/>
          <w:highlight w:val="none"/>
          <w14:textFill>
            <w14:solidFill>
              <w14:schemeClr w14:val="tx1"/>
            </w14:solidFill>
          </w14:textFill>
        </w:rPr>
        <w:t>工作。</w:t>
      </w:r>
    </w:p>
    <w:p w14:paraId="2521B2BD">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361" w:name="_bookmark74"/>
      <w:bookmarkEnd w:id="361"/>
      <w:bookmarkStart w:id="362" w:name="_Toc21726"/>
      <w:bookmarkStart w:id="363" w:name="_Toc15104"/>
      <w:bookmarkStart w:id="364" w:name="_Toc27841"/>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8.3.对评标委员会、清标小组和定标委员会成员的纪律要求</w:t>
      </w:r>
      <w:bookmarkEnd w:id="362"/>
      <w:bookmarkEnd w:id="363"/>
      <w:bookmarkEnd w:id="364"/>
    </w:p>
    <w:p w14:paraId="241488A2">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评标委员会</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清标小组和</w:t>
      </w:r>
      <w:r>
        <w:rPr>
          <w:rFonts w:hint="eastAsia" w:ascii="宋体" w:hAnsi="宋体" w:eastAsia="宋体"/>
          <w:color w:val="000000" w:themeColor="text1"/>
          <w:szCs w:val="21"/>
          <w:highlight w:val="none"/>
          <w14:textFill>
            <w14:solidFill>
              <w14:schemeClr w14:val="tx1"/>
            </w14:solidFill>
          </w14:textFill>
        </w:rPr>
        <w:t>定标委员会成员不得收受他人的财物或者其他好处，不得向他人透漏对投标文件的评审和比较、定标候选人的推荐情况、</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定标情况以及有关的其他情况。在评标、</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定标活动中，评标委员会</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清标小组</w:t>
      </w:r>
      <w:r>
        <w:rPr>
          <w:rFonts w:hint="eastAsia" w:ascii="宋体" w:hAnsi="宋体" w:eastAsia="宋体"/>
          <w:color w:val="000000" w:themeColor="text1"/>
          <w:szCs w:val="21"/>
          <w:highlight w:val="none"/>
          <w14:textFill>
            <w14:solidFill>
              <w14:schemeClr w14:val="tx1"/>
            </w14:solidFill>
          </w14:textFill>
        </w:rPr>
        <w:t>和定标委员会成员应当客观、公正地履行职责，遵守职业道德，不得擅离职守，影响</w:t>
      </w:r>
      <w:r>
        <w:rPr>
          <w:rFonts w:hint="eastAsia" w:ascii="宋体" w:hAnsi="宋体" w:eastAsia="宋体"/>
          <w:color w:val="000000" w:themeColor="text1"/>
          <w:szCs w:val="21"/>
          <w:highlight w:val="none"/>
          <w:lang w:val="en-US" w:eastAsia="zh-CN"/>
          <w14:textFill>
            <w14:solidFill>
              <w14:schemeClr w14:val="tx1"/>
            </w14:solidFill>
          </w14:textFill>
        </w:rPr>
        <w:t>有关</w:t>
      </w:r>
      <w:r>
        <w:rPr>
          <w:rFonts w:hint="eastAsia" w:ascii="宋体" w:hAnsi="宋体" w:eastAsia="宋体"/>
          <w:color w:val="000000" w:themeColor="text1"/>
          <w:szCs w:val="21"/>
          <w:highlight w:val="none"/>
          <w14:textFill>
            <w14:solidFill>
              <w14:schemeClr w14:val="tx1"/>
            </w14:solidFill>
          </w14:textFill>
        </w:rPr>
        <w:t>程序正常进行。</w:t>
      </w:r>
    </w:p>
    <w:p w14:paraId="1E19981A">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365" w:name="_Toc19349"/>
      <w:bookmarkStart w:id="366" w:name="_Toc22128"/>
      <w:bookmarkStart w:id="367" w:name="_Toc18323"/>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8.4.对与评标、清标和定标活动有关的工作人员的纪律要求</w:t>
      </w:r>
      <w:bookmarkEnd w:id="365"/>
      <w:bookmarkEnd w:id="366"/>
      <w:bookmarkEnd w:id="367"/>
    </w:p>
    <w:p w14:paraId="4E1711B1">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default" w:ascii="宋体" w:hAnsi="宋体" w:eastAsia="宋体" w:cstheme="minorBidi"/>
          <w:b w:val="0"/>
          <w:bCs w:val="0"/>
          <w:color w:val="000000" w:themeColor="text1"/>
          <w:kern w:val="2"/>
          <w:sz w:val="21"/>
          <w:szCs w:val="21"/>
          <w:highlight w:val="none"/>
          <w14:textFill>
            <w14:solidFill>
              <w14:schemeClr w14:val="tx1"/>
            </w14:solidFill>
          </w14:textFill>
        </w:rPr>
        <w:t>评标</w:t>
      </w:r>
      <w:r>
        <w:rPr>
          <w:rFonts w:hint="default" w:ascii="宋体" w:hAnsi="宋体" w:eastAsia="宋体" w:cstheme="minorBidi"/>
          <w:b w:val="0"/>
          <w:bCs w:val="0"/>
          <w:color w:val="000000" w:themeColor="text1"/>
          <w:kern w:val="2"/>
          <w:sz w:val="21"/>
          <w:szCs w:val="21"/>
          <w:highlight w:val="none"/>
          <w:lang w:eastAsia="zh-CN"/>
          <w14:textFill>
            <w14:solidFill>
              <w14:schemeClr w14:val="tx1"/>
            </w14:solidFill>
          </w14:textFill>
        </w:rPr>
        <w:t>、</w:t>
      </w:r>
      <w:r>
        <w:rPr>
          <w:rFonts w:hint="default" w:ascii="宋体" w:hAnsi="宋体" w:eastAsia="宋体" w:cstheme="minorBidi"/>
          <w:b w:val="0"/>
          <w:bCs w:val="0"/>
          <w:color w:val="000000" w:themeColor="text1"/>
          <w:kern w:val="2"/>
          <w:sz w:val="21"/>
          <w:szCs w:val="21"/>
          <w:highlight w:val="none"/>
          <w:lang w:val="en-US" w:eastAsia="zh-CN"/>
          <w14:textFill>
            <w14:solidFill>
              <w14:schemeClr w14:val="tx1"/>
            </w14:solidFill>
          </w14:textFill>
        </w:rPr>
        <w:t>清标、</w:t>
      </w:r>
      <w:r>
        <w:rPr>
          <w:rFonts w:hint="default" w:ascii="宋体" w:hAnsi="宋体" w:eastAsia="宋体" w:cstheme="minorBidi"/>
          <w:b w:val="0"/>
          <w:bCs w:val="0"/>
          <w:color w:val="000000" w:themeColor="text1"/>
          <w:kern w:val="2"/>
          <w:sz w:val="21"/>
          <w:szCs w:val="21"/>
          <w:highlight w:val="none"/>
          <w14:textFill>
            <w14:solidFill>
              <w14:schemeClr w14:val="tx1"/>
            </w14:solidFill>
          </w14:textFill>
        </w:rPr>
        <w:t>定标活动有关的工作人员不得收受他人的财物或者其他好处，不得向他人透漏对投标文件的评审和比较、定标候选人的推荐情况、</w:t>
      </w:r>
      <w:r>
        <w:rPr>
          <w:rFonts w:hint="default" w:ascii="宋体" w:hAnsi="宋体" w:eastAsia="宋体" w:cstheme="minorBidi"/>
          <w:b w:val="0"/>
          <w:bCs w:val="0"/>
          <w:color w:val="000000" w:themeColor="text1"/>
          <w:kern w:val="2"/>
          <w:sz w:val="21"/>
          <w:szCs w:val="21"/>
          <w:highlight w:val="none"/>
          <w:lang w:val="en-US" w:eastAsia="zh-CN"/>
          <w14:textFill>
            <w14:solidFill>
              <w14:schemeClr w14:val="tx1"/>
            </w14:solidFill>
          </w14:textFill>
        </w:rPr>
        <w:t>清标</w:t>
      </w:r>
      <w:r>
        <w:rPr>
          <w:rFonts w:hint="default" w:ascii="宋体" w:hAnsi="宋体" w:eastAsia="宋体" w:cstheme="minorBidi"/>
          <w:b w:val="0"/>
          <w:bCs w:val="0"/>
          <w:color w:val="000000" w:themeColor="text1"/>
          <w:kern w:val="2"/>
          <w:sz w:val="21"/>
          <w:szCs w:val="21"/>
          <w:highlight w:val="none"/>
          <w14:textFill>
            <w14:solidFill>
              <w14:schemeClr w14:val="tx1"/>
            </w14:solidFill>
          </w14:textFill>
        </w:rPr>
        <w:t>定标情况以及有关的其他情况。在评标、</w:t>
      </w:r>
      <w:r>
        <w:rPr>
          <w:rFonts w:hint="default" w:ascii="宋体" w:hAnsi="宋体" w:eastAsia="宋体" w:cstheme="minorBidi"/>
          <w:b w:val="0"/>
          <w:bCs w:val="0"/>
          <w:color w:val="000000" w:themeColor="text1"/>
          <w:kern w:val="2"/>
          <w:sz w:val="21"/>
          <w:szCs w:val="21"/>
          <w:highlight w:val="none"/>
          <w:lang w:val="en-US" w:eastAsia="zh-CN"/>
          <w14:textFill>
            <w14:solidFill>
              <w14:schemeClr w14:val="tx1"/>
            </w14:solidFill>
          </w14:textFill>
        </w:rPr>
        <w:t>清标、</w:t>
      </w:r>
      <w:r>
        <w:rPr>
          <w:rFonts w:hint="default" w:ascii="宋体" w:hAnsi="宋体" w:eastAsia="宋体" w:cstheme="minorBidi"/>
          <w:b w:val="0"/>
          <w:bCs w:val="0"/>
          <w:color w:val="000000" w:themeColor="text1"/>
          <w:kern w:val="2"/>
          <w:sz w:val="21"/>
          <w:szCs w:val="21"/>
          <w:highlight w:val="none"/>
          <w14:textFill>
            <w14:solidFill>
              <w14:schemeClr w14:val="tx1"/>
            </w14:solidFill>
          </w14:textFill>
        </w:rPr>
        <w:t>定标活动中不得擅离职守，影响</w:t>
      </w:r>
      <w:r>
        <w:rPr>
          <w:rFonts w:hint="default" w:ascii="宋体" w:hAnsi="宋体" w:eastAsia="宋体" w:cstheme="minorBidi"/>
          <w:b w:val="0"/>
          <w:bCs w:val="0"/>
          <w:color w:val="000000" w:themeColor="text1"/>
          <w:kern w:val="2"/>
          <w:sz w:val="21"/>
          <w:szCs w:val="21"/>
          <w:highlight w:val="none"/>
          <w:lang w:val="en-US" w:eastAsia="zh-CN"/>
          <w14:textFill>
            <w14:solidFill>
              <w14:schemeClr w14:val="tx1"/>
            </w14:solidFill>
          </w14:textFill>
        </w:rPr>
        <w:t>有关</w:t>
      </w:r>
      <w:r>
        <w:rPr>
          <w:rFonts w:hint="default" w:ascii="宋体" w:hAnsi="宋体" w:eastAsia="宋体" w:cstheme="minorBidi"/>
          <w:b w:val="0"/>
          <w:bCs w:val="0"/>
          <w:color w:val="000000" w:themeColor="text1"/>
          <w:kern w:val="2"/>
          <w:sz w:val="21"/>
          <w:szCs w:val="21"/>
          <w:highlight w:val="none"/>
          <w14:textFill>
            <w14:solidFill>
              <w14:schemeClr w14:val="tx1"/>
            </w14:solidFill>
          </w14:textFill>
        </w:rPr>
        <w:t>程序正常进行。</w:t>
      </w:r>
    </w:p>
    <w:p w14:paraId="1A48065B">
      <w:pPr>
        <w:pStyle w:val="13"/>
        <w:tabs>
          <w:tab w:val="left" w:pos="567"/>
          <w:tab w:val="left" w:pos="1000"/>
        </w:tabs>
        <w:ind w:firstLine="0" w:firstLineChars="0"/>
        <w:jc w:val="left"/>
        <w:rPr>
          <w:rFonts w:ascii="黑体" w:hAnsi="黑体" w:eastAsia="黑体"/>
          <w:b w:val="0"/>
          <w:color w:val="000000" w:themeColor="text1"/>
          <w:sz w:val="28"/>
          <w:szCs w:val="28"/>
          <w:highlight w:val="none"/>
          <w14:textFill>
            <w14:solidFill>
              <w14:schemeClr w14:val="tx1"/>
            </w14:solidFill>
          </w14:textFill>
        </w:rPr>
      </w:pPr>
      <w:bookmarkStart w:id="368" w:name="_bookmark76"/>
      <w:bookmarkEnd w:id="368"/>
      <w:r>
        <w:rPr>
          <w:rFonts w:hint="eastAsia" w:ascii="黑体" w:hAnsi="黑体" w:eastAsia="黑体"/>
          <w:b w:val="0"/>
          <w:color w:val="000000" w:themeColor="text1"/>
          <w:sz w:val="28"/>
          <w:szCs w:val="28"/>
          <w:highlight w:val="none"/>
          <w14:textFill>
            <w14:solidFill>
              <w14:schemeClr w14:val="tx1"/>
            </w14:solidFill>
          </w14:textFill>
        </w:rPr>
        <w:t>8.5.异议、</w:t>
      </w:r>
      <w:r>
        <w:rPr>
          <w:rFonts w:ascii="黑体" w:hAnsi="黑体" w:eastAsia="黑体"/>
          <w:b w:val="0"/>
          <w:color w:val="000000" w:themeColor="text1"/>
          <w:sz w:val="28"/>
          <w:szCs w:val="28"/>
          <w:highlight w:val="none"/>
          <w14:textFill>
            <w14:solidFill>
              <w14:schemeClr w14:val="tx1"/>
            </w14:solidFill>
          </w14:textFill>
        </w:rPr>
        <w:t>投诉</w:t>
      </w:r>
    </w:p>
    <w:p w14:paraId="1C94F51A">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8.5</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异议处理</w:t>
      </w:r>
    </w:p>
    <w:p w14:paraId="13F5EF2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（1）投标人对开标有异议的，应当使用本单位的</w:t>
      </w:r>
      <w:r>
        <w:rPr>
          <w:rFonts w:hint="eastAsia" w:ascii="宋体" w:hAnsi="宋体" w:eastAsia="宋体"/>
          <w:color w:val="000000" w:themeColor="text1"/>
          <w:szCs w:val="21"/>
          <w:highlight w:val="none"/>
          <w:lang w:eastAsia="zh-CN"/>
          <w14:textFill>
            <w14:solidFill>
              <w14:schemeClr w14:val="tx1"/>
            </w14:solidFill>
          </w14:textFill>
        </w:rPr>
        <w:t>CA证书</w:t>
      </w:r>
      <w:r>
        <w:rPr>
          <w:rFonts w:ascii="宋体" w:hAnsi="宋体" w:eastAsia="宋体"/>
          <w:color w:val="000000" w:themeColor="text1"/>
          <w:szCs w:val="21"/>
          <w:highlight w:val="none"/>
          <w14:textFill>
            <w14:solidFill>
              <w14:schemeClr w14:val="tx1"/>
            </w14:solidFill>
          </w14:textFill>
        </w:rPr>
        <w:t>当场通过电子交易平台在线提出；招标人应当通过电子交易平台当场作出答复。电子交易平台应当记录并保存异议的提出和答复情况。</w:t>
      </w:r>
    </w:p>
    <w:p w14:paraId="52F308D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招标人将电子交易平台生成的电子投标文件软硬件信息分析结果，提供给评标委员会。投标人对电子交易平台生成的电子投标文件软硬件信息分析结果持有异议的，应使用本单位的</w:t>
      </w:r>
      <w:r>
        <w:rPr>
          <w:rFonts w:hint="eastAsia" w:ascii="宋体" w:hAnsi="宋体" w:eastAsia="宋体"/>
          <w:color w:val="000000" w:themeColor="text1"/>
          <w:szCs w:val="21"/>
          <w:highlight w:val="none"/>
          <w:lang w:eastAsia="zh-CN"/>
          <w14:textFill>
            <w14:solidFill>
              <w14:schemeClr w14:val="tx1"/>
            </w14:solidFill>
          </w14:textFill>
        </w:rPr>
        <w:t>CA证书</w:t>
      </w:r>
      <w:r>
        <w:rPr>
          <w:rFonts w:hint="eastAsia" w:ascii="宋体" w:hAnsi="宋体" w:eastAsia="宋体"/>
          <w:color w:val="000000" w:themeColor="text1"/>
          <w:szCs w:val="21"/>
          <w:highlight w:val="none"/>
          <w14:textFill>
            <w14:solidFill>
              <w14:schemeClr w14:val="tx1"/>
            </w14:solidFill>
          </w14:textFill>
        </w:rPr>
        <w:t>当场通过电子交易平台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14:paraId="0AEC298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（2）潜在投标人或投标人及其他利害关系人对招标文件或评标结果</w:t>
      </w:r>
      <w:r>
        <w:rPr>
          <w:rFonts w:hint="eastAsia" w:ascii="宋体" w:hAnsi="宋体" w:eastAsia="宋体"/>
          <w:color w:val="000000" w:themeColor="text1"/>
          <w:szCs w:val="21"/>
          <w:highlight w:val="none"/>
          <w:lang w:val="en-US" w:eastAsia="zh-CN"/>
          <w14:textFill>
            <w14:solidFill>
              <w14:schemeClr w14:val="tx1"/>
            </w14:solidFill>
          </w14:textFill>
        </w:rPr>
        <w:t>或定标结果</w:t>
      </w:r>
      <w:r>
        <w:rPr>
          <w:rFonts w:ascii="宋体" w:hAnsi="宋体" w:eastAsia="宋体"/>
          <w:color w:val="000000" w:themeColor="text1"/>
          <w:szCs w:val="21"/>
          <w:highlight w:val="none"/>
          <w14:textFill>
            <w14:solidFill>
              <w14:schemeClr w14:val="tx1"/>
            </w14:solidFill>
          </w14:textFill>
        </w:rPr>
        <w:t>有异议的，应当在规定的期限内（</w:t>
      </w:r>
      <w:r>
        <w:rPr>
          <w:rFonts w:hint="eastAsia" w:ascii="宋体" w:hAnsi="宋体" w:eastAsia="宋体"/>
          <w:color w:val="000000" w:themeColor="text1"/>
          <w:szCs w:val="21"/>
          <w:highlight w:val="none"/>
          <w14:textFill>
            <w14:solidFill>
              <w14:schemeClr w14:val="tx1"/>
            </w14:solidFill>
          </w14:textFill>
        </w:rPr>
        <w:t>对招标文件的异议期限为在投标截止时间10天前，对评标结果</w:t>
      </w:r>
      <w:r>
        <w:rPr>
          <w:rFonts w:hint="eastAsia" w:ascii="宋体" w:hAnsi="宋体" w:eastAsia="宋体"/>
          <w:color w:val="000000" w:themeColor="text1"/>
          <w:szCs w:val="21"/>
          <w:highlight w:val="none"/>
          <w:lang w:val="en-US" w:eastAsia="zh-CN"/>
          <w14:textFill>
            <w14:solidFill>
              <w14:schemeClr w14:val="tx1"/>
            </w14:solidFill>
          </w14:textFill>
        </w:rPr>
        <w:t>和定标结果</w:t>
      </w:r>
      <w:r>
        <w:rPr>
          <w:rFonts w:hint="eastAsia" w:ascii="宋体" w:hAnsi="宋体" w:eastAsia="宋体"/>
          <w:color w:val="000000" w:themeColor="text1"/>
          <w:szCs w:val="21"/>
          <w:highlight w:val="none"/>
          <w14:textFill>
            <w14:solidFill>
              <w14:schemeClr w14:val="tx1"/>
            </w14:solidFill>
          </w14:textFill>
        </w:rPr>
        <w:t>的异议期限为</w:t>
      </w:r>
      <w:r>
        <w:rPr>
          <w:rFonts w:hint="eastAsia" w:ascii="宋体" w:hAnsi="宋体" w:eastAsia="宋体"/>
          <w:color w:val="000000" w:themeColor="text1"/>
          <w:szCs w:val="21"/>
          <w:highlight w:val="none"/>
          <w:lang w:val="en-US" w:eastAsia="zh-CN"/>
          <w14:textFill>
            <w14:solidFill>
              <w14:schemeClr w14:val="tx1"/>
            </w14:solidFill>
          </w14:textFill>
        </w:rPr>
        <w:t>中标候选人</w:t>
      </w:r>
      <w:r>
        <w:rPr>
          <w:rFonts w:hint="eastAsia" w:ascii="宋体" w:hAnsi="宋体" w:eastAsia="宋体"/>
          <w:color w:val="000000" w:themeColor="text1"/>
          <w:szCs w:val="21"/>
          <w:highlight w:val="none"/>
          <w14:textFill>
            <w14:solidFill>
              <w14:schemeClr w14:val="tx1"/>
            </w14:solidFill>
          </w14:textFill>
        </w:rPr>
        <w:t>公示期内</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通过电子交易平台</w:t>
      </w:r>
      <w:r>
        <w:rPr>
          <w:rFonts w:ascii="宋体" w:hAnsi="宋体" w:eastAsia="宋体"/>
          <w:color w:val="000000" w:themeColor="text1"/>
          <w:szCs w:val="21"/>
          <w:highlight w:val="none"/>
          <w14:textFill>
            <w14:solidFill>
              <w14:schemeClr w14:val="tx1"/>
            </w14:solidFill>
          </w14:textFill>
        </w:rPr>
        <w:t>向招标人提出。</w:t>
      </w:r>
      <w:r>
        <w:rPr>
          <w:rFonts w:hint="eastAsia" w:ascii="宋体" w:hAnsi="宋体" w:eastAsia="宋体"/>
          <w:color w:val="000000" w:themeColor="text1"/>
          <w:szCs w:val="21"/>
          <w:highlight w:val="none"/>
          <w14:textFill>
            <w14:solidFill>
              <w14:schemeClr w14:val="tx1"/>
            </w14:solidFill>
          </w14:textFill>
        </w:rPr>
        <w:t xml:space="preserve">     </w:t>
      </w:r>
    </w:p>
    <w:p w14:paraId="0E2593C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异议应当包括下列内容：</w:t>
      </w:r>
    </w:p>
    <w:p w14:paraId="68D9A97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宋体" w:hAnsi="宋体" w:eastAsia="宋体"/>
          <w:color w:val="000000" w:themeColor="text1"/>
          <w:szCs w:val="21"/>
          <w:highlight w:val="none"/>
          <w14:textFill>
            <w14:solidFill>
              <w14:schemeClr w14:val="tx1"/>
            </w14:solidFill>
          </w14:textFill>
        </w:rPr>
        <w:t>异议人的名称、地址及有效联系方式；</w:t>
      </w:r>
    </w:p>
    <w:p w14:paraId="271CDBD4">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ascii="宋体" w:hAnsi="宋体" w:eastAsia="宋体"/>
          <w:color w:val="000000" w:themeColor="text1"/>
          <w:szCs w:val="21"/>
          <w:highlight w:val="none"/>
          <w14:textFill>
            <w14:solidFill>
              <w14:schemeClr w14:val="tx1"/>
            </w14:solidFill>
          </w14:textFill>
        </w:rPr>
        <w:t>被异议人的名称（仅适用于对评标结果</w:t>
      </w:r>
      <w:r>
        <w:rPr>
          <w:rFonts w:hint="eastAsia" w:ascii="宋体" w:hAnsi="宋体" w:eastAsia="宋体"/>
          <w:color w:val="000000" w:themeColor="text1"/>
          <w:szCs w:val="21"/>
          <w:highlight w:val="none"/>
          <w:lang w:val="en-US" w:eastAsia="zh-CN"/>
          <w14:textFill>
            <w14:solidFill>
              <w14:schemeClr w14:val="tx1"/>
            </w14:solidFill>
          </w14:textFill>
        </w:rPr>
        <w:t>或定标结果</w:t>
      </w:r>
      <w:r>
        <w:rPr>
          <w:rFonts w:hint="eastAsia" w:ascii="宋体" w:hAnsi="宋体" w:eastAsia="宋体"/>
          <w:color w:val="000000" w:themeColor="text1"/>
          <w:szCs w:val="21"/>
          <w:highlight w:val="none"/>
          <w14:textFill>
            <w14:solidFill>
              <w14:schemeClr w14:val="tx1"/>
            </w14:solidFill>
          </w14:textFill>
        </w:rPr>
        <w:t>的异议）；</w:t>
      </w:r>
    </w:p>
    <w:p w14:paraId="6FC5F76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w:t>
      </w:r>
      <w:r>
        <w:rPr>
          <w:rFonts w:hint="eastAsia" w:ascii="宋体" w:hAnsi="宋体" w:eastAsia="宋体"/>
          <w:color w:val="000000" w:themeColor="text1"/>
          <w:szCs w:val="21"/>
          <w:highlight w:val="none"/>
          <w14:textFill>
            <w14:solidFill>
              <w14:schemeClr w14:val="tx1"/>
            </w14:solidFill>
          </w14:textFill>
        </w:rPr>
        <w:t>异议事项的基本事实；</w:t>
      </w:r>
    </w:p>
    <w:p w14:paraId="5539865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w:t>
      </w:r>
      <w:r>
        <w:rPr>
          <w:rFonts w:hint="eastAsia" w:ascii="宋体" w:hAnsi="宋体" w:eastAsia="宋体"/>
          <w:color w:val="000000" w:themeColor="text1"/>
          <w:szCs w:val="21"/>
          <w:highlight w:val="none"/>
          <w14:textFill>
            <w14:solidFill>
              <w14:schemeClr w14:val="tx1"/>
            </w14:solidFill>
          </w14:textFill>
        </w:rPr>
        <w:t>相关请求及主张；</w:t>
      </w:r>
    </w:p>
    <w:p w14:paraId="365C140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w:t>
      </w:r>
      <w:r>
        <w:rPr>
          <w:rFonts w:hint="eastAsia" w:ascii="宋体" w:hAnsi="宋体" w:eastAsia="宋体"/>
          <w:color w:val="000000" w:themeColor="text1"/>
          <w:szCs w:val="21"/>
          <w:highlight w:val="none"/>
          <w14:textFill>
            <w14:solidFill>
              <w14:schemeClr w14:val="tx1"/>
            </w14:solidFill>
          </w14:textFill>
        </w:rPr>
        <w:t xml:space="preserve">有效线索和相关证明材料。 </w:t>
      </w:r>
    </w:p>
    <w:p w14:paraId="49292387">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w:t>
      </w:r>
      <w:r>
        <w:rPr>
          <w:rFonts w:ascii="宋体" w:hAnsi="宋体" w:eastAsia="宋体"/>
          <w:color w:val="000000" w:themeColor="text1"/>
          <w:szCs w:val="21"/>
          <w:highlight w:val="none"/>
          <w14:textFill>
            <w14:solidFill>
              <w14:schemeClr w14:val="tx1"/>
            </w14:solidFill>
          </w14:textFill>
        </w:rPr>
        <w:t>招标人收到对招标文件或评标结果</w:t>
      </w:r>
      <w:r>
        <w:rPr>
          <w:rFonts w:hint="eastAsia" w:ascii="宋体" w:hAnsi="宋体" w:eastAsia="宋体"/>
          <w:color w:val="000000" w:themeColor="text1"/>
          <w:szCs w:val="21"/>
          <w:highlight w:val="none"/>
          <w:lang w:val="en-US" w:eastAsia="zh-CN"/>
          <w14:textFill>
            <w14:solidFill>
              <w14:schemeClr w14:val="tx1"/>
            </w14:solidFill>
          </w14:textFill>
        </w:rPr>
        <w:t>或定标结果</w:t>
      </w:r>
      <w:r>
        <w:rPr>
          <w:rFonts w:hint="eastAsia" w:ascii="宋体" w:hAnsi="宋体" w:eastAsia="宋体"/>
          <w:color w:val="000000" w:themeColor="text1"/>
          <w:szCs w:val="21"/>
          <w:highlight w:val="none"/>
          <w14:textFill>
            <w14:solidFill>
              <w14:schemeClr w14:val="tx1"/>
            </w14:solidFill>
          </w14:textFill>
        </w:rPr>
        <w:t>的</w:t>
      </w:r>
      <w:r>
        <w:rPr>
          <w:rFonts w:ascii="宋体" w:hAnsi="宋体" w:eastAsia="宋体"/>
          <w:color w:val="000000" w:themeColor="text1"/>
          <w:szCs w:val="21"/>
          <w:highlight w:val="none"/>
          <w14:textFill>
            <w14:solidFill>
              <w14:schemeClr w14:val="tx1"/>
            </w14:solidFill>
          </w14:textFill>
        </w:rPr>
        <w:t>异议后，应当在3日内作出是否受理的决定，逾期未作出不予受理决定的</w:t>
      </w:r>
      <w:r>
        <w:rPr>
          <w:rFonts w:hint="eastAsia" w:ascii="宋体" w:hAnsi="宋体" w:eastAsia="宋体"/>
          <w:color w:val="000000" w:themeColor="text1"/>
          <w:szCs w:val="21"/>
          <w:highlight w:val="none"/>
          <w14:textFill>
            <w14:solidFill>
              <w14:schemeClr w14:val="tx1"/>
            </w14:solidFill>
          </w14:textFill>
        </w:rPr>
        <w:t>，自收到异议之日起</w:t>
      </w:r>
      <w:r>
        <w:rPr>
          <w:rFonts w:ascii="宋体" w:hAnsi="宋体" w:eastAsia="宋体"/>
          <w:color w:val="000000" w:themeColor="text1"/>
          <w:szCs w:val="21"/>
          <w:highlight w:val="none"/>
          <w14:textFill>
            <w14:solidFill>
              <w14:schemeClr w14:val="tx1"/>
            </w14:solidFill>
          </w14:textFill>
        </w:rPr>
        <w:t>即视为受理。有下列情形之</w:t>
      </w:r>
      <w:r>
        <w:rPr>
          <w:rFonts w:hint="eastAsia" w:ascii="宋体" w:hAnsi="宋体" w:eastAsia="宋体"/>
          <w:color w:val="000000" w:themeColor="text1"/>
          <w:szCs w:val="21"/>
          <w:highlight w:val="none"/>
          <w14:textFill>
            <w14:solidFill>
              <w14:schemeClr w14:val="tx1"/>
            </w14:solidFill>
          </w14:textFill>
        </w:rPr>
        <w:t>一的异议，不予受理，并向异议人发出不予受理告知书：</w:t>
      </w:r>
    </w:p>
    <w:p w14:paraId="304EBAA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宋体" w:hAnsi="宋体" w:eastAsia="宋体"/>
          <w:color w:val="000000" w:themeColor="text1"/>
          <w:szCs w:val="21"/>
          <w:highlight w:val="none"/>
          <w14:textFill>
            <w14:solidFill>
              <w14:schemeClr w14:val="tx1"/>
            </w14:solidFill>
          </w14:textFill>
        </w:rPr>
        <w:t>对评标结果</w:t>
      </w:r>
      <w:r>
        <w:rPr>
          <w:rFonts w:hint="eastAsia" w:ascii="宋体" w:hAnsi="宋体" w:eastAsia="宋体"/>
          <w:color w:val="000000" w:themeColor="text1"/>
          <w:szCs w:val="21"/>
          <w:highlight w:val="none"/>
          <w:lang w:val="en-US" w:eastAsia="zh-CN"/>
          <w14:textFill>
            <w14:solidFill>
              <w14:schemeClr w14:val="tx1"/>
            </w14:solidFill>
          </w14:textFill>
        </w:rPr>
        <w:t>或定标结果</w:t>
      </w:r>
      <w:r>
        <w:rPr>
          <w:rFonts w:hint="eastAsia" w:ascii="宋体" w:hAnsi="宋体" w:eastAsia="宋体"/>
          <w:color w:val="000000" w:themeColor="text1"/>
          <w:szCs w:val="21"/>
          <w:highlight w:val="none"/>
          <w14:textFill>
            <w14:solidFill>
              <w14:schemeClr w14:val="tx1"/>
            </w14:solidFill>
          </w14:textFill>
        </w:rPr>
        <w:t>有异议的异议人不是本项目的参与者，或者与本项目无任何利害关系；</w:t>
      </w:r>
    </w:p>
    <w:p w14:paraId="73E5892C">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ascii="宋体" w:hAnsi="宋体" w:eastAsia="宋体"/>
          <w:color w:val="000000" w:themeColor="text1"/>
          <w:szCs w:val="21"/>
          <w:highlight w:val="none"/>
          <w:lang w:val="en-US" w:eastAsia="zh-CN"/>
          <w14:textFill>
            <w14:solidFill>
              <w14:schemeClr w14:val="tx1"/>
            </w14:solidFill>
          </w14:textFill>
        </w:rPr>
        <w:t>被异议人或</w:t>
      </w:r>
      <w:r>
        <w:rPr>
          <w:rFonts w:hint="eastAsia" w:ascii="宋体" w:hAnsi="宋体" w:eastAsia="宋体"/>
          <w:color w:val="000000" w:themeColor="text1"/>
          <w:szCs w:val="21"/>
          <w:highlight w:val="none"/>
          <w14:textFill>
            <w14:solidFill>
              <w14:schemeClr w14:val="tx1"/>
            </w14:solidFill>
          </w14:textFill>
        </w:rPr>
        <w:t>异议事项不具体，</w:t>
      </w:r>
      <w:r>
        <w:rPr>
          <w:rFonts w:hint="eastAsia" w:ascii="宋体" w:hAnsi="宋体" w:eastAsia="宋体"/>
          <w:color w:val="000000" w:themeColor="text1"/>
          <w:szCs w:val="21"/>
          <w:highlight w:val="none"/>
          <w:lang w:eastAsia="zh-CN"/>
          <w14:textFill>
            <w14:solidFill>
              <w14:schemeClr w14:val="tx1"/>
            </w14:solidFill>
          </w14:textFill>
        </w:rPr>
        <w:t>或</w:t>
      </w:r>
      <w:r>
        <w:rPr>
          <w:rFonts w:hint="eastAsia" w:ascii="宋体" w:hAnsi="宋体" w:eastAsia="宋体"/>
          <w:color w:val="000000" w:themeColor="text1"/>
          <w:szCs w:val="21"/>
          <w:highlight w:val="none"/>
          <w14:textFill>
            <w14:solidFill>
              <w14:schemeClr w14:val="tx1"/>
            </w14:solidFill>
          </w14:textFill>
        </w:rPr>
        <w:t xml:space="preserve">未提供有效线索，难以查证的； </w:t>
      </w:r>
    </w:p>
    <w:p w14:paraId="0A79B180">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w:t>
      </w:r>
      <w:r>
        <w:rPr>
          <w:rFonts w:hint="eastAsia" w:ascii="宋体" w:hAnsi="宋体" w:eastAsia="宋体"/>
          <w:color w:val="000000" w:themeColor="text1"/>
          <w:szCs w:val="21"/>
          <w:highlight w:val="none"/>
          <w14:textFill>
            <w14:solidFill>
              <w14:schemeClr w14:val="tx1"/>
            </w14:solidFill>
          </w14:textFill>
        </w:rPr>
        <w:t>异议未署具异议人真实姓名、签字和有效联系方式的；以法人名义提出异议的，异议未经法定代表人签字并加盖公章的；</w:t>
      </w:r>
    </w:p>
    <w:p w14:paraId="6CBB5614">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w:t>
      </w:r>
      <w:r>
        <w:rPr>
          <w:rFonts w:hint="eastAsia" w:ascii="宋体" w:hAnsi="宋体" w:eastAsia="宋体"/>
          <w:color w:val="000000" w:themeColor="text1"/>
          <w:szCs w:val="21"/>
          <w:highlight w:val="none"/>
          <w14:textFill>
            <w14:solidFill>
              <w14:schemeClr w14:val="tx1"/>
            </w14:solidFill>
          </w14:textFill>
        </w:rPr>
        <w:t>超过异议时效的。</w:t>
      </w:r>
    </w:p>
    <w:p w14:paraId="0FBBC9E4">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招标人对招标文件或评标结果</w:t>
      </w:r>
      <w:r>
        <w:rPr>
          <w:rFonts w:hint="eastAsia" w:ascii="宋体" w:hAnsi="宋体" w:eastAsia="宋体"/>
          <w:color w:val="000000" w:themeColor="text1"/>
          <w:szCs w:val="21"/>
          <w:highlight w:val="none"/>
          <w:lang w:val="en-US" w:eastAsia="zh-CN"/>
          <w14:textFill>
            <w14:solidFill>
              <w14:schemeClr w14:val="tx1"/>
            </w14:solidFill>
          </w14:textFill>
        </w:rPr>
        <w:t>或定标结果</w:t>
      </w:r>
      <w:r>
        <w:rPr>
          <w:rFonts w:ascii="宋体" w:hAnsi="宋体" w:eastAsia="宋体"/>
          <w:color w:val="000000" w:themeColor="text1"/>
          <w:szCs w:val="21"/>
          <w:highlight w:val="none"/>
          <w14:textFill>
            <w14:solidFill>
              <w14:schemeClr w14:val="tx1"/>
            </w14:solidFill>
          </w14:textFill>
        </w:rPr>
        <w:t>异议的处理结果，应当通过电子交易平台作出答复并向社会公开，同时通过</w:t>
      </w:r>
      <w:r>
        <w:rPr>
          <w:rFonts w:hint="eastAsia" w:ascii="宋体" w:hAnsi="宋体" w:eastAsia="宋体"/>
          <w:color w:val="000000" w:themeColor="text1"/>
          <w:szCs w:val="21"/>
          <w:highlight w:val="none"/>
          <w14:textFill>
            <w14:solidFill>
              <w14:schemeClr w14:val="tx1"/>
            </w14:solidFill>
          </w14:textFill>
        </w:rPr>
        <w:t>福建</w:t>
      </w:r>
      <w:r>
        <w:rPr>
          <w:rFonts w:ascii="宋体" w:hAnsi="宋体" w:eastAsia="宋体"/>
          <w:color w:val="000000" w:themeColor="text1"/>
          <w:szCs w:val="21"/>
          <w:highlight w:val="none"/>
          <w14:textFill>
            <w14:solidFill>
              <w14:schemeClr w14:val="tx1"/>
            </w14:solidFill>
          </w14:textFill>
        </w:rPr>
        <w:t>省行政监督平台向监督机关备案。在作出答复前应当暂停下一阶段招投标活动。</w:t>
      </w:r>
    </w:p>
    <w:p w14:paraId="6376083E">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8.5.2</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投诉处理</w:t>
      </w:r>
    </w:p>
    <w:p w14:paraId="05100165">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投标人或者其他利害关系人认为招标投标活动不符合有关规定的，应当自知道或者应当知道之日起10日内向该项目的监督机关依法提出书面投诉或线上投诉。投诉应当符合《中华人民共和国招标投标法实施条例》和《工程建设项目招标投标活动投诉处理办法》（国家发改委等七部委11号令）的要求。</w:t>
      </w:r>
      <w:r>
        <w:rPr>
          <w:rFonts w:hint="eastAsia" w:ascii="宋体" w:hAnsi="宋体"/>
          <w:color w:val="000000" w:themeColor="text1"/>
          <w:sz w:val="21"/>
          <w:szCs w:val="21"/>
          <w:highlight w:val="none"/>
          <w:lang w:val="en-US" w:eastAsia="zh-CN"/>
          <w14:textFill>
            <w14:solidFill>
              <w14:schemeClr w14:val="tx1"/>
            </w14:solidFill>
          </w14:textFill>
        </w:rPr>
        <w:t>鼓励投诉人采用线上投诉</w:t>
      </w:r>
      <w:r>
        <w:rPr>
          <w:rFonts w:hint="eastAsia" w:ascii="宋体" w:hAnsi="宋体"/>
          <w:color w:val="000000" w:themeColor="text1"/>
          <w:sz w:val="21"/>
          <w:szCs w:val="21"/>
          <w:highlight w:val="none"/>
          <w14:textFill>
            <w14:solidFill>
              <w14:schemeClr w14:val="tx1"/>
            </w14:solidFill>
          </w14:textFill>
        </w:rPr>
        <w:t>，通过福建省公共资源交易电子行政监督平台向该招标项目的</w:t>
      </w:r>
      <w:r>
        <w:rPr>
          <w:rFonts w:hint="eastAsia" w:cs="宋体"/>
          <w:color w:val="000000" w:themeColor="text1"/>
          <w:kern w:val="2"/>
          <w:sz w:val="21"/>
          <w:szCs w:val="21"/>
          <w:highlight w:val="none"/>
          <w14:textFill>
            <w14:solidFill>
              <w14:schemeClr w14:val="tx1"/>
            </w14:solidFill>
          </w14:textFill>
        </w:rPr>
        <w:t>招投标监督机构</w:t>
      </w:r>
      <w:r>
        <w:rPr>
          <w:rFonts w:hint="eastAsia" w:ascii="宋体" w:hAnsi="宋体"/>
          <w:color w:val="000000" w:themeColor="text1"/>
          <w:sz w:val="21"/>
          <w:szCs w:val="21"/>
          <w:highlight w:val="none"/>
          <w14:textFill>
            <w14:solidFill>
              <w14:schemeClr w14:val="tx1"/>
            </w14:solidFill>
          </w14:textFill>
        </w:rPr>
        <w:t>提出投诉</w:t>
      </w:r>
      <w:r>
        <w:rPr>
          <w:rFonts w:hint="eastAsia" w:ascii="宋体" w:hAnsi="宋体" w:eastAsia="宋体"/>
          <w:color w:val="000000" w:themeColor="text1"/>
          <w:szCs w:val="21"/>
          <w:highlight w:val="none"/>
          <w14:textFill>
            <w14:solidFill>
              <w14:schemeClr w14:val="tx1"/>
            </w14:solidFill>
          </w14:textFill>
        </w:rPr>
        <w:t>。</w:t>
      </w:r>
    </w:p>
    <w:p w14:paraId="05EE6B73">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投诉人就招标文件、开标、评标结果</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定标结果</w:t>
      </w:r>
      <w:r>
        <w:rPr>
          <w:rFonts w:hint="eastAsia" w:ascii="宋体" w:hAnsi="宋体" w:eastAsia="宋体"/>
          <w:color w:val="000000" w:themeColor="text1"/>
          <w:szCs w:val="21"/>
          <w:highlight w:val="none"/>
          <w14:textFill>
            <w14:solidFill>
              <w14:schemeClr w14:val="tx1"/>
            </w14:solidFill>
          </w14:textFill>
        </w:rPr>
        <w:t>的事项投诉的，除需提供《工程建设项目招标投标活动投诉处理办法》规定的内容外，还应当提供招标人的异议答复复印件。</w:t>
      </w:r>
    </w:p>
    <w:p w14:paraId="07AD8072">
      <w:pPr>
        <w:pStyle w:val="13"/>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招投标监督机构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依法作出的投诉处理决定，应当通过</w:t>
      </w:r>
      <w:r>
        <w:rPr>
          <w:rFonts w:hint="eastAsia" w:ascii="宋体" w:hAnsi="宋体" w:eastAsia="宋体" w:cs="宋体"/>
          <w:color w:val="000000" w:themeColor="text1"/>
          <w:sz w:val="21"/>
          <w:szCs w:val="21"/>
          <w:highlight w:val="none"/>
          <w14:textFill>
            <w14:solidFill>
              <w14:schemeClr w14:val="tx1"/>
            </w14:solidFill>
          </w14:textFill>
        </w:rPr>
        <w:t>福建省公共资源交易电子行政监督平台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向投诉人出发并向社会公开。投诉人、被投诉人和与处理结果有关当事人可自行登陆平台查阅、下载。</w:t>
      </w:r>
    </w:p>
    <w:p w14:paraId="6BA1577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69" w:name="_Toc1455"/>
      <w:bookmarkStart w:id="370" w:name="_Toc15813"/>
      <w:bookmarkStart w:id="371" w:name="_Toc2723"/>
      <w:r>
        <w:rPr>
          <w:rFonts w:hint="eastAsia" w:ascii="黑体" w:hAnsi="黑体" w:eastAsia="黑体"/>
          <w:b w:val="0"/>
          <w:color w:val="000000" w:themeColor="text1"/>
          <w:sz w:val="28"/>
          <w:szCs w:val="28"/>
          <w:highlight w:val="none"/>
          <w14:textFill>
            <w14:solidFill>
              <w14:schemeClr w14:val="tx1"/>
            </w14:solidFill>
          </w14:textFill>
        </w:rPr>
        <w:t>9.其他须知</w:t>
      </w:r>
      <w:bookmarkEnd w:id="369"/>
      <w:bookmarkEnd w:id="370"/>
      <w:bookmarkEnd w:id="371"/>
    </w:p>
    <w:p w14:paraId="363DA9F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72" w:name="_Toc142138247"/>
      <w:bookmarkStart w:id="373" w:name="_Toc13529"/>
      <w:bookmarkStart w:id="374" w:name="_Toc28794"/>
      <w:bookmarkStart w:id="375" w:name="_Toc17703"/>
      <w:bookmarkStart w:id="376" w:name="_Toc300038959"/>
      <w:bookmarkStart w:id="377" w:name="_Toc1811"/>
      <w:bookmarkStart w:id="378" w:name="_Toc20089"/>
      <w:bookmarkStart w:id="379" w:name="_Toc516753513"/>
      <w:r>
        <w:rPr>
          <w:rFonts w:hint="eastAsia" w:ascii="黑体" w:hAnsi="黑体" w:eastAsia="黑体"/>
          <w:b w:val="0"/>
          <w:color w:val="000000" w:themeColor="text1"/>
          <w:sz w:val="28"/>
          <w:szCs w:val="28"/>
          <w:highlight w:val="none"/>
          <w14:textFill>
            <w14:solidFill>
              <w14:schemeClr w14:val="tx1"/>
            </w14:solidFill>
          </w14:textFill>
        </w:rPr>
        <w:t>9.1.重新招标或经批准</w:t>
      </w:r>
      <w:bookmarkEnd w:id="372"/>
      <w:r>
        <w:rPr>
          <w:rFonts w:hint="eastAsia" w:ascii="黑体" w:hAnsi="黑体" w:eastAsia="黑体"/>
          <w:b w:val="0"/>
          <w:color w:val="000000" w:themeColor="text1"/>
          <w:sz w:val="28"/>
          <w:szCs w:val="28"/>
          <w:highlight w:val="none"/>
          <w14:textFill>
            <w14:solidFill>
              <w14:schemeClr w14:val="tx1"/>
            </w14:solidFill>
          </w14:textFill>
        </w:rPr>
        <w:t>调整招标方式</w:t>
      </w:r>
      <w:bookmarkEnd w:id="373"/>
      <w:bookmarkEnd w:id="374"/>
      <w:bookmarkEnd w:id="375"/>
      <w:bookmarkEnd w:id="376"/>
      <w:bookmarkEnd w:id="377"/>
      <w:bookmarkEnd w:id="378"/>
      <w:bookmarkEnd w:id="379"/>
    </w:p>
    <w:p w14:paraId="21DF9082">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14:paraId="14FC60B5">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9.1.1.依法必须进行招标的项目有下列情形之一的，招标人在分析招标失败的原因并采取相应措施后，应当依法重新招标：</w:t>
      </w:r>
    </w:p>
    <w:p w14:paraId="60349EF1">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（1）资格审查合格的投标人（潜在投标人）不足三家的； </w:t>
      </w:r>
    </w:p>
    <w:p w14:paraId="7AB28A66">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（2）在投标截止时间届满时</w:t>
      </w:r>
      <w:r>
        <w:rPr>
          <w:rFonts w:hint="eastAsia" w:ascii="宋体" w:hAnsi="宋体" w:eastAsia="宋体"/>
          <w:color w:val="000000" w:themeColor="text1"/>
          <w:szCs w:val="21"/>
          <w:highlight w:val="none"/>
          <w:lang w:eastAsia="zh-CN"/>
          <w14:textFill>
            <w14:solidFill>
              <w14:schemeClr w14:val="tx1"/>
            </w14:solidFill>
          </w14:textFill>
        </w:rPr>
        <w:t>递交投标文件</w:t>
      </w:r>
      <w:r>
        <w:rPr>
          <w:rFonts w:hint="eastAsia" w:ascii="宋体" w:hAnsi="宋体" w:eastAsia="宋体"/>
          <w:color w:val="000000" w:themeColor="text1"/>
          <w:szCs w:val="21"/>
          <w:highlight w:val="none"/>
          <w14:textFill>
            <w14:solidFill>
              <w14:schemeClr w14:val="tx1"/>
            </w14:solidFill>
          </w14:textFill>
        </w:rPr>
        <w:t xml:space="preserve">的投标人少于三家的； </w:t>
      </w:r>
    </w:p>
    <w:p w14:paraId="5E2C337F">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（3）所有投标均被否决的；</w:t>
      </w:r>
    </w:p>
    <w:p w14:paraId="23042C2E">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（4）经评审，有效投标不足三家使得投标明显缺乏竞争，且评标委员会决定否决所有投标的； </w:t>
      </w:r>
    </w:p>
    <w:p w14:paraId="042A5C83">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（5）根据本投标人须知正文第3.3款规定，同意延长投标有效期的投标人少于三家的。 </w:t>
      </w:r>
    </w:p>
    <w:p w14:paraId="09E93D49">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9.1.2.招标方式已经核准的项目，连续两次招标失败的，经原核准机关审查批准，可以调整招标方式；其他项目由招标人自行决定调整招标方式。</w:t>
      </w:r>
    </w:p>
    <w:p w14:paraId="1335961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80" w:name="_Toc31312"/>
      <w:bookmarkStart w:id="381" w:name="_Toc29972"/>
      <w:bookmarkStart w:id="382" w:name="_Toc5253"/>
      <w:r>
        <w:rPr>
          <w:rFonts w:hint="eastAsia" w:ascii="黑体" w:hAnsi="黑体" w:eastAsia="黑体"/>
          <w:b w:val="0"/>
          <w:color w:val="000000" w:themeColor="text1"/>
          <w:sz w:val="28"/>
          <w:szCs w:val="28"/>
          <w:highlight w:val="none"/>
          <w14:textFill>
            <w14:solidFill>
              <w14:schemeClr w14:val="tx1"/>
            </w14:solidFill>
          </w14:textFill>
        </w:rPr>
        <w:t>9.2.电子招标投标要求</w:t>
      </w:r>
      <w:bookmarkEnd w:id="380"/>
      <w:bookmarkEnd w:id="381"/>
      <w:bookmarkEnd w:id="382"/>
    </w:p>
    <w:p w14:paraId="08329AC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9.2.1.投标人应仔细阅读厦门市建设工程电子招投标交易平台有关的系统操作手册和使用说明（相关手册和使用说明在</w:t>
      </w:r>
      <w:r>
        <w:rPr>
          <w:rFonts w:ascii="宋体" w:hAnsi="宋体" w:eastAsia="宋体"/>
          <w:color w:val="000000" w:themeColor="text1"/>
          <w:szCs w:val="21"/>
          <w:highlight w:val="none"/>
          <w14:textFill>
            <w14:solidFill>
              <w14:schemeClr w14:val="tx1"/>
            </w14:solidFill>
          </w14:textFill>
        </w:rPr>
        <w:t>厦门市公共资源交易</w:t>
      </w:r>
      <w:r>
        <w:rPr>
          <w:rFonts w:hint="eastAsia" w:ascii="宋体" w:hAnsi="宋体" w:eastAsia="宋体"/>
          <w:color w:val="000000" w:themeColor="text1"/>
          <w:szCs w:val="21"/>
          <w:highlight w:val="none"/>
          <w14:textFill>
            <w14:solidFill>
              <w14:schemeClr w14:val="tx1"/>
            </w14:solidFill>
          </w14:textFill>
        </w:rPr>
        <w:t>网</w:t>
      </w:r>
      <w:r>
        <w:rPr>
          <w:rFonts w:ascii="宋体" w:hAnsi="宋体" w:eastAsia="宋体"/>
          <w:color w:val="000000" w:themeColor="text1"/>
          <w:szCs w:val="21"/>
          <w:highlight w:val="none"/>
          <w14:textFill>
            <w14:solidFill>
              <w14:schemeClr w14:val="tx1"/>
            </w14:solidFill>
          </w14:textFill>
        </w:rPr>
        <w:t>http://zyjy.as.xm.gov.cn/</w:t>
      </w:r>
      <w:r>
        <w:rPr>
          <w:rFonts w:hint="eastAsia" w:ascii="宋体" w:hAnsi="宋体" w:eastAsia="宋体"/>
          <w:color w:val="000000" w:themeColor="text1"/>
          <w:szCs w:val="21"/>
          <w:highlight w:val="none"/>
          <w14:textFill>
            <w14:solidFill>
              <w14:schemeClr w14:val="tx1"/>
            </w14:solidFill>
          </w14:textFill>
        </w:rPr>
        <w:t>中的“办事服务- “下载中心”下载，并关注更新信息）以及招标文件中电子招投标的相关条款，并根据操作手册、使用说明和招标文件电子招投标的相关条款完成投标文件的编制、加密、递交、自行解密工作。</w:t>
      </w:r>
    </w:p>
    <w:p w14:paraId="7D794A38">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9.2.2.在开标、评标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或定标工作开始后，因停电、网络故障、电子设备或者电子评标系统故障导致无法继续进行开标、评标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或定标工作时，故障可在短时间内解除的（不超过4小时），招标人可以暂停开标、评标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或定标工作，待故障解除后继续</w:t>
      </w:r>
      <w:r>
        <w:rPr>
          <w:rFonts w:hint="eastAsia" w:ascii="宋体" w:hAnsi="宋体" w:eastAsia="宋体"/>
          <w:color w:val="000000" w:themeColor="text1"/>
          <w:szCs w:val="21"/>
          <w:highlight w:val="none"/>
          <w:lang w:val="en-US" w:eastAsia="zh-CN"/>
          <w14:textFill>
            <w14:solidFill>
              <w14:schemeClr w14:val="tx1"/>
            </w14:solidFill>
          </w14:textFill>
        </w:rPr>
        <w:t>相应工作</w:t>
      </w:r>
      <w:r>
        <w:rPr>
          <w:rFonts w:hint="eastAsia" w:ascii="宋体" w:hAnsi="宋体" w:eastAsia="宋体"/>
          <w:color w:val="000000" w:themeColor="text1"/>
          <w:szCs w:val="21"/>
          <w:highlight w:val="none"/>
          <w14:textFill>
            <w14:solidFill>
              <w14:schemeClr w14:val="tx1"/>
            </w14:solidFill>
          </w14:textFill>
        </w:rPr>
        <w:t>；故障无法在短时间内解除的（超过4小时），招标人应当终止开标、评标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或定标工作，并配合公共资源交易场所、电子交易平台做好招投标资料的封存和保密工作，待故障解除后再重新进行开标、重新组建评标委员会进行评标或重新进行</w:t>
      </w:r>
      <w:r>
        <w:rPr>
          <w:rFonts w:hint="eastAsia" w:ascii="宋体" w:hAnsi="宋体" w:eastAsia="宋体"/>
          <w:color w:val="000000" w:themeColor="text1"/>
          <w:szCs w:val="21"/>
          <w:highlight w:val="none"/>
          <w:lang w:val="en-US" w:eastAsia="zh-CN"/>
          <w14:textFill>
            <w14:solidFill>
              <w14:schemeClr w14:val="tx1"/>
            </w14:solidFill>
          </w14:textFill>
        </w:rPr>
        <w:t>清标、定标</w:t>
      </w:r>
      <w:r>
        <w:rPr>
          <w:rFonts w:hint="eastAsia" w:ascii="宋体" w:hAnsi="宋体" w:eastAsia="宋体"/>
          <w:color w:val="000000" w:themeColor="text1"/>
          <w:szCs w:val="21"/>
          <w:highlight w:val="none"/>
          <w14:textFill>
            <w14:solidFill>
              <w14:schemeClr w14:val="tx1"/>
            </w14:solidFill>
          </w14:textFill>
        </w:rPr>
        <w:t>工作。</w:t>
      </w:r>
    </w:p>
    <w:p w14:paraId="403AC44F">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83" w:name="_Toc19611"/>
      <w:bookmarkStart w:id="384" w:name="_Toc5441"/>
      <w:bookmarkStart w:id="385" w:name="_Toc17096"/>
      <w:r>
        <w:rPr>
          <w:rFonts w:hint="eastAsia" w:ascii="黑体" w:hAnsi="黑体" w:eastAsia="黑体"/>
          <w:b w:val="0"/>
          <w:color w:val="000000" w:themeColor="text1"/>
          <w:sz w:val="28"/>
          <w:szCs w:val="28"/>
          <w:highlight w:val="none"/>
          <w14:textFill>
            <w14:solidFill>
              <w14:schemeClr w14:val="tx1"/>
            </w14:solidFill>
          </w14:textFill>
        </w:rPr>
        <w:t>9.3.需要修改和补充的其他内容</w:t>
      </w:r>
      <w:bookmarkEnd w:id="383"/>
      <w:bookmarkEnd w:id="384"/>
      <w:bookmarkEnd w:id="385"/>
    </w:p>
    <w:p w14:paraId="42A30C22">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需要修改和补充的其他内容见投标人须知前附表。</w:t>
      </w:r>
    </w:p>
    <w:p w14:paraId="06D72CD5">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p>
    <w:p w14:paraId="36010A6B">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p>
    <w:p w14:paraId="6ED097BE">
      <w:pPr>
        <w:pStyle w:val="13"/>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p>
    <w:p w14:paraId="58FD1210">
      <w:pPr>
        <w:pStyle w:val="4"/>
        <w:spacing w:before="0" w:after="0" w:line="360" w:lineRule="auto"/>
        <w:rPr>
          <w:rFonts w:ascii="黑体" w:hAnsi="黑体" w:eastAsia="黑体"/>
          <w:b w:val="0"/>
          <w:color w:val="000000" w:themeColor="text1"/>
          <w:sz w:val="21"/>
          <w:szCs w:val="21"/>
          <w:highlight w:val="none"/>
          <w14:textFill>
            <w14:solidFill>
              <w14:schemeClr w14:val="tx1"/>
            </w14:solidFill>
          </w14:textFill>
        </w:rPr>
        <w:sectPr>
          <w:footerReference r:id="rId5" w:type="default"/>
          <w:footnotePr>
            <w:numFmt w:val="decimalEnclosedCircleChinese"/>
            <w:numRestart w:val="eachPage"/>
          </w:footnotePr>
          <w:pgSz w:w="11906" w:h="16838"/>
          <w:pgMar w:top="1276" w:right="1558" w:bottom="1560" w:left="1418" w:header="851" w:footer="992" w:gutter="0"/>
          <w:pgBorders>
            <w:top w:val="none" w:sz="0" w:space="0"/>
            <w:left w:val="none" w:sz="0" w:space="0"/>
            <w:bottom w:val="none" w:sz="0" w:space="0"/>
            <w:right w:val="none" w:sz="0" w:space="0"/>
          </w:pgBorders>
          <w:pgNumType w:start="1"/>
          <w:cols w:space="720" w:num="1"/>
          <w:docGrid w:type="linesAndChars" w:linePitch="312" w:charSpace="0"/>
        </w:sectPr>
      </w:pPr>
      <w:bookmarkStart w:id="386" w:name="_Toc24596"/>
      <w:bookmarkStart w:id="387" w:name="_Toc13157"/>
      <w:bookmarkStart w:id="388" w:name="_Toc516753518"/>
    </w:p>
    <w:p w14:paraId="3C64FDA8">
      <w:pPr>
        <w:pStyle w:val="4"/>
        <w:keepNext/>
        <w:keepLines/>
        <w:pageBreakBefore w:val="0"/>
        <w:widowControl w:val="0"/>
        <w:kinsoku/>
        <w:wordWrap/>
        <w:overflowPunct/>
        <w:topLinePunct w:val="0"/>
        <w:autoSpaceDE/>
        <w:autoSpaceDN/>
        <w:bidi w:val="0"/>
        <w:adjustRightInd w:val="0"/>
        <w:snapToGrid/>
        <w:spacing w:before="0" w:after="0"/>
        <w:textAlignment w:val="baseline"/>
        <w:rPr>
          <w:rFonts w:ascii="黑体" w:hAnsi="黑体" w:eastAsia="黑体"/>
          <w:b w:val="0"/>
          <w:bCs w:val="0"/>
          <w:color w:val="000000" w:themeColor="text1"/>
          <w:sz w:val="21"/>
          <w:szCs w:val="21"/>
          <w:highlight w:val="none"/>
          <w14:textFill>
            <w14:solidFill>
              <w14:schemeClr w14:val="tx1"/>
            </w14:solidFill>
          </w14:textFill>
        </w:rPr>
      </w:pPr>
      <w:bookmarkStart w:id="389" w:name="_Toc5117"/>
      <w:bookmarkStart w:id="390" w:name="_Toc15875"/>
      <w:bookmarkStart w:id="391" w:name="_Toc16116"/>
      <w:r>
        <w:rPr>
          <w:rFonts w:hint="eastAsia" w:ascii="黑体" w:hAnsi="黑体" w:eastAsia="黑体"/>
          <w:b w:val="0"/>
          <w:bCs w:val="0"/>
          <w:color w:val="000000" w:themeColor="text1"/>
          <w:sz w:val="21"/>
          <w:szCs w:val="21"/>
          <w:highlight w:val="none"/>
          <w14:textFill>
            <w14:solidFill>
              <w14:schemeClr w14:val="tx1"/>
            </w14:solidFill>
          </w14:textFill>
        </w:rPr>
        <w:t>附件2-</w:t>
      </w:r>
      <w:r>
        <w:rPr>
          <w:rFonts w:hint="eastAsia" w:ascii="黑体" w:hAnsi="黑体" w:eastAsia="黑体"/>
          <w:b w:val="0"/>
          <w:bCs w:val="0"/>
          <w:color w:val="000000" w:themeColor="text1"/>
          <w:sz w:val="21"/>
          <w:szCs w:val="21"/>
          <w:highlight w:val="none"/>
          <w:lang w:val="en-US" w:eastAsia="zh-CN"/>
          <w14:textFill>
            <w14:solidFill>
              <w14:schemeClr w14:val="tx1"/>
            </w14:solidFill>
          </w14:textFill>
        </w:rPr>
        <w:t>1</w:t>
      </w:r>
      <w:r>
        <w:rPr>
          <w:rFonts w:hint="eastAsia" w:ascii="黑体" w:hAnsi="黑体" w:eastAsia="黑体"/>
          <w:b w:val="0"/>
          <w:bCs w:val="0"/>
          <w:color w:val="000000" w:themeColor="text1"/>
          <w:sz w:val="21"/>
          <w:szCs w:val="21"/>
          <w:highlight w:val="none"/>
          <w14:textFill>
            <w14:solidFill>
              <w14:schemeClr w14:val="tx1"/>
            </w14:solidFill>
          </w14:textFill>
        </w:rPr>
        <w:t>：开标记录表（格式）</w:t>
      </w:r>
      <w:bookmarkEnd w:id="389"/>
      <w:bookmarkEnd w:id="390"/>
      <w:bookmarkEnd w:id="391"/>
    </w:p>
    <w:p w14:paraId="4EA52019">
      <w:pPr>
        <w:jc w:val="center"/>
        <w:rPr>
          <w:rFonts w:ascii="黑体" w:hAns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kern w:val="2"/>
          <w:sz w:val="28"/>
          <w:szCs w:val="28"/>
          <w:highlight w:val="none"/>
          <w:u w:val="single"/>
          <w14:textFill>
            <w14:solidFill>
              <w14:schemeClr w14:val="tx1"/>
            </w14:solidFill>
          </w14:textFill>
        </w:rPr>
        <w:t xml:space="preserve">             </w:t>
      </w:r>
      <w:r>
        <w:rPr>
          <w:rFonts w:hint="eastAsia" w:ascii="黑体" w:eastAsia="黑体"/>
          <w:color w:val="000000" w:themeColor="text1"/>
          <w:kern w:val="2"/>
          <w:sz w:val="28"/>
          <w:szCs w:val="28"/>
          <w:highlight w:val="none"/>
          <w14:textFill>
            <w14:solidFill>
              <w14:schemeClr w14:val="tx1"/>
            </w14:solidFill>
          </w14:textFill>
        </w:rPr>
        <w:t>（招标项目名称）</w:t>
      </w:r>
      <w:r>
        <w:rPr>
          <w:rFonts w:hint="eastAsia" w:ascii="黑体" w:hAnsi="黑体" w:eastAsia="黑体"/>
          <w:color w:val="000000" w:themeColor="text1"/>
          <w:sz w:val="28"/>
          <w:szCs w:val="28"/>
          <w:highlight w:val="none"/>
          <w14:textFill>
            <w14:solidFill>
              <w14:schemeClr w14:val="tx1"/>
            </w14:solidFill>
          </w14:textFill>
        </w:rPr>
        <w:t>开标记录表（1）</w:t>
      </w:r>
    </w:p>
    <w:tbl>
      <w:tblPr>
        <w:tblStyle w:val="42"/>
        <w:tblW w:w="14459"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25"/>
        <w:gridCol w:w="992"/>
        <w:gridCol w:w="1019"/>
        <w:gridCol w:w="1061"/>
        <w:gridCol w:w="1315"/>
        <w:gridCol w:w="1104"/>
        <w:gridCol w:w="1069"/>
        <w:gridCol w:w="1136"/>
        <w:gridCol w:w="814"/>
        <w:gridCol w:w="697"/>
        <w:gridCol w:w="756"/>
        <w:gridCol w:w="1003"/>
        <w:gridCol w:w="992"/>
        <w:gridCol w:w="850"/>
      </w:tblGrid>
      <w:tr w14:paraId="25D41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6" w:type="dxa"/>
            <w:tcBorders>
              <w:tl2br w:val="nil"/>
              <w:tr2bl w:val="nil"/>
            </w:tcBorders>
            <w:vAlign w:val="center"/>
          </w:tcPr>
          <w:p w14:paraId="7F7C6821">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25" w:type="dxa"/>
            <w:tcBorders>
              <w:tl2br w:val="nil"/>
              <w:tr2bl w:val="nil"/>
            </w:tcBorders>
            <w:vAlign w:val="center"/>
          </w:tcPr>
          <w:p w14:paraId="4E68C5C5">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投标人名称</w:t>
            </w:r>
          </w:p>
        </w:tc>
        <w:tc>
          <w:tcPr>
            <w:tcW w:w="992" w:type="dxa"/>
            <w:tcBorders>
              <w:tl2br w:val="nil"/>
              <w:tr2bl w:val="nil"/>
            </w:tcBorders>
            <w:vAlign w:val="center"/>
          </w:tcPr>
          <w:p w14:paraId="6E6497F8">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组织机构代码</w:t>
            </w:r>
          </w:p>
        </w:tc>
        <w:tc>
          <w:tcPr>
            <w:tcW w:w="1019" w:type="dxa"/>
            <w:tcBorders>
              <w:tl2br w:val="nil"/>
              <w:tr2bl w:val="nil"/>
            </w:tcBorders>
            <w:vAlign w:val="center"/>
          </w:tcPr>
          <w:p w14:paraId="3CD26E12">
            <w:pPr>
              <w:spacing w:line="240" w:lineRule="auto"/>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统一社会信用代码</w:t>
            </w:r>
          </w:p>
        </w:tc>
        <w:tc>
          <w:tcPr>
            <w:tcW w:w="1061" w:type="dxa"/>
            <w:tcBorders>
              <w:tl2br w:val="nil"/>
              <w:tr2bl w:val="nil"/>
            </w:tcBorders>
            <w:vAlign w:val="center"/>
          </w:tcPr>
          <w:p w14:paraId="2E69927F">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拟担任设计项目负责人姓名</w:t>
            </w:r>
          </w:p>
        </w:tc>
        <w:tc>
          <w:tcPr>
            <w:tcW w:w="1315" w:type="dxa"/>
            <w:tcBorders>
              <w:tl2br w:val="nil"/>
              <w:tr2bl w:val="nil"/>
            </w:tcBorders>
            <w:vAlign w:val="center"/>
          </w:tcPr>
          <w:p w14:paraId="01E7966C">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执业资格（职称）证书级别</w:t>
            </w:r>
          </w:p>
        </w:tc>
        <w:tc>
          <w:tcPr>
            <w:tcW w:w="1104" w:type="dxa"/>
            <w:tcBorders>
              <w:tl2br w:val="nil"/>
              <w:tr2bl w:val="nil"/>
            </w:tcBorders>
            <w:vAlign w:val="center"/>
          </w:tcPr>
          <w:p w14:paraId="33617A4E">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执业资格（职称）证书编号</w:t>
            </w:r>
          </w:p>
        </w:tc>
        <w:tc>
          <w:tcPr>
            <w:tcW w:w="1069" w:type="dxa"/>
            <w:tcBorders>
              <w:tl2br w:val="nil"/>
              <w:tr2bl w:val="nil"/>
            </w:tcBorders>
            <w:vAlign w:val="center"/>
          </w:tcPr>
          <w:p w14:paraId="407BE68E">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设计费投标报</w:t>
            </w:r>
            <w:r>
              <w:rPr>
                <w:rFonts w:hint="eastAsia" w:ascii="宋体" w:hAnsi="宋体"/>
                <w:color w:val="000000" w:themeColor="text1"/>
                <w:sz w:val="21"/>
                <w:szCs w:val="21"/>
                <w:highlight w:val="none"/>
                <w:lang w:eastAsia="zh-CN"/>
                <w14:textFill>
                  <w14:solidFill>
                    <w14:schemeClr w14:val="tx1"/>
                  </w14:solidFill>
                </w14:textFill>
              </w:rPr>
              <w:t>价</w:t>
            </w:r>
            <w:r>
              <w:rPr>
                <w:rFonts w:hint="eastAsia" w:ascii="宋体" w:hAnsi="宋体"/>
                <w:color w:val="000000" w:themeColor="text1"/>
                <w:sz w:val="21"/>
                <w:szCs w:val="21"/>
                <w:highlight w:val="none"/>
                <w14:textFill>
                  <w14:solidFill>
                    <w14:schemeClr w14:val="tx1"/>
                  </w14:solidFill>
                </w14:textFill>
              </w:rPr>
              <w:t>（元）</w:t>
            </w:r>
          </w:p>
        </w:tc>
        <w:tc>
          <w:tcPr>
            <w:tcW w:w="1136" w:type="dxa"/>
            <w:tcBorders>
              <w:tl2br w:val="nil"/>
              <w:tr2bl w:val="nil"/>
            </w:tcBorders>
            <w:vAlign w:val="center"/>
          </w:tcPr>
          <w:p w14:paraId="1B17979E">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勘察费投标报价</w:t>
            </w:r>
          </w:p>
        </w:tc>
        <w:tc>
          <w:tcPr>
            <w:tcW w:w="814" w:type="dxa"/>
            <w:tcBorders>
              <w:tl2br w:val="nil"/>
              <w:tr2bl w:val="nil"/>
            </w:tcBorders>
            <w:vAlign w:val="center"/>
          </w:tcPr>
          <w:p w14:paraId="6BDE4272">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设计（勘察）服务期限</w:t>
            </w:r>
          </w:p>
        </w:tc>
        <w:tc>
          <w:tcPr>
            <w:tcW w:w="697" w:type="dxa"/>
            <w:tcBorders>
              <w:tl2br w:val="nil"/>
              <w:tr2bl w:val="nil"/>
            </w:tcBorders>
            <w:vAlign w:val="center"/>
          </w:tcPr>
          <w:p w14:paraId="4157B670">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756" w:type="dxa"/>
            <w:tcBorders>
              <w:tl2br w:val="nil"/>
              <w:tr2bl w:val="nil"/>
            </w:tcBorders>
            <w:vAlign w:val="center"/>
          </w:tcPr>
          <w:p w14:paraId="1F8E4985">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投标保证（元）</w:t>
            </w:r>
          </w:p>
        </w:tc>
        <w:tc>
          <w:tcPr>
            <w:tcW w:w="1003" w:type="dxa"/>
            <w:tcBorders>
              <w:tl2br w:val="nil"/>
              <w:tr2bl w:val="nil"/>
            </w:tcBorders>
            <w:vAlign w:val="center"/>
          </w:tcPr>
          <w:p w14:paraId="78CB0706">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保证金递交情况</w:t>
            </w:r>
          </w:p>
        </w:tc>
        <w:tc>
          <w:tcPr>
            <w:tcW w:w="992" w:type="dxa"/>
            <w:tcBorders>
              <w:tl2br w:val="nil"/>
              <w:tr2bl w:val="nil"/>
            </w:tcBorders>
            <w:vAlign w:val="center"/>
          </w:tcPr>
          <w:p w14:paraId="022F4733">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解密情况</w:t>
            </w:r>
          </w:p>
        </w:tc>
        <w:tc>
          <w:tcPr>
            <w:tcW w:w="850" w:type="dxa"/>
            <w:tcBorders>
              <w:tl2br w:val="nil"/>
              <w:tr2bl w:val="nil"/>
            </w:tcBorders>
            <w:vAlign w:val="center"/>
          </w:tcPr>
          <w:p w14:paraId="6DF4DA58">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6B5CE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tcBorders>
              <w:tl2br w:val="nil"/>
              <w:tr2bl w:val="nil"/>
            </w:tcBorders>
            <w:vAlign w:val="center"/>
          </w:tcPr>
          <w:p w14:paraId="5EDB7B29">
            <w:pPr>
              <w:rPr>
                <w:rFonts w:ascii="宋体" w:hAnsi="宋体"/>
                <w:color w:val="000000" w:themeColor="text1"/>
                <w:sz w:val="21"/>
                <w:szCs w:val="21"/>
                <w:highlight w:val="none"/>
                <w14:textFill>
                  <w14:solidFill>
                    <w14:schemeClr w14:val="tx1"/>
                  </w14:solidFill>
                </w14:textFill>
              </w:rPr>
            </w:pPr>
          </w:p>
        </w:tc>
        <w:tc>
          <w:tcPr>
            <w:tcW w:w="1225" w:type="dxa"/>
            <w:tcBorders>
              <w:tl2br w:val="nil"/>
              <w:tr2bl w:val="nil"/>
            </w:tcBorders>
            <w:vAlign w:val="center"/>
          </w:tcPr>
          <w:p w14:paraId="76153301">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3D9D1460">
            <w:pPr>
              <w:rPr>
                <w:rFonts w:ascii="宋体" w:hAnsi="宋体"/>
                <w:color w:val="000000" w:themeColor="text1"/>
                <w:sz w:val="21"/>
                <w:szCs w:val="21"/>
                <w:highlight w:val="none"/>
                <w14:textFill>
                  <w14:solidFill>
                    <w14:schemeClr w14:val="tx1"/>
                  </w14:solidFill>
                </w14:textFill>
              </w:rPr>
            </w:pPr>
          </w:p>
        </w:tc>
        <w:tc>
          <w:tcPr>
            <w:tcW w:w="1019" w:type="dxa"/>
            <w:tcBorders>
              <w:tl2br w:val="nil"/>
              <w:tr2bl w:val="nil"/>
            </w:tcBorders>
            <w:vAlign w:val="center"/>
          </w:tcPr>
          <w:p w14:paraId="359BE6C7">
            <w:pPr>
              <w:rPr>
                <w:rFonts w:ascii="宋体" w:hAnsi="宋体"/>
                <w:color w:val="000000" w:themeColor="text1"/>
                <w:sz w:val="21"/>
                <w:szCs w:val="21"/>
                <w:highlight w:val="none"/>
                <w14:textFill>
                  <w14:solidFill>
                    <w14:schemeClr w14:val="tx1"/>
                  </w14:solidFill>
                </w14:textFill>
              </w:rPr>
            </w:pPr>
          </w:p>
        </w:tc>
        <w:tc>
          <w:tcPr>
            <w:tcW w:w="1061" w:type="dxa"/>
            <w:tcBorders>
              <w:tl2br w:val="nil"/>
              <w:tr2bl w:val="nil"/>
            </w:tcBorders>
            <w:vAlign w:val="center"/>
          </w:tcPr>
          <w:p w14:paraId="403B0588">
            <w:pPr>
              <w:jc w:val="center"/>
              <w:rPr>
                <w:rFonts w:ascii="宋体" w:hAnsi="宋体"/>
                <w:color w:val="000000" w:themeColor="text1"/>
                <w:sz w:val="21"/>
                <w:szCs w:val="21"/>
                <w:highlight w:val="none"/>
                <w14:textFill>
                  <w14:solidFill>
                    <w14:schemeClr w14:val="tx1"/>
                  </w14:solidFill>
                </w14:textFill>
              </w:rPr>
            </w:pPr>
          </w:p>
        </w:tc>
        <w:tc>
          <w:tcPr>
            <w:tcW w:w="1315" w:type="dxa"/>
            <w:tcBorders>
              <w:tl2br w:val="nil"/>
              <w:tr2bl w:val="nil"/>
            </w:tcBorders>
            <w:vAlign w:val="center"/>
          </w:tcPr>
          <w:p w14:paraId="37B8BA94">
            <w:pPr>
              <w:jc w:val="center"/>
              <w:rPr>
                <w:rFonts w:ascii="宋体" w:hAnsi="宋体"/>
                <w:color w:val="000000" w:themeColor="text1"/>
                <w:sz w:val="21"/>
                <w:szCs w:val="21"/>
                <w:highlight w:val="none"/>
                <w14:textFill>
                  <w14:solidFill>
                    <w14:schemeClr w14:val="tx1"/>
                  </w14:solidFill>
                </w14:textFill>
              </w:rPr>
            </w:pPr>
          </w:p>
        </w:tc>
        <w:tc>
          <w:tcPr>
            <w:tcW w:w="1104" w:type="dxa"/>
            <w:tcBorders>
              <w:tl2br w:val="nil"/>
              <w:tr2bl w:val="nil"/>
            </w:tcBorders>
            <w:vAlign w:val="center"/>
          </w:tcPr>
          <w:p w14:paraId="0C88F5C4">
            <w:pPr>
              <w:jc w:val="center"/>
              <w:rPr>
                <w:rFonts w:ascii="宋体" w:hAnsi="宋体"/>
                <w:color w:val="000000" w:themeColor="text1"/>
                <w:sz w:val="21"/>
                <w:szCs w:val="21"/>
                <w:highlight w:val="none"/>
                <w14:textFill>
                  <w14:solidFill>
                    <w14:schemeClr w14:val="tx1"/>
                  </w14:solidFill>
                </w14:textFill>
              </w:rPr>
            </w:pPr>
          </w:p>
        </w:tc>
        <w:tc>
          <w:tcPr>
            <w:tcW w:w="1069" w:type="dxa"/>
            <w:tcBorders>
              <w:tl2br w:val="nil"/>
              <w:tr2bl w:val="nil"/>
            </w:tcBorders>
            <w:vAlign w:val="center"/>
          </w:tcPr>
          <w:p w14:paraId="0F956625">
            <w:pPr>
              <w:rPr>
                <w:rFonts w:ascii="宋体" w:hAnsi="宋体"/>
                <w:color w:val="000000" w:themeColor="text1"/>
                <w:sz w:val="21"/>
                <w:szCs w:val="21"/>
                <w:highlight w:val="none"/>
                <w14:textFill>
                  <w14:solidFill>
                    <w14:schemeClr w14:val="tx1"/>
                  </w14:solidFill>
                </w14:textFill>
              </w:rPr>
            </w:pPr>
          </w:p>
        </w:tc>
        <w:tc>
          <w:tcPr>
            <w:tcW w:w="1136" w:type="dxa"/>
            <w:tcBorders>
              <w:tl2br w:val="nil"/>
              <w:tr2bl w:val="nil"/>
            </w:tcBorders>
            <w:vAlign w:val="center"/>
          </w:tcPr>
          <w:p w14:paraId="1BC79095">
            <w:pPr>
              <w:rPr>
                <w:rFonts w:ascii="宋体" w:hAnsi="宋体"/>
                <w:color w:val="000000" w:themeColor="text1"/>
                <w:sz w:val="21"/>
                <w:szCs w:val="21"/>
                <w:highlight w:val="none"/>
                <w14:textFill>
                  <w14:solidFill>
                    <w14:schemeClr w14:val="tx1"/>
                  </w14:solidFill>
                </w14:textFill>
              </w:rPr>
            </w:pPr>
          </w:p>
        </w:tc>
        <w:tc>
          <w:tcPr>
            <w:tcW w:w="814" w:type="dxa"/>
            <w:tcBorders>
              <w:tl2br w:val="nil"/>
              <w:tr2bl w:val="nil"/>
            </w:tcBorders>
            <w:vAlign w:val="center"/>
          </w:tcPr>
          <w:p w14:paraId="52C68F84">
            <w:pPr>
              <w:rPr>
                <w:rFonts w:ascii="宋体" w:hAnsi="宋体"/>
                <w:color w:val="000000" w:themeColor="text1"/>
                <w:sz w:val="21"/>
                <w:szCs w:val="21"/>
                <w:highlight w:val="none"/>
                <w14:textFill>
                  <w14:solidFill>
                    <w14:schemeClr w14:val="tx1"/>
                  </w14:solidFill>
                </w14:textFill>
              </w:rPr>
            </w:pPr>
          </w:p>
        </w:tc>
        <w:tc>
          <w:tcPr>
            <w:tcW w:w="697" w:type="dxa"/>
            <w:tcBorders>
              <w:tl2br w:val="nil"/>
              <w:tr2bl w:val="nil"/>
            </w:tcBorders>
            <w:vAlign w:val="center"/>
          </w:tcPr>
          <w:p w14:paraId="1360709C">
            <w:pPr>
              <w:rPr>
                <w:rFonts w:ascii="宋体" w:hAnsi="宋体"/>
                <w:color w:val="000000" w:themeColor="text1"/>
                <w:sz w:val="21"/>
                <w:szCs w:val="21"/>
                <w:highlight w:val="none"/>
                <w14:textFill>
                  <w14:solidFill>
                    <w14:schemeClr w14:val="tx1"/>
                  </w14:solidFill>
                </w14:textFill>
              </w:rPr>
            </w:pPr>
          </w:p>
        </w:tc>
        <w:tc>
          <w:tcPr>
            <w:tcW w:w="756" w:type="dxa"/>
            <w:tcBorders>
              <w:tl2br w:val="nil"/>
              <w:tr2bl w:val="nil"/>
            </w:tcBorders>
            <w:vAlign w:val="center"/>
          </w:tcPr>
          <w:p w14:paraId="21BE320A">
            <w:pPr>
              <w:rPr>
                <w:rFonts w:ascii="宋体" w:hAnsi="宋体"/>
                <w:color w:val="000000" w:themeColor="text1"/>
                <w:sz w:val="21"/>
                <w:szCs w:val="21"/>
                <w:highlight w:val="none"/>
                <w14:textFill>
                  <w14:solidFill>
                    <w14:schemeClr w14:val="tx1"/>
                  </w14:solidFill>
                </w14:textFill>
              </w:rPr>
            </w:pPr>
          </w:p>
        </w:tc>
        <w:tc>
          <w:tcPr>
            <w:tcW w:w="1003" w:type="dxa"/>
            <w:tcBorders>
              <w:tl2br w:val="nil"/>
              <w:tr2bl w:val="nil"/>
            </w:tcBorders>
            <w:vAlign w:val="center"/>
          </w:tcPr>
          <w:p w14:paraId="3A3C3673">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5E1727A0">
            <w:pPr>
              <w:rPr>
                <w:rFonts w:ascii="宋体" w:hAnsi="宋体"/>
                <w:color w:val="000000" w:themeColor="text1"/>
                <w:sz w:val="21"/>
                <w:szCs w:val="21"/>
                <w:highlight w:val="none"/>
                <w14:textFill>
                  <w14:solidFill>
                    <w14:schemeClr w14:val="tx1"/>
                  </w14:solidFill>
                </w14:textFill>
              </w:rPr>
            </w:pPr>
          </w:p>
        </w:tc>
        <w:tc>
          <w:tcPr>
            <w:tcW w:w="850" w:type="dxa"/>
            <w:tcBorders>
              <w:tl2br w:val="nil"/>
              <w:tr2bl w:val="nil"/>
            </w:tcBorders>
            <w:vAlign w:val="center"/>
          </w:tcPr>
          <w:p w14:paraId="5F8E7B13">
            <w:pPr>
              <w:rPr>
                <w:rFonts w:ascii="宋体" w:hAnsi="宋体"/>
                <w:color w:val="000000" w:themeColor="text1"/>
                <w:sz w:val="21"/>
                <w:szCs w:val="21"/>
                <w:highlight w:val="none"/>
                <w14:textFill>
                  <w14:solidFill>
                    <w14:schemeClr w14:val="tx1"/>
                  </w14:solidFill>
                </w14:textFill>
              </w:rPr>
            </w:pPr>
          </w:p>
        </w:tc>
      </w:tr>
      <w:tr w14:paraId="57246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tcBorders>
              <w:tl2br w:val="nil"/>
              <w:tr2bl w:val="nil"/>
            </w:tcBorders>
            <w:vAlign w:val="center"/>
          </w:tcPr>
          <w:p w14:paraId="73F6E846">
            <w:pPr>
              <w:rPr>
                <w:rFonts w:ascii="宋体" w:hAnsi="宋体"/>
                <w:color w:val="000000" w:themeColor="text1"/>
                <w:sz w:val="21"/>
                <w:szCs w:val="21"/>
                <w:highlight w:val="none"/>
                <w14:textFill>
                  <w14:solidFill>
                    <w14:schemeClr w14:val="tx1"/>
                  </w14:solidFill>
                </w14:textFill>
              </w:rPr>
            </w:pPr>
          </w:p>
        </w:tc>
        <w:tc>
          <w:tcPr>
            <w:tcW w:w="1225" w:type="dxa"/>
            <w:tcBorders>
              <w:tl2br w:val="nil"/>
              <w:tr2bl w:val="nil"/>
            </w:tcBorders>
            <w:vAlign w:val="center"/>
          </w:tcPr>
          <w:p w14:paraId="489FC7E8">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7AF4FA22">
            <w:pPr>
              <w:rPr>
                <w:rFonts w:ascii="宋体" w:hAnsi="宋体"/>
                <w:color w:val="000000" w:themeColor="text1"/>
                <w:sz w:val="21"/>
                <w:szCs w:val="21"/>
                <w:highlight w:val="none"/>
                <w14:textFill>
                  <w14:solidFill>
                    <w14:schemeClr w14:val="tx1"/>
                  </w14:solidFill>
                </w14:textFill>
              </w:rPr>
            </w:pPr>
          </w:p>
        </w:tc>
        <w:tc>
          <w:tcPr>
            <w:tcW w:w="1019" w:type="dxa"/>
            <w:tcBorders>
              <w:tl2br w:val="nil"/>
              <w:tr2bl w:val="nil"/>
            </w:tcBorders>
            <w:vAlign w:val="center"/>
          </w:tcPr>
          <w:p w14:paraId="05ADF783">
            <w:pPr>
              <w:rPr>
                <w:rFonts w:ascii="宋体" w:hAnsi="宋体"/>
                <w:color w:val="000000" w:themeColor="text1"/>
                <w:sz w:val="21"/>
                <w:szCs w:val="21"/>
                <w:highlight w:val="none"/>
                <w14:textFill>
                  <w14:solidFill>
                    <w14:schemeClr w14:val="tx1"/>
                  </w14:solidFill>
                </w14:textFill>
              </w:rPr>
            </w:pPr>
          </w:p>
        </w:tc>
        <w:tc>
          <w:tcPr>
            <w:tcW w:w="1061" w:type="dxa"/>
            <w:tcBorders>
              <w:tl2br w:val="nil"/>
              <w:tr2bl w:val="nil"/>
            </w:tcBorders>
            <w:vAlign w:val="center"/>
          </w:tcPr>
          <w:p w14:paraId="6C1B8D71">
            <w:pPr>
              <w:jc w:val="center"/>
              <w:rPr>
                <w:rFonts w:ascii="宋体" w:hAnsi="宋体"/>
                <w:color w:val="000000" w:themeColor="text1"/>
                <w:sz w:val="21"/>
                <w:szCs w:val="21"/>
                <w:highlight w:val="none"/>
                <w14:textFill>
                  <w14:solidFill>
                    <w14:schemeClr w14:val="tx1"/>
                  </w14:solidFill>
                </w14:textFill>
              </w:rPr>
            </w:pPr>
          </w:p>
        </w:tc>
        <w:tc>
          <w:tcPr>
            <w:tcW w:w="1315" w:type="dxa"/>
            <w:tcBorders>
              <w:tl2br w:val="nil"/>
              <w:tr2bl w:val="nil"/>
            </w:tcBorders>
            <w:vAlign w:val="center"/>
          </w:tcPr>
          <w:p w14:paraId="3CD6F37E">
            <w:pPr>
              <w:jc w:val="center"/>
              <w:rPr>
                <w:rFonts w:ascii="宋体" w:hAnsi="宋体"/>
                <w:color w:val="000000" w:themeColor="text1"/>
                <w:sz w:val="21"/>
                <w:szCs w:val="21"/>
                <w:highlight w:val="none"/>
                <w14:textFill>
                  <w14:solidFill>
                    <w14:schemeClr w14:val="tx1"/>
                  </w14:solidFill>
                </w14:textFill>
              </w:rPr>
            </w:pPr>
          </w:p>
        </w:tc>
        <w:tc>
          <w:tcPr>
            <w:tcW w:w="1104" w:type="dxa"/>
            <w:tcBorders>
              <w:tl2br w:val="nil"/>
              <w:tr2bl w:val="nil"/>
            </w:tcBorders>
            <w:vAlign w:val="center"/>
          </w:tcPr>
          <w:p w14:paraId="1AF12D8A">
            <w:pPr>
              <w:jc w:val="center"/>
              <w:rPr>
                <w:rFonts w:ascii="宋体" w:hAnsi="宋体"/>
                <w:color w:val="000000" w:themeColor="text1"/>
                <w:sz w:val="21"/>
                <w:szCs w:val="21"/>
                <w:highlight w:val="none"/>
                <w14:textFill>
                  <w14:solidFill>
                    <w14:schemeClr w14:val="tx1"/>
                  </w14:solidFill>
                </w14:textFill>
              </w:rPr>
            </w:pPr>
          </w:p>
        </w:tc>
        <w:tc>
          <w:tcPr>
            <w:tcW w:w="1069" w:type="dxa"/>
            <w:tcBorders>
              <w:tl2br w:val="nil"/>
              <w:tr2bl w:val="nil"/>
            </w:tcBorders>
            <w:vAlign w:val="center"/>
          </w:tcPr>
          <w:p w14:paraId="58B096D6">
            <w:pPr>
              <w:rPr>
                <w:rFonts w:ascii="宋体" w:hAnsi="宋体"/>
                <w:color w:val="000000" w:themeColor="text1"/>
                <w:sz w:val="21"/>
                <w:szCs w:val="21"/>
                <w:highlight w:val="none"/>
                <w14:textFill>
                  <w14:solidFill>
                    <w14:schemeClr w14:val="tx1"/>
                  </w14:solidFill>
                </w14:textFill>
              </w:rPr>
            </w:pPr>
          </w:p>
        </w:tc>
        <w:tc>
          <w:tcPr>
            <w:tcW w:w="1136" w:type="dxa"/>
            <w:tcBorders>
              <w:tl2br w:val="nil"/>
              <w:tr2bl w:val="nil"/>
            </w:tcBorders>
            <w:vAlign w:val="center"/>
          </w:tcPr>
          <w:p w14:paraId="785CFBE4">
            <w:pPr>
              <w:rPr>
                <w:rFonts w:ascii="宋体" w:hAnsi="宋体"/>
                <w:color w:val="000000" w:themeColor="text1"/>
                <w:sz w:val="21"/>
                <w:szCs w:val="21"/>
                <w:highlight w:val="none"/>
                <w14:textFill>
                  <w14:solidFill>
                    <w14:schemeClr w14:val="tx1"/>
                  </w14:solidFill>
                </w14:textFill>
              </w:rPr>
            </w:pPr>
          </w:p>
        </w:tc>
        <w:tc>
          <w:tcPr>
            <w:tcW w:w="814" w:type="dxa"/>
            <w:tcBorders>
              <w:tl2br w:val="nil"/>
              <w:tr2bl w:val="nil"/>
            </w:tcBorders>
            <w:vAlign w:val="center"/>
          </w:tcPr>
          <w:p w14:paraId="558A5C06">
            <w:pPr>
              <w:rPr>
                <w:rFonts w:ascii="宋体" w:hAnsi="宋体"/>
                <w:color w:val="000000" w:themeColor="text1"/>
                <w:sz w:val="21"/>
                <w:szCs w:val="21"/>
                <w:highlight w:val="none"/>
                <w14:textFill>
                  <w14:solidFill>
                    <w14:schemeClr w14:val="tx1"/>
                  </w14:solidFill>
                </w14:textFill>
              </w:rPr>
            </w:pPr>
          </w:p>
        </w:tc>
        <w:tc>
          <w:tcPr>
            <w:tcW w:w="697" w:type="dxa"/>
            <w:tcBorders>
              <w:tl2br w:val="nil"/>
              <w:tr2bl w:val="nil"/>
            </w:tcBorders>
            <w:vAlign w:val="center"/>
          </w:tcPr>
          <w:p w14:paraId="189E1981">
            <w:pPr>
              <w:rPr>
                <w:rFonts w:ascii="宋体" w:hAnsi="宋体"/>
                <w:color w:val="000000" w:themeColor="text1"/>
                <w:sz w:val="21"/>
                <w:szCs w:val="21"/>
                <w:highlight w:val="none"/>
                <w14:textFill>
                  <w14:solidFill>
                    <w14:schemeClr w14:val="tx1"/>
                  </w14:solidFill>
                </w14:textFill>
              </w:rPr>
            </w:pPr>
          </w:p>
        </w:tc>
        <w:tc>
          <w:tcPr>
            <w:tcW w:w="756" w:type="dxa"/>
            <w:tcBorders>
              <w:tl2br w:val="nil"/>
              <w:tr2bl w:val="nil"/>
            </w:tcBorders>
            <w:vAlign w:val="center"/>
          </w:tcPr>
          <w:p w14:paraId="3E4A2F42">
            <w:pPr>
              <w:rPr>
                <w:rFonts w:ascii="宋体" w:hAnsi="宋体"/>
                <w:color w:val="000000" w:themeColor="text1"/>
                <w:sz w:val="21"/>
                <w:szCs w:val="21"/>
                <w:highlight w:val="none"/>
                <w14:textFill>
                  <w14:solidFill>
                    <w14:schemeClr w14:val="tx1"/>
                  </w14:solidFill>
                </w14:textFill>
              </w:rPr>
            </w:pPr>
          </w:p>
        </w:tc>
        <w:tc>
          <w:tcPr>
            <w:tcW w:w="1003" w:type="dxa"/>
            <w:tcBorders>
              <w:tl2br w:val="nil"/>
              <w:tr2bl w:val="nil"/>
            </w:tcBorders>
            <w:vAlign w:val="center"/>
          </w:tcPr>
          <w:p w14:paraId="3036CE2B">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67FEE8AF">
            <w:pPr>
              <w:rPr>
                <w:rFonts w:ascii="宋体" w:hAnsi="宋体"/>
                <w:color w:val="000000" w:themeColor="text1"/>
                <w:sz w:val="21"/>
                <w:szCs w:val="21"/>
                <w:highlight w:val="none"/>
                <w14:textFill>
                  <w14:solidFill>
                    <w14:schemeClr w14:val="tx1"/>
                  </w14:solidFill>
                </w14:textFill>
              </w:rPr>
            </w:pPr>
          </w:p>
        </w:tc>
        <w:tc>
          <w:tcPr>
            <w:tcW w:w="850" w:type="dxa"/>
            <w:tcBorders>
              <w:tl2br w:val="nil"/>
              <w:tr2bl w:val="nil"/>
            </w:tcBorders>
            <w:vAlign w:val="center"/>
          </w:tcPr>
          <w:p w14:paraId="5D64F64D">
            <w:pPr>
              <w:rPr>
                <w:rFonts w:ascii="宋体" w:hAnsi="宋体"/>
                <w:color w:val="000000" w:themeColor="text1"/>
                <w:sz w:val="21"/>
                <w:szCs w:val="21"/>
                <w:highlight w:val="none"/>
                <w14:textFill>
                  <w14:solidFill>
                    <w14:schemeClr w14:val="tx1"/>
                  </w14:solidFill>
                </w14:textFill>
              </w:rPr>
            </w:pPr>
          </w:p>
        </w:tc>
      </w:tr>
      <w:tr w14:paraId="499E7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tcBorders>
              <w:tl2br w:val="nil"/>
              <w:tr2bl w:val="nil"/>
            </w:tcBorders>
            <w:vAlign w:val="center"/>
          </w:tcPr>
          <w:p w14:paraId="708C6059">
            <w:pPr>
              <w:rPr>
                <w:rFonts w:ascii="宋体" w:hAnsi="宋体"/>
                <w:color w:val="000000" w:themeColor="text1"/>
                <w:sz w:val="21"/>
                <w:szCs w:val="21"/>
                <w:highlight w:val="none"/>
                <w14:textFill>
                  <w14:solidFill>
                    <w14:schemeClr w14:val="tx1"/>
                  </w14:solidFill>
                </w14:textFill>
              </w:rPr>
            </w:pPr>
          </w:p>
        </w:tc>
        <w:tc>
          <w:tcPr>
            <w:tcW w:w="1225" w:type="dxa"/>
            <w:tcBorders>
              <w:tl2br w:val="nil"/>
              <w:tr2bl w:val="nil"/>
            </w:tcBorders>
            <w:vAlign w:val="center"/>
          </w:tcPr>
          <w:p w14:paraId="45502AC8">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666DCACF">
            <w:pPr>
              <w:rPr>
                <w:rFonts w:ascii="宋体" w:hAnsi="宋体"/>
                <w:color w:val="000000" w:themeColor="text1"/>
                <w:sz w:val="21"/>
                <w:szCs w:val="21"/>
                <w:highlight w:val="none"/>
                <w14:textFill>
                  <w14:solidFill>
                    <w14:schemeClr w14:val="tx1"/>
                  </w14:solidFill>
                </w14:textFill>
              </w:rPr>
            </w:pPr>
          </w:p>
        </w:tc>
        <w:tc>
          <w:tcPr>
            <w:tcW w:w="1019" w:type="dxa"/>
            <w:tcBorders>
              <w:tl2br w:val="nil"/>
              <w:tr2bl w:val="nil"/>
            </w:tcBorders>
            <w:vAlign w:val="center"/>
          </w:tcPr>
          <w:p w14:paraId="0F3200EC">
            <w:pPr>
              <w:rPr>
                <w:rFonts w:ascii="宋体" w:hAnsi="宋体"/>
                <w:color w:val="000000" w:themeColor="text1"/>
                <w:sz w:val="21"/>
                <w:szCs w:val="21"/>
                <w:highlight w:val="none"/>
                <w14:textFill>
                  <w14:solidFill>
                    <w14:schemeClr w14:val="tx1"/>
                  </w14:solidFill>
                </w14:textFill>
              </w:rPr>
            </w:pPr>
          </w:p>
        </w:tc>
        <w:tc>
          <w:tcPr>
            <w:tcW w:w="1061" w:type="dxa"/>
            <w:tcBorders>
              <w:tl2br w:val="nil"/>
              <w:tr2bl w:val="nil"/>
            </w:tcBorders>
            <w:vAlign w:val="center"/>
          </w:tcPr>
          <w:p w14:paraId="04C8D813">
            <w:pPr>
              <w:jc w:val="center"/>
              <w:rPr>
                <w:rFonts w:ascii="宋体" w:hAnsi="宋体"/>
                <w:color w:val="000000" w:themeColor="text1"/>
                <w:sz w:val="21"/>
                <w:szCs w:val="21"/>
                <w:highlight w:val="none"/>
                <w14:textFill>
                  <w14:solidFill>
                    <w14:schemeClr w14:val="tx1"/>
                  </w14:solidFill>
                </w14:textFill>
              </w:rPr>
            </w:pPr>
          </w:p>
        </w:tc>
        <w:tc>
          <w:tcPr>
            <w:tcW w:w="1315" w:type="dxa"/>
            <w:tcBorders>
              <w:tl2br w:val="nil"/>
              <w:tr2bl w:val="nil"/>
            </w:tcBorders>
            <w:vAlign w:val="center"/>
          </w:tcPr>
          <w:p w14:paraId="7041739A">
            <w:pPr>
              <w:jc w:val="center"/>
              <w:rPr>
                <w:rFonts w:ascii="宋体" w:hAnsi="宋体"/>
                <w:color w:val="000000" w:themeColor="text1"/>
                <w:sz w:val="21"/>
                <w:szCs w:val="21"/>
                <w:highlight w:val="none"/>
                <w14:textFill>
                  <w14:solidFill>
                    <w14:schemeClr w14:val="tx1"/>
                  </w14:solidFill>
                </w14:textFill>
              </w:rPr>
            </w:pPr>
          </w:p>
        </w:tc>
        <w:tc>
          <w:tcPr>
            <w:tcW w:w="1104" w:type="dxa"/>
            <w:tcBorders>
              <w:tl2br w:val="nil"/>
              <w:tr2bl w:val="nil"/>
            </w:tcBorders>
            <w:vAlign w:val="center"/>
          </w:tcPr>
          <w:p w14:paraId="28900C46">
            <w:pPr>
              <w:jc w:val="center"/>
              <w:rPr>
                <w:rFonts w:ascii="宋体" w:hAnsi="宋体"/>
                <w:color w:val="000000" w:themeColor="text1"/>
                <w:sz w:val="21"/>
                <w:szCs w:val="21"/>
                <w:highlight w:val="none"/>
                <w14:textFill>
                  <w14:solidFill>
                    <w14:schemeClr w14:val="tx1"/>
                  </w14:solidFill>
                </w14:textFill>
              </w:rPr>
            </w:pPr>
          </w:p>
        </w:tc>
        <w:tc>
          <w:tcPr>
            <w:tcW w:w="1069" w:type="dxa"/>
            <w:tcBorders>
              <w:tl2br w:val="nil"/>
              <w:tr2bl w:val="nil"/>
            </w:tcBorders>
            <w:vAlign w:val="center"/>
          </w:tcPr>
          <w:p w14:paraId="3CAEE42A">
            <w:pPr>
              <w:rPr>
                <w:rFonts w:ascii="宋体" w:hAnsi="宋体"/>
                <w:color w:val="000000" w:themeColor="text1"/>
                <w:sz w:val="21"/>
                <w:szCs w:val="21"/>
                <w:highlight w:val="none"/>
                <w14:textFill>
                  <w14:solidFill>
                    <w14:schemeClr w14:val="tx1"/>
                  </w14:solidFill>
                </w14:textFill>
              </w:rPr>
            </w:pPr>
          </w:p>
        </w:tc>
        <w:tc>
          <w:tcPr>
            <w:tcW w:w="1136" w:type="dxa"/>
            <w:tcBorders>
              <w:tl2br w:val="nil"/>
              <w:tr2bl w:val="nil"/>
            </w:tcBorders>
            <w:vAlign w:val="center"/>
          </w:tcPr>
          <w:p w14:paraId="43872B37">
            <w:pPr>
              <w:rPr>
                <w:rFonts w:ascii="宋体" w:hAnsi="宋体"/>
                <w:color w:val="000000" w:themeColor="text1"/>
                <w:sz w:val="21"/>
                <w:szCs w:val="21"/>
                <w:highlight w:val="none"/>
                <w14:textFill>
                  <w14:solidFill>
                    <w14:schemeClr w14:val="tx1"/>
                  </w14:solidFill>
                </w14:textFill>
              </w:rPr>
            </w:pPr>
          </w:p>
        </w:tc>
        <w:tc>
          <w:tcPr>
            <w:tcW w:w="814" w:type="dxa"/>
            <w:tcBorders>
              <w:tl2br w:val="nil"/>
              <w:tr2bl w:val="nil"/>
            </w:tcBorders>
            <w:vAlign w:val="center"/>
          </w:tcPr>
          <w:p w14:paraId="6A1C7F54">
            <w:pPr>
              <w:rPr>
                <w:rFonts w:ascii="宋体" w:hAnsi="宋体"/>
                <w:color w:val="000000" w:themeColor="text1"/>
                <w:sz w:val="21"/>
                <w:szCs w:val="21"/>
                <w:highlight w:val="none"/>
                <w14:textFill>
                  <w14:solidFill>
                    <w14:schemeClr w14:val="tx1"/>
                  </w14:solidFill>
                </w14:textFill>
              </w:rPr>
            </w:pPr>
          </w:p>
        </w:tc>
        <w:tc>
          <w:tcPr>
            <w:tcW w:w="697" w:type="dxa"/>
            <w:tcBorders>
              <w:tl2br w:val="nil"/>
              <w:tr2bl w:val="nil"/>
            </w:tcBorders>
            <w:vAlign w:val="center"/>
          </w:tcPr>
          <w:p w14:paraId="6F2E5060">
            <w:pPr>
              <w:rPr>
                <w:rFonts w:ascii="宋体" w:hAnsi="宋体"/>
                <w:color w:val="000000" w:themeColor="text1"/>
                <w:sz w:val="21"/>
                <w:szCs w:val="21"/>
                <w:highlight w:val="none"/>
                <w14:textFill>
                  <w14:solidFill>
                    <w14:schemeClr w14:val="tx1"/>
                  </w14:solidFill>
                </w14:textFill>
              </w:rPr>
            </w:pPr>
          </w:p>
        </w:tc>
        <w:tc>
          <w:tcPr>
            <w:tcW w:w="756" w:type="dxa"/>
            <w:tcBorders>
              <w:tl2br w:val="nil"/>
              <w:tr2bl w:val="nil"/>
            </w:tcBorders>
            <w:vAlign w:val="center"/>
          </w:tcPr>
          <w:p w14:paraId="1938BDF0">
            <w:pPr>
              <w:rPr>
                <w:rFonts w:ascii="宋体" w:hAnsi="宋体"/>
                <w:color w:val="000000" w:themeColor="text1"/>
                <w:sz w:val="21"/>
                <w:szCs w:val="21"/>
                <w:highlight w:val="none"/>
                <w14:textFill>
                  <w14:solidFill>
                    <w14:schemeClr w14:val="tx1"/>
                  </w14:solidFill>
                </w14:textFill>
              </w:rPr>
            </w:pPr>
          </w:p>
        </w:tc>
        <w:tc>
          <w:tcPr>
            <w:tcW w:w="1003" w:type="dxa"/>
            <w:tcBorders>
              <w:tl2br w:val="nil"/>
              <w:tr2bl w:val="nil"/>
            </w:tcBorders>
            <w:vAlign w:val="center"/>
          </w:tcPr>
          <w:p w14:paraId="0BDC4515">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79FD78C4">
            <w:pPr>
              <w:rPr>
                <w:rFonts w:ascii="宋体" w:hAnsi="宋体"/>
                <w:color w:val="000000" w:themeColor="text1"/>
                <w:sz w:val="21"/>
                <w:szCs w:val="21"/>
                <w:highlight w:val="none"/>
                <w14:textFill>
                  <w14:solidFill>
                    <w14:schemeClr w14:val="tx1"/>
                  </w14:solidFill>
                </w14:textFill>
              </w:rPr>
            </w:pPr>
          </w:p>
        </w:tc>
        <w:tc>
          <w:tcPr>
            <w:tcW w:w="850" w:type="dxa"/>
            <w:tcBorders>
              <w:tl2br w:val="nil"/>
              <w:tr2bl w:val="nil"/>
            </w:tcBorders>
            <w:vAlign w:val="center"/>
          </w:tcPr>
          <w:p w14:paraId="660E0E0E">
            <w:pPr>
              <w:rPr>
                <w:rFonts w:ascii="宋体" w:hAnsi="宋体"/>
                <w:color w:val="000000" w:themeColor="text1"/>
                <w:sz w:val="21"/>
                <w:szCs w:val="21"/>
                <w:highlight w:val="none"/>
                <w14:textFill>
                  <w14:solidFill>
                    <w14:schemeClr w14:val="tx1"/>
                  </w14:solidFill>
                </w14:textFill>
              </w:rPr>
            </w:pPr>
          </w:p>
        </w:tc>
      </w:tr>
      <w:tr w14:paraId="7E08D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tcBorders>
              <w:tl2br w:val="nil"/>
              <w:tr2bl w:val="nil"/>
            </w:tcBorders>
            <w:vAlign w:val="center"/>
          </w:tcPr>
          <w:p w14:paraId="339D6B88">
            <w:pPr>
              <w:rPr>
                <w:rFonts w:ascii="宋体" w:hAnsi="宋体"/>
                <w:color w:val="000000" w:themeColor="text1"/>
                <w:sz w:val="21"/>
                <w:szCs w:val="21"/>
                <w:highlight w:val="none"/>
                <w14:textFill>
                  <w14:solidFill>
                    <w14:schemeClr w14:val="tx1"/>
                  </w14:solidFill>
                </w14:textFill>
              </w:rPr>
            </w:pPr>
          </w:p>
        </w:tc>
        <w:tc>
          <w:tcPr>
            <w:tcW w:w="1225" w:type="dxa"/>
            <w:tcBorders>
              <w:tl2br w:val="nil"/>
              <w:tr2bl w:val="nil"/>
            </w:tcBorders>
            <w:vAlign w:val="center"/>
          </w:tcPr>
          <w:p w14:paraId="18AB959B">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205F539B">
            <w:pPr>
              <w:rPr>
                <w:rFonts w:ascii="宋体" w:hAnsi="宋体"/>
                <w:color w:val="000000" w:themeColor="text1"/>
                <w:sz w:val="21"/>
                <w:szCs w:val="21"/>
                <w:highlight w:val="none"/>
                <w14:textFill>
                  <w14:solidFill>
                    <w14:schemeClr w14:val="tx1"/>
                  </w14:solidFill>
                </w14:textFill>
              </w:rPr>
            </w:pPr>
          </w:p>
        </w:tc>
        <w:tc>
          <w:tcPr>
            <w:tcW w:w="1019" w:type="dxa"/>
            <w:tcBorders>
              <w:tl2br w:val="nil"/>
              <w:tr2bl w:val="nil"/>
            </w:tcBorders>
            <w:vAlign w:val="center"/>
          </w:tcPr>
          <w:p w14:paraId="78D2A7D2">
            <w:pPr>
              <w:rPr>
                <w:rFonts w:ascii="宋体" w:hAnsi="宋体"/>
                <w:color w:val="000000" w:themeColor="text1"/>
                <w:sz w:val="21"/>
                <w:szCs w:val="21"/>
                <w:highlight w:val="none"/>
                <w14:textFill>
                  <w14:solidFill>
                    <w14:schemeClr w14:val="tx1"/>
                  </w14:solidFill>
                </w14:textFill>
              </w:rPr>
            </w:pPr>
          </w:p>
        </w:tc>
        <w:tc>
          <w:tcPr>
            <w:tcW w:w="1061" w:type="dxa"/>
            <w:tcBorders>
              <w:tl2br w:val="nil"/>
              <w:tr2bl w:val="nil"/>
            </w:tcBorders>
            <w:vAlign w:val="center"/>
          </w:tcPr>
          <w:p w14:paraId="62EEF889">
            <w:pPr>
              <w:jc w:val="center"/>
              <w:rPr>
                <w:rFonts w:ascii="宋体" w:hAnsi="宋体"/>
                <w:color w:val="000000" w:themeColor="text1"/>
                <w:sz w:val="21"/>
                <w:szCs w:val="21"/>
                <w:highlight w:val="none"/>
                <w14:textFill>
                  <w14:solidFill>
                    <w14:schemeClr w14:val="tx1"/>
                  </w14:solidFill>
                </w14:textFill>
              </w:rPr>
            </w:pPr>
          </w:p>
        </w:tc>
        <w:tc>
          <w:tcPr>
            <w:tcW w:w="1315" w:type="dxa"/>
            <w:tcBorders>
              <w:tl2br w:val="nil"/>
              <w:tr2bl w:val="nil"/>
            </w:tcBorders>
            <w:vAlign w:val="center"/>
          </w:tcPr>
          <w:p w14:paraId="76679747">
            <w:pPr>
              <w:jc w:val="center"/>
              <w:rPr>
                <w:rFonts w:ascii="宋体" w:hAnsi="宋体"/>
                <w:color w:val="000000" w:themeColor="text1"/>
                <w:sz w:val="21"/>
                <w:szCs w:val="21"/>
                <w:highlight w:val="none"/>
                <w14:textFill>
                  <w14:solidFill>
                    <w14:schemeClr w14:val="tx1"/>
                  </w14:solidFill>
                </w14:textFill>
              </w:rPr>
            </w:pPr>
          </w:p>
        </w:tc>
        <w:tc>
          <w:tcPr>
            <w:tcW w:w="1104" w:type="dxa"/>
            <w:tcBorders>
              <w:tl2br w:val="nil"/>
              <w:tr2bl w:val="nil"/>
            </w:tcBorders>
            <w:vAlign w:val="center"/>
          </w:tcPr>
          <w:p w14:paraId="17F1607D">
            <w:pPr>
              <w:jc w:val="center"/>
              <w:rPr>
                <w:rFonts w:ascii="宋体" w:hAnsi="宋体"/>
                <w:color w:val="000000" w:themeColor="text1"/>
                <w:sz w:val="21"/>
                <w:szCs w:val="21"/>
                <w:highlight w:val="none"/>
                <w14:textFill>
                  <w14:solidFill>
                    <w14:schemeClr w14:val="tx1"/>
                  </w14:solidFill>
                </w14:textFill>
              </w:rPr>
            </w:pPr>
          </w:p>
        </w:tc>
        <w:tc>
          <w:tcPr>
            <w:tcW w:w="1069" w:type="dxa"/>
            <w:tcBorders>
              <w:tl2br w:val="nil"/>
              <w:tr2bl w:val="nil"/>
            </w:tcBorders>
            <w:vAlign w:val="center"/>
          </w:tcPr>
          <w:p w14:paraId="2D261A5A">
            <w:pPr>
              <w:rPr>
                <w:rFonts w:ascii="宋体" w:hAnsi="宋体"/>
                <w:color w:val="000000" w:themeColor="text1"/>
                <w:sz w:val="21"/>
                <w:szCs w:val="21"/>
                <w:highlight w:val="none"/>
                <w14:textFill>
                  <w14:solidFill>
                    <w14:schemeClr w14:val="tx1"/>
                  </w14:solidFill>
                </w14:textFill>
              </w:rPr>
            </w:pPr>
          </w:p>
        </w:tc>
        <w:tc>
          <w:tcPr>
            <w:tcW w:w="1136" w:type="dxa"/>
            <w:tcBorders>
              <w:tl2br w:val="nil"/>
              <w:tr2bl w:val="nil"/>
            </w:tcBorders>
            <w:vAlign w:val="center"/>
          </w:tcPr>
          <w:p w14:paraId="6F525C31">
            <w:pPr>
              <w:rPr>
                <w:rFonts w:ascii="宋体" w:hAnsi="宋体"/>
                <w:color w:val="000000" w:themeColor="text1"/>
                <w:sz w:val="21"/>
                <w:szCs w:val="21"/>
                <w:highlight w:val="none"/>
                <w14:textFill>
                  <w14:solidFill>
                    <w14:schemeClr w14:val="tx1"/>
                  </w14:solidFill>
                </w14:textFill>
              </w:rPr>
            </w:pPr>
          </w:p>
        </w:tc>
        <w:tc>
          <w:tcPr>
            <w:tcW w:w="814" w:type="dxa"/>
            <w:tcBorders>
              <w:tl2br w:val="nil"/>
              <w:tr2bl w:val="nil"/>
            </w:tcBorders>
            <w:vAlign w:val="center"/>
          </w:tcPr>
          <w:p w14:paraId="467B6C1B">
            <w:pPr>
              <w:rPr>
                <w:rFonts w:ascii="宋体" w:hAnsi="宋体"/>
                <w:color w:val="000000" w:themeColor="text1"/>
                <w:sz w:val="21"/>
                <w:szCs w:val="21"/>
                <w:highlight w:val="none"/>
                <w14:textFill>
                  <w14:solidFill>
                    <w14:schemeClr w14:val="tx1"/>
                  </w14:solidFill>
                </w14:textFill>
              </w:rPr>
            </w:pPr>
          </w:p>
        </w:tc>
        <w:tc>
          <w:tcPr>
            <w:tcW w:w="697" w:type="dxa"/>
            <w:tcBorders>
              <w:tl2br w:val="nil"/>
              <w:tr2bl w:val="nil"/>
            </w:tcBorders>
            <w:vAlign w:val="center"/>
          </w:tcPr>
          <w:p w14:paraId="7E8B2D87">
            <w:pPr>
              <w:rPr>
                <w:rFonts w:ascii="宋体" w:hAnsi="宋体"/>
                <w:color w:val="000000" w:themeColor="text1"/>
                <w:sz w:val="21"/>
                <w:szCs w:val="21"/>
                <w:highlight w:val="none"/>
                <w14:textFill>
                  <w14:solidFill>
                    <w14:schemeClr w14:val="tx1"/>
                  </w14:solidFill>
                </w14:textFill>
              </w:rPr>
            </w:pPr>
          </w:p>
        </w:tc>
        <w:tc>
          <w:tcPr>
            <w:tcW w:w="756" w:type="dxa"/>
            <w:tcBorders>
              <w:tl2br w:val="nil"/>
              <w:tr2bl w:val="nil"/>
            </w:tcBorders>
            <w:vAlign w:val="center"/>
          </w:tcPr>
          <w:p w14:paraId="4C87C788">
            <w:pPr>
              <w:rPr>
                <w:rFonts w:ascii="宋体" w:hAnsi="宋体"/>
                <w:color w:val="000000" w:themeColor="text1"/>
                <w:sz w:val="21"/>
                <w:szCs w:val="21"/>
                <w:highlight w:val="none"/>
                <w14:textFill>
                  <w14:solidFill>
                    <w14:schemeClr w14:val="tx1"/>
                  </w14:solidFill>
                </w14:textFill>
              </w:rPr>
            </w:pPr>
          </w:p>
        </w:tc>
        <w:tc>
          <w:tcPr>
            <w:tcW w:w="1003" w:type="dxa"/>
            <w:tcBorders>
              <w:tl2br w:val="nil"/>
              <w:tr2bl w:val="nil"/>
            </w:tcBorders>
            <w:vAlign w:val="center"/>
          </w:tcPr>
          <w:p w14:paraId="35E7940E">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45BB94E9">
            <w:pPr>
              <w:rPr>
                <w:rFonts w:ascii="宋体" w:hAnsi="宋体"/>
                <w:color w:val="000000" w:themeColor="text1"/>
                <w:sz w:val="21"/>
                <w:szCs w:val="21"/>
                <w:highlight w:val="none"/>
                <w14:textFill>
                  <w14:solidFill>
                    <w14:schemeClr w14:val="tx1"/>
                  </w14:solidFill>
                </w14:textFill>
              </w:rPr>
            </w:pPr>
          </w:p>
        </w:tc>
        <w:tc>
          <w:tcPr>
            <w:tcW w:w="850" w:type="dxa"/>
            <w:tcBorders>
              <w:tl2br w:val="nil"/>
              <w:tr2bl w:val="nil"/>
            </w:tcBorders>
            <w:vAlign w:val="center"/>
          </w:tcPr>
          <w:p w14:paraId="1A742C3E">
            <w:pPr>
              <w:rPr>
                <w:rFonts w:ascii="宋体" w:hAnsi="宋体"/>
                <w:color w:val="000000" w:themeColor="text1"/>
                <w:sz w:val="21"/>
                <w:szCs w:val="21"/>
                <w:highlight w:val="none"/>
                <w14:textFill>
                  <w14:solidFill>
                    <w14:schemeClr w14:val="tx1"/>
                  </w14:solidFill>
                </w14:textFill>
              </w:rPr>
            </w:pPr>
          </w:p>
        </w:tc>
      </w:tr>
      <w:tr w14:paraId="45D59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tcBorders>
              <w:tl2br w:val="nil"/>
              <w:tr2bl w:val="nil"/>
            </w:tcBorders>
            <w:vAlign w:val="center"/>
          </w:tcPr>
          <w:p w14:paraId="20E954A0">
            <w:pPr>
              <w:rPr>
                <w:rFonts w:ascii="宋体" w:hAnsi="宋体"/>
                <w:color w:val="000000" w:themeColor="text1"/>
                <w:sz w:val="21"/>
                <w:szCs w:val="21"/>
                <w:highlight w:val="none"/>
                <w14:textFill>
                  <w14:solidFill>
                    <w14:schemeClr w14:val="tx1"/>
                  </w14:solidFill>
                </w14:textFill>
              </w:rPr>
            </w:pPr>
          </w:p>
        </w:tc>
        <w:tc>
          <w:tcPr>
            <w:tcW w:w="1225" w:type="dxa"/>
            <w:tcBorders>
              <w:tl2br w:val="nil"/>
              <w:tr2bl w:val="nil"/>
            </w:tcBorders>
            <w:vAlign w:val="center"/>
          </w:tcPr>
          <w:p w14:paraId="4796DCF2">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7EC131A6">
            <w:pPr>
              <w:rPr>
                <w:rFonts w:ascii="宋体" w:hAnsi="宋体"/>
                <w:color w:val="000000" w:themeColor="text1"/>
                <w:sz w:val="21"/>
                <w:szCs w:val="21"/>
                <w:highlight w:val="none"/>
                <w14:textFill>
                  <w14:solidFill>
                    <w14:schemeClr w14:val="tx1"/>
                  </w14:solidFill>
                </w14:textFill>
              </w:rPr>
            </w:pPr>
          </w:p>
        </w:tc>
        <w:tc>
          <w:tcPr>
            <w:tcW w:w="1019" w:type="dxa"/>
            <w:tcBorders>
              <w:tl2br w:val="nil"/>
              <w:tr2bl w:val="nil"/>
            </w:tcBorders>
            <w:vAlign w:val="center"/>
          </w:tcPr>
          <w:p w14:paraId="5F55C6F3">
            <w:pPr>
              <w:rPr>
                <w:rFonts w:ascii="宋体" w:hAnsi="宋体"/>
                <w:color w:val="000000" w:themeColor="text1"/>
                <w:sz w:val="21"/>
                <w:szCs w:val="21"/>
                <w:highlight w:val="none"/>
                <w14:textFill>
                  <w14:solidFill>
                    <w14:schemeClr w14:val="tx1"/>
                  </w14:solidFill>
                </w14:textFill>
              </w:rPr>
            </w:pPr>
          </w:p>
        </w:tc>
        <w:tc>
          <w:tcPr>
            <w:tcW w:w="1061" w:type="dxa"/>
            <w:tcBorders>
              <w:tl2br w:val="nil"/>
              <w:tr2bl w:val="nil"/>
            </w:tcBorders>
            <w:vAlign w:val="center"/>
          </w:tcPr>
          <w:p w14:paraId="72C59BA6">
            <w:pPr>
              <w:jc w:val="center"/>
              <w:rPr>
                <w:rFonts w:ascii="宋体" w:hAnsi="宋体"/>
                <w:color w:val="000000" w:themeColor="text1"/>
                <w:sz w:val="21"/>
                <w:szCs w:val="21"/>
                <w:highlight w:val="none"/>
                <w14:textFill>
                  <w14:solidFill>
                    <w14:schemeClr w14:val="tx1"/>
                  </w14:solidFill>
                </w14:textFill>
              </w:rPr>
            </w:pPr>
          </w:p>
        </w:tc>
        <w:tc>
          <w:tcPr>
            <w:tcW w:w="1315" w:type="dxa"/>
            <w:tcBorders>
              <w:tl2br w:val="nil"/>
              <w:tr2bl w:val="nil"/>
            </w:tcBorders>
            <w:vAlign w:val="center"/>
          </w:tcPr>
          <w:p w14:paraId="07F16B00">
            <w:pPr>
              <w:jc w:val="center"/>
              <w:rPr>
                <w:rFonts w:ascii="宋体" w:hAnsi="宋体"/>
                <w:color w:val="000000" w:themeColor="text1"/>
                <w:sz w:val="21"/>
                <w:szCs w:val="21"/>
                <w:highlight w:val="none"/>
                <w14:textFill>
                  <w14:solidFill>
                    <w14:schemeClr w14:val="tx1"/>
                  </w14:solidFill>
                </w14:textFill>
              </w:rPr>
            </w:pPr>
          </w:p>
        </w:tc>
        <w:tc>
          <w:tcPr>
            <w:tcW w:w="1104" w:type="dxa"/>
            <w:tcBorders>
              <w:tl2br w:val="nil"/>
              <w:tr2bl w:val="nil"/>
            </w:tcBorders>
            <w:vAlign w:val="center"/>
          </w:tcPr>
          <w:p w14:paraId="189DFD2E">
            <w:pPr>
              <w:jc w:val="center"/>
              <w:rPr>
                <w:rFonts w:ascii="宋体" w:hAnsi="宋体"/>
                <w:color w:val="000000" w:themeColor="text1"/>
                <w:sz w:val="21"/>
                <w:szCs w:val="21"/>
                <w:highlight w:val="none"/>
                <w14:textFill>
                  <w14:solidFill>
                    <w14:schemeClr w14:val="tx1"/>
                  </w14:solidFill>
                </w14:textFill>
              </w:rPr>
            </w:pPr>
          </w:p>
        </w:tc>
        <w:tc>
          <w:tcPr>
            <w:tcW w:w="1069" w:type="dxa"/>
            <w:tcBorders>
              <w:tl2br w:val="nil"/>
              <w:tr2bl w:val="nil"/>
            </w:tcBorders>
            <w:vAlign w:val="center"/>
          </w:tcPr>
          <w:p w14:paraId="7AA9E6C7">
            <w:pPr>
              <w:rPr>
                <w:rFonts w:ascii="宋体" w:hAnsi="宋体"/>
                <w:color w:val="000000" w:themeColor="text1"/>
                <w:sz w:val="21"/>
                <w:szCs w:val="21"/>
                <w:highlight w:val="none"/>
                <w14:textFill>
                  <w14:solidFill>
                    <w14:schemeClr w14:val="tx1"/>
                  </w14:solidFill>
                </w14:textFill>
              </w:rPr>
            </w:pPr>
          </w:p>
        </w:tc>
        <w:tc>
          <w:tcPr>
            <w:tcW w:w="1136" w:type="dxa"/>
            <w:tcBorders>
              <w:tl2br w:val="nil"/>
              <w:tr2bl w:val="nil"/>
            </w:tcBorders>
            <w:vAlign w:val="center"/>
          </w:tcPr>
          <w:p w14:paraId="174EB32A">
            <w:pPr>
              <w:rPr>
                <w:rFonts w:ascii="宋体" w:hAnsi="宋体"/>
                <w:color w:val="000000" w:themeColor="text1"/>
                <w:sz w:val="21"/>
                <w:szCs w:val="21"/>
                <w:highlight w:val="none"/>
                <w14:textFill>
                  <w14:solidFill>
                    <w14:schemeClr w14:val="tx1"/>
                  </w14:solidFill>
                </w14:textFill>
              </w:rPr>
            </w:pPr>
          </w:p>
        </w:tc>
        <w:tc>
          <w:tcPr>
            <w:tcW w:w="814" w:type="dxa"/>
            <w:tcBorders>
              <w:tl2br w:val="nil"/>
              <w:tr2bl w:val="nil"/>
            </w:tcBorders>
            <w:vAlign w:val="center"/>
          </w:tcPr>
          <w:p w14:paraId="119F3A06">
            <w:pPr>
              <w:rPr>
                <w:rFonts w:ascii="宋体" w:hAnsi="宋体"/>
                <w:color w:val="000000" w:themeColor="text1"/>
                <w:sz w:val="21"/>
                <w:szCs w:val="21"/>
                <w:highlight w:val="none"/>
                <w14:textFill>
                  <w14:solidFill>
                    <w14:schemeClr w14:val="tx1"/>
                  </w14:solidFill>
                </w14:textFill>
              </w:rPr>
            </w:pPr>
          </w:p>
        </w:tc>
        <w:tc>
          <w:tcPr>
            <w:tcW w:w="697" w:type="dxa"/>
            <w:tcBorders>
              <w:tl2br w:val="nil"/>
              <w:tr2bl w:val="nil"/>
            </w:tcBorders>
            <w:vAlign w:val="center"/>
          </w:tcPr>
          <w:p w14:paraId="75A2219A">
            <w:pPr>
              <w:rPr>
                <w:rFonts w:ascii="宋体" w:hAnsi="宋体"/>
                <w:color w:val="000000" w:themeColor="text1"/>
                <w:sz w:val="21"/>
                <w:szCs w:val="21"/>
                <w:highlight w:val="none"/>
                <w14:textFill>
                  <w14:solidFill>
                    <w14:schemeClr w14:val="tx1"/>
                  </w14:solidFill>
                </w14:textFill>
              </w:rPr>
            </w:pPr>
          </w:p>
        </w:tc>
        <w:tc>
          <w:tcPr>
            <w:tcW w:w="756" w:type="dxa"/>
            <w:tcBorders>
              <w:tl2br w:val="nil"/>
              <w:tr2bl w:val="nil"/>
            </w:tcBorders>
            <w:vAlign w:val="center"/>
          </w:tcPr>
          <w:p w14:paraId="01BDC14F">
            <w:pPr>
              <w:rPr>
                <w:rFonts w:ascii="宋体" w:hAnsi="宋体"/>
                <w:color w:val="000000" w:themeColor="text1"/>
                <w:sz w:val="21"/>
                <w:szCs w:val="21"/>
                <w:highlight w:val="none"/>
                <w14:textFill>
                  <w14:solidFill>
                    <w14:schemeClr w14:val="tx1"/>
                  </w14:solidFill>
                </w14:textFill>
              </w:rPr>
            </w:pPr>
          </w:p>
        </w:tc>
        <w:tc>
          <w:tcPr>
            <w:tcW w:w="1003" w:type="dxa"/>
            <w:tcBorders>
              <w:tl2br w:val="nil"/>
              <w:tr2bl w:val="nil"/>
            </w:tcBorders>
            <w:vAlign w:val="center"/>
          </w:tcPr>
          <w:p w14:paraId="10C527EE">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3BF7808E">
            <w:pPr>
              <w:rPr>
                <w:rFonts w:ascii="宋体" w:hAnsi="宋体"/>
                <w:color w:val="000000" w:themeColor="text1"/>
                <w:sz w:val="21"/>
                <w:szCs w:val="21"/>
                <w:highlight w:val="none"/>
                <w14:textFill>
                  <w14:solidFill>
                    <w14:schemeClr w14:val="tx1"/>
                  </w14:solidFill>
                </w14:textFill>
              </w:rPr>
            </w:pPr>
          </w:p>
        </w:tc>
        <w:tc>
          <w:tcPr>
            <w:tcW w:w="850" w:type="dxa"/>
            <w:tcBorders>
              <w:tl2br w:val="nil"/>
              <w:tr2bl w:val="nil"/>
            </w:tcBorders>
            <w:vAlign w:val="center"/>
          </w:tcPr>
          <w:p w14:paraId="353BE626">
            <w:pPr>
              <w:rPr>
                <w:rFonts w:ascii="宋体" w:hAnsi="宋体"/>
                <w:color w:val="000000" w:themeColor="text1"/>
                <w:sz w:val="21"/>
                <w:szCs w:val="21"/>
                <w:highlight w:val="none"/>
                <w14:textFill>
                  <w14:solidFill>
                    <w14:schemeClr w14:val="tx1"/>
                  </w14:solidFill>
                </w14:textFill>
              </w:rPr>
            </w:pPr>
          </w:p>
        </w:tc>
      </w:tr>
      <w:tr w14:paraId="291CA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tcBorders>
              <w:tl2br w:val="nil"/>
              <w:tr2bl w:val="nil"/>
            </w:tcBorders>
            <w:vAlign w:val="center"/>
          </w:tcPr>
          <w:p w14:paraId="54F84CA9">
            <w:pPr>
              <w:rPr>
                <w:rFonts w:ascii="宋体" w:hAnsi="宋体"/>
                <w:color w:val="000000" w:themeColor="text1"/>
                <w:sz w:val="21"/>
                <w:szCs w:val="21"/>
                <w:highlight w:val="none"/>
                <w14:textFill>
                  <w14:solidFill>
                    <w14:schemeClr w14:val="tx1"/>
                  </w14:solidFill>
                </w14:textFill>
              </w:rPr>
            </w:pPr>
          </w:p>
        </w:tc>
        <w:tc>
          <w:tcPr>
            <w:tcW w:w="1225" w:type="dxa"/>
            <w:tcBorders>
              <w:tl2br w:val="nil"/>
              <w:tr2bl w:val="nil"/>
            </w:tcBorders>
            <w:vAlign w:val="center"/>
          </w:tcPr>
          <w:p w14:paraId="164F72B7">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0251123D">
            <w:pPr>
              <w:rPr>
                <w:rFonts w:ascii="宋体" w:hAnsi="宋体"/>
                <w:color w:val="000000" w:themeColor="text1"/>
                <w:sz w:val="21"/>
                <w:szCs w:val="21"/>
                <w:highlight w:val="none"/>
                <w14:textFill>
                  <w14:solidFill>
                    <w14:schemeClr w14:val="tx1"/>
                  </w14:solidFill>
                </w14:textFill>
              </w:rPr>
            </w:pPr>
          </w:p>
        </w:tc>
        <w:tc>
          <w:tcPr>
            <w:tcW w:w="1019" w:type="dxa"/>
            <w:tcBorders>
              <w:tl2br w:val="nil"/>
              <w:tr2bl w:val="nil"/>
            </w:tcBorders>
            <w:vAlign w:val="center"/>
          </w:tcPr>
          <w:p w14:paraId="3AE4F30A">
            <w:pPr>
              <w:rPr>
                <w:rFonts w:ascii="宋体" w:hAnsi="宋体"/>
                <w:color w:val="000000" w:themeColor="text1"/>
                <w:sz w:val="21"/>
                <w:szCs w:val="21"/>
                <w:highlight w:val="none"/>
                <w14:textFill>
                  <w14:solidFill>
                    <w14:schemeClr w14:val="tx1"/>
                  </w14:solidFill>
                </w14:textFill>
              </w:rPr>
            </w:pPr>
          </w:p>
        </w:tc>
        <w:tc>
          <w:tcPr>
            <w:tcW w:w="1061" w:type="dxa"/>
            <w:tcBorders>
              <w:tl2br w:val="nil"/>
              <w:tr2bl w:val="nil"/>
            </w:tcBorders>
            <w:vAlign w:val="center"/>
          </w:tcPr>
          <w:p w14:paraId="0B79B5CD">
            <w:pPr>
              <w:jc w:val="center"/>
              <w:rPr>
                <w:rFonts w:ascii="宋体" w:hAnsi="宋体"/>
                <w:color w:val="000000" w:themeColor="text1"/>
                <w:sz w:val="21"/>
                <w:szCs w:val="21"/>
                <w:highlight w:val="none"/>
                <w14:textFill>
                  <w14:solidFill>
                    <w14:schemeClr w14:val="tx1"/>
                  </w14:solidFill>
                </w14:textFill>
              </w:rPr>
            </w:pPr>
          </w:p>
        </w:tc>
        <w:tc>
          <w:tcPr>
            <w:tcW w:w="1315" w:type="dxa"/>
            <w:tcBorders>
              <w:tl2br w:val="nil"/>
              <w:tr2bl w:val="nil"/>
            </w:tcBorders>
            <w:vAlign w:val="center"/>
          </w:tcPr>
          <w:p w14:paraId="7BC2B1F9">
            <w:pPr>
              <w:jc w:val="center"/>
              <w:rPr>
                <w:rFonts w:ascii="宋体" w:hAnsi="宋体"/>
                <w:color w:val="000000" w:themeColor="text1"/>
                <w:sz w:val="21"/>
                <w:szCs w:val="21"/>
                <w:highlight w:val="none"/>
                <w14:textFill>
                  <w14:solidFill>
                    <w14:schemeClr w14:val="tx1"/>
                  </w14:solidFill>
                </w14:textFill>
              </w:rPr>
            </w:pPr>
          </w:p>
        </w:tc>
        <w:tc>
          <w:tcPr>
            <w:tcW w:w="1104" w:type="dxa"/>
            <w:tcBorders>
              <w:tl2br w:val="nil"/>
              <w:tr2bl w:val="nil"/>
            </w:tcBorders>
            <w:vAlign w:val="center"/>
          </w:tcPr>
          <w:p w14:paraId="215EF4C2">
            <w:pPr>
              <w:jc w:val="center"/>
              <w:rPr>
                <w:rFonts w:ascii="宋体" w:hAnsi="宋体"/>
                <w:color w:val="000000" w:themeColor="text1"/>
                <w:sz w:val="21"/>
                <w:szCs w:val="21"/>
                <w:highlight w:val="none"/>
                <w14:textFill>
                  <w14:solidFill>
                    <w14:schemeClr w14:val="tx1"/>
                  </w14:solidFill>
                </w14:textFill>
              </w:rPr>
            </w:pPr>
          </w:p>
        </w:tc>
        <w:tc>
          <w:tcPr>
            <w:tcW w:w="1069" w:type="dxa"/>
            <w:tcBorders>
              <w:tl2br w:val="nil"/>
              <w:tr2bl w:val="nil"/>
            </w:tcBorders>
            <w:vAlign w:val="center"/>
          </w:tcPr>
          <w:p w14:paraId="39B63EB5">
            <w:pPr>
              <w:rPr>
                <w:rFonts w:ascii="宋体" w:hAnsi="宋体"/>
                <w:color w:val="000000" w:themeColor="text1"/>
                <w:sz w:val="21"/>
                <w:szCs w:val="21"/>
                <w:highlight w:val="none"/>
                <w14:textFill>
                  <w14:solidFill>
                    <w14:schemeClr w14:val="tx1"/>
                  </w14:solidFill>
                </w14:textFill>
              </w:rPr>
            </w:pPr>
          </w:p>
        </w:tc>
        <w:tc>
          <w:tcPr>
            <w:tcW w:w="1136" w:type="dxa"/>
            <w:tcBorders>
              <w:tl2br w:val="nil"/>
              <w:tr2bl w:val="nil"/>
            </w:tcBorders>
            <w:vAlign w:val="center"/>
          </w:tcPr>
          <w:p w14:paraId="180ECC8A">
            <w:pPr>
              <w:rPr>
                <w:rFonts w:ascii="宋体" w:hAnsi="宋体"/>
                <w:color w:val="000000" w:themeColor="text1"/>
                <w:sz w:val="21"/>
                <w:szCs w:val="21"/>
                <w:highlight w:val="none"/>
                <w14:textFill>
                  <w14:solidFill>
                    <w14:schemeClr w14:val="tx1"/>
                  </w14:solidFill>
                </w14:textFill>
              </w:rPr>
            </w:pPr>
          </w:p>
        </w:tc>
        <w:tc>
          <w:tcPr>
            <w:tcW w:w="814" w:type="dxa"/>
            <w:tcBorders>
              <w:tl2br w:val="nil"/>
              <w:tr2bl w:val="nil"/>
            </w:tcBorders>
            <w:vAlign w:val="center"/>
          </w:tcPr>
          <w:p w14:paraId="08C88298">
            <w:pPr>
              <w:rPr>
                <w:rFonts w:ascii="宋体" w:hAnsi="宋体"/>
                <w:color w:val="000000" w:themeColor="text1"/>
                <w:sz w:val="21"/>
                <w:szCs w:val="21"/>
                <w:highlight w:val="none"/>
                <w14:textFill>
                  <w14:solidFill>
                    <w14:schemeClr w14:val="tx1"/>
                  </w14:solidFill>
                </w14:textFill>
              </w:rPr>
            </w:pPr>
          </w:p>
        </w:tc>
        <w:tc>
          <w:tcPr>
            <w:tcW w:w="697" w:type="dxa"/>
            <w:tcBorders>
              <w:tl2br w:val="nil"/>
              <w:tr2bl w:val="nil"/>
            </w:tcBorders>
            <w:vAlign w:val="center"/>
          </w:tcPr>
          <w:p w14:paraId="3F69369B">
            <w:pPr>
              <w:rPr>
                <w:rFonts w:ascii="宋体" w:hAnsi="宋体"/>
                <w:color w:val="000000" w:themeColor="text1"/>
                <w:sz w:val="21"/>
                <w:szCs w:val="21"/>
                <w:highlight w:val="none"/>
                <w14:textFill>
                  <w14:solidFill>
                    <w14:schemeClr w14:val="tx1"/>
                  </w14:solidFill>
                </w14:textFill>
              </w:rPr>
            </w:pPr>
          </w:p>
        </w:tc>
        <w:tc>
          <w:tcPr>
            <w:tcW w:w="756" w:type="dxa"/>
            <w:tcBorders>
              <w:tl2br w:val="nil"/>
              <w:tr2bl w:val="nil"/>
            </w:tcBorders>
            <w:vAlign w:val="center"/>
          </w:tcPr>
          <w:p w14:paraId="1E49D755">
            <w:pPr>
              <w:rPr>
                <w:rFonts w:ascii="宋体" w:hAnsi="宋体"/>
                <w:color w:val="000000" w:themeColor="text1"/>
                <w:sz w:val="21"/>
                <w:szCs w:val="21"/>
                <w:highlight w:val="none"/>
                <w14:textFill>
                  <w14:solidFill>
                    <w14:schemeClr w14:val="tx1"/>
                  </w14:solidFill>
                </w14:textFill>
              </w:rPr>
            </w:pPr>
          </w:p>
        </w:tc>
        <w:tc>
          <w:tcPr>
            <w:tcW w:w="1003" w:type="dxa"/>
            <w:tcBorders>
              <w:tl2br w:val="nil"/>
              <w:tr2bl w:val="nil"/>
            </w:tcBorders>
            <w:vAlign w:val="center"/>
          </w:tcPr>
          <w:p w14:paraId="45C158A9">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411DDA04">
            <w:pPr>
              <w:rPr>
                <w:rFonts w:ascii="宋体" w:hAnsi="宋体"/>
                <w:color w:val="000000" w:themeColor="text1"/>
                <w:sz w:val="21"/>
                <w:szCs w:val="21"/>
                <w:highlight w:val="none"/>
                <w14:textFill>
                  <w14:solidFill>
                    <w14:schemeClr w14:val="tx1"/>
                  </w14:solidFill>
                </w14:textFill>
              </w:rPr>
            </w:pPr>
          </w:p>
        </w:tc>
        <w:tc>
          <w:tcPr>
            <w:tcW w:w="850" w:type="dxa"/>
            <w:tcBorders>
              <w:tl2br w:val="nil"/>
              <w:tr2bl w:val="nil"/>
            </w:tcBorders>
            <w:vAlign w:val="center"/>
          </w:tcPr>
          <w:p w14:paraId="459558C1">
            <w:pPr>
              <w:rPr>
                <w:rFonts w:ascii="宋体" w:hAnsi="宋体"/>
                <w:color w:val="000000" w:themeColor="text1"/>
                <w:sz w:val="21"/>
                <w:szCs w:val="21"/>
                <w:highlight w:val="none"/>
                <w14:textFill>
                  <w14:solidFill>
                    <w14:schemeClr w14:val="tx1"/>
                  </w14:solidFill>
                </w14:textFill>
              </w:rPr>
            </w:pPr>
          </w:p>
        </w:tc>
      </w:tr>
      <w:tr w14:paraId="0E850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tcBorders>
              <w:tl2br w:val="nil"/>
              <w:tr2bl w:val="nil"/>
            </w:tcBorders>
            <w:vAlign w:val="center"/>
          </w:tcPr>
          <w:p w14:paraId="48CF5A2F">
            <w:pPr>
              <w:rPr>
                <w:rFonts w:ascii="宋体" w:hAnsi="宋体"/>
                <w:color w:val="000000" w:themeColor="text1"/>
                <w:sz w:val="21"/>
                <w:szCs w:val="21"/>
                <w:highlight w:val="none"/>
                <w14:textFill>
                  <w14:solidFill>
                    <w14:schemeClr w14:val="tx1"/>
                  </w14:solidFill>
                </w14:textFill>
              </w:rPr>
            </w:pPr>
          </w:p>
        </w:tc>
        <w:tc>
          <w:tcPr>
            <w:tcW w:w="1225" w:type="dxa"/>
            <w:tcBorders>
              <w:tl2br w:val="nil"/>
              <w:tr2bl w:val="nil"/>
            </w:tcBorders>
            <w:vAlign w:val="center"/>
          </w:tcPr>
          <w:p w14:paraId="11B6683D">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14CD5ECA">
            <w:pPr>
              <w:rPr>
                <w:rFonts w:ascii="宋体" w:hAnsi="宋体"/>
                <w:color w:val="000000" w:themeColor="text1"/>
                <w:sz w:val="21"/>
                <w:szCs w:val="21"/>
                <w:highlight w:val="none"/>
                <w14:textFill>
                  <w14:solidFill>
                    <w14:schemeClr w14:val="tx1"/>
                  </w14:solidFill>
                </w14:textFill>
              </w:rPr>
            </w:pPr>
          </w:p>
        </w:tc>
        <w:tc>
          <w:tcPr>
            <w:tcW w:w="1019" w:type="dxa"/>
            <w:tcBorders>
              <w:tl2br w:val="nil"/>
              <w:tr2bl w:val="nil"/>
            </w:tcBorders>
            <w:vAlign w:val="center"/>
          </w:tcPr>
          <w:p w14:paraId="226BE7A3">
            <w:pPr>
              <w:rPr>
                <w:rFonts w:ascii="宋体" w:hAnsi="宋体"/>
                <w:color w:val="000000" w:themeColor="text1"/>
                <w:sz w:val="21"/>
                <w:szCs w:val="21"/>
                <w:highlight w:val="none"/>
                <w14:textFill>
                  <w14:solidFill>
                    <w14:schemeClr w14:val="tx1"/>
                  </w14:solidFill>
                </w14:textFill>
              </w:rPr>
            </w:pPr>
          </w:p>
        </w:tc>
        <w:tc>
          <w:tcPr>
            <w:tcW w:w="1061" w:type="dxa"/>
            <w:tcBorders>
              <w:tl2br w:val="nil"/>
              <w:tr2bl w:val="nil"/>
            </w:tcBorders>
            <w:vAlign w:val="center"/>
          </w:tcPr>
          <w:p w14:paraId="54D28DF3">
            <w:pPr>
              <w:jc w:val="center"/>
              <w:rPr>
                <w:rFonts w:ascii="宋体" w:hAnsi="宋体"/>
                <w:color w:val="000000" w:themeColor="text1"/>
                <w:sz w:val="21"/>
                <w:szCs w:val="21"/>
                <w:highlight w:val="none"/>
                <w14:textFill>
                  <w14:solidFill>
                    <w14:schemeClr w14:val="tx1"/>
                  </w14:solidFill>
                </w14:textFill>
              </w:rPr>
            </w:pPr>
          </w:p>
        </w:tc>
        <w:tc>
          <w:tcPr>
            <w:tcW w:w="1315" w:type="dxa"/>
            <w:tcBorders>
              <w:tl2br w:val="nil"/>
              <w:tr2bl w:val="nil"/>
            </w:tcBorders>
            <w:vAlign w:val="center"/>
          </w:tcPr>
          <w:p w14:paraId="4E5AD613">
            <w:pPr>
              <w:jc w:val="center"/>
              <w:rPr>
                <w:rFonts w:ascii="宋体" w:hAnsi="宋体"/>
                <w:color w:val="000000" w:themeColor="text1"/>
                <w:sz w:val="21"/>
                <w:szCs w:val="21"/>
                <w:highlight w:val="none"/>
                <w14:textFill>
                  <w14:solidFill>
                    <w14:schemeClr w14:val="tx1"/>
                  </w14:solidFill>
                </w14:textFill>
              </w:rPr>
            </w:pPr>
          </w:p>
        </w:tc>
        <w:tc>
          <w:tcPr>
            <w:tcW w:w="1104" w:type="dxa"/>
            <w:tcBorders>
              <w:tl2br w:val="nil"/>
              <w:tr2bl w:val="nil"/>
            </w:tcBorders>
            <w:vAlign w:val="center"/>
          </w:tcPr>
          <w:p w14:paraId="1BCDABC9">
            <w:pPr>
              <w:jc w:val="center"/>
              <w:rPr>
                <w:rFonts w:ascii="宋体" w:hAnsi="宋体"/>
                <w:color w:val="000000" w:themeColor="text1"/>
                <w:sz w:val="21"/>
                <w:szCs w:val="21"/>
                <w:highlight w:val="none"/>
                <w14:textFill>
                  <w14:solidFill>
                    <w14:schemeClr w14:val="tx1"/>
                  </w14:solidFill>
                </w14:textFill>
              </w:rPr>
            </w:pPr>
          </w:p>
        </w:tc>
        <w:tc>
          <w:tcPr>
            <w:tcW w:w="1069" w:type="dxa"/>
            <w:tcBorders>
              <w:tl2br w:val="nil"/>
              <w:tr2bl w:val="nil"/>
            </w:tcBorders>
            <w:vAlign w:val="center"/>
          </w:tcPr>
          <w:p w14:paraId="5B6D1BF0">
            <w:pPr>
              <w:rPr>
                <w:rFonts w:ascii="宋体" w:hAnsi="宋体"/>
                <w:color w:val="000000" w:themeColor="text1"/>
                <w:sz w:val="21"/>
                <w:szCs w:val="21"/>
                <w:highlight w:val="none"/>
                <w14:textFill>
                  <w14:solidFill>
                    <w14:schemeClr w14:val="tx1"/>
                  </w14:solidFill>
                </w14:textFill>
              </w:rPr>
            </w:pPr>
          </w:p>
        </w:tc>
        <w:tc>
          <w:tcPr>
            <w:tcW w:w="1136" w:type="dxa"/>
            <w:tcBorders>
              <w:tl2br w:val="nil"/>
              <w:tr2bl w:val="nil"/>
            </w:tcBorders>
            <w:vAlign w:val="center"/>
          </w:tcPr>
          <w:p w14:paraId="26F3FC20">
            <w:pPr>
              <w:rPr>
                <w:rFonts w:ascii="宋体" w:hAnsi="宋体"/>
                <w:color w:val="000000" w:themeColor="text1"/>
                <w:sz w:val="21"/>
                <w:szCs w:val="21"/>
                <w:highlight w:val="none"/>
                <w14:textFill>
                  <w14:solidFill>
                    <w14:schemeClr w14:val="tx1"/>
                  </w14:solidFill>
                </w14:textFill>
              </w:rPr>
            </w:pPr>
          </w:p>
        </w:tc>
        <w:tc>
          <w:tcPr>
            <w:tcW w:w="814" w:type="dxa"/>
            <w:tcBorders>
              <w:tl2br w:val="nil"/>
              <w:tr2bl w:val="nil"/>
            </w:tcBorders>
            <w:vAlign w:val="center"/>
          </w:tcPr>
          <w:p w14:paraId="5643CAAB">
            <w:pPr>
              <w:rPr>
                <w:rFonts w:ascii="宋体" w:hAnsi="宋体"/>
                <w:color w:val="000000" w:themeColor="text1"/>
                <w:sz w:val="21"/>
                <w:szCs w:val="21"/>
                <w:highlight w:val="none"/>
                <w14:textFill>
                  <w14:solidFill>
                    <w14:schemeClr w14:val="tx1"/>
                  </w14:solidFill>
                </w14:textFill>
              </w:rPr>
            </w:pPr>
          </w:p>
        </w:tc>
        <w:tc>
          <w:tcPr>
            <w:tcW w:w="697" w:type="dxa"/>
            <w:tcBorders>
              <w:tl2br w:val="nil"/>
              <w:tr2bl w:val="nil"/>
            </w:tcBorders>
            <w:vAlign w:val="center"/>
          </w:tcPr>
          <w:p w14:paraId="29943E92">
            <w:pPr>
              <w:rPr>
                <w:rFonts w:ascii="宋体" w:hAnsi="宋体"/>
                <w:color w:val="000000" w:themeColor="text1"/>
                <w:sz w:val="21"/>
                <w:szCs w:val="21"/>
                <w:highlight w:val="none"/>
                <w14:textFill>
                  <w14:solidFill>
                    <w14:schemeClr w14:val="tx1"/>
                  </w14:solidFill>
                </w14:textFill>
              </w:rPr>
            </w:pPr>
          </w:p>
        </w:tc>
        <w:tc>
          <w:tcPr>
            <w:tcW w:w="756" w:type="dxa"/>
            <w:tcBorders>
              <w:tl2br w:val="nil"/>
              <w:tr2bl w:val="nil"/>
            </w:tcBorders>
            <w:vAlign w:val="center"/>
          </w:tcPr>
          <w:p w14:paraId="3081468C">
            <w:pPr>
              <w:rPr>
                <w:rFonts w:ascii="宋体" w:hAnsi="宋体"/>
                <w:color w:val="000000" w:themeColor="text1"/>
                <w:sz w:val="21"/>
                <w:szCs w:val="21"/>
                <w:highlight w:val="none"/>
                <w14:textFill>
                  <w14:solidFill>
                    <w14:schemeClr w14:val="tx1"/>
                  </w14:solidFill>
                </w14:textFill>
              </w:rPr>
            </w:pPr>
          </w:p>
        </w:tc>
        <w:tc>
          <w:tcPr>
            <w:tcW w:w="1003" w:type="dxa"/>
            <w:tcBorders>
              <w:tl2br w:val="nil"/>
              <w:tr2bl w:val="nil"/>
            </w:tcBorders>
            <w:vAlign w:val="center"/>
          </w:tcPr>
          <w:p w14:paraId="48EC5D9A">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26B07F35">
            <w:pPr>
              <w:rPr>
                <w:rFonts w:ascii="宋体" w:hAnsi="宋体"/>
                <w:color w:val="000000" w:themeColor="text1"/>
                <w:sz w:val="21"/>
                <w:szCs w:val="21"/>
                <w:highlight w:val="none"/>
                <w14:textFill>
                  <w14:solidFill>
                    <w14:schemeClr w14:val="tx1"/>
                  </w14:solidFill>
                </w14:textFill>
              </w:rPr>
            </w:pPr>
          </w:p>
        </w:tc>
        <w:tc>
          <w:tcPr>
            <w:tcW w:w="850" w:type="dxa"/>
            <w:tcBorders>
              <w:tl2br w:val="nil"/>
              <w:tr2bl w:val="nil"/>
            </w:tcBorders>
            <w:vAlign w:val="center"/>
          </w:tcPr>
          <w:p w14:paraId="07B89B06">
            <w:pPr>
              <w:rPr>
                <w:rFonts w:ascii="宋体" w:hAnsi="宋体"/>
                <w:color w:val="000000" w:themeColor="text1"/>
                <w:sz w:val="21"/>
                <w:szCs w:val="21"/>
                <w:highlight w:val="none"/>
                <w14:textFill>
                  <w14:solidFill>
                    <w14:schemeClr w14:val="tx1"/>
                  </w14:solidFill>
                </w14:textFill>
              </w:rPr>
            </w:pPr>
          </w:p>
        </w:tc>
      </w:tr>
      <w:tr w14:paraId="15194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tcBorders>
              <w:tl2br w:val="nil"/>
              <w:tr2bl w:val="nil"/>
            </w:tcBorders>
            <w:vAlign w:val="center"/>
          </w:tcPr>
          <w:p w14:paraId="1010BEED">
            <w:pPr>
              <w:rPr>
                <w:rFonts w:ascii="宋体" w:hAnsi="宋体"/>
                <w:color w:val="000000" w:themeColor="text1"/>
                <w:sz w:val="21"/>
                <w:szCs w:val="21"/>
                <w:highlight w:val="none"/>
                <w14:textFill>
                  <w14:solidFill>
                    <w14:schemeClr w14:val="tx1"/>
                  </w14:solidFill>
                </w14:textFill>
              </w:rPr>
            </w:pPr>
          </w:p>
        </w:tc>
        <w:tc>
          <w:tcPr>
            <w:tcW w:w="1225" w:type="dxa"/>
            <w:tcBorders>
              <w:tl2br w:val="nil"/>
              <w:tr2bl w:val="nil"/>
            </w:tcBorders>
            <w:vAlign w:val="center"/>
          </w:tcPr>
          <w:p w14:paraId="556150D8">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18F24FC6">
            <w:pPr>
              <w:rPr>
                <w:rFonts w:ascii="宋体" w:hAnsi="宋体"/>
                <w:color w:val="000000" w:themeColor="text1"/>
                <w:sz w:val="21"/>
                <w:szCs w:val="21"/>
                <w:highlight w:val="none"/>
                <w14:textFill>
                  <w14:solidFill>
                    <w14:schemeClr w14:val="tx1"/>
                  </w14:solidFill>
                </w14:textFill>
              </w:rPr>
            </w:pPr>
          </w:p>
        </w:tc>
        <w:tc>
          <w:tcPr>
            <w:tcW w:w="1019" w:type="dxa"/>
            <w:tcBorders>
              <w:tl2br w:val="nil"/>
              <w:tr2bl w:val="nil"/>
            </w:tcBorders>
            <w:vAlign w:val="center"/>
          </w:tcPr>
          <w:p w14:paraId="49290A35">
            <w:pPr>
              <w:rPr>
                <w:rFonts w:ascii="宋体" w:hAnsi="宋体"/>
                <w:color w:val="000000" w:themeColor="text1"/>
                <w:sz w:val="21"/>
                <w:szCs w:val="21"/>
                <w:highlight w:val="none"/>
                <w14:textFill>
                  <w14:solidFill>
                    <w14:schemeClr w14:val="tx1"/>
                  </w14:solidFill>
                </w14:textFill>
              </w:rPr>
            </w:pPr>
          </w:p>
        </w:tc>
        <w:tc>
          <w:tcPr>
            <w:tcW w:w="1061" w:type="dxa"/>
            <w:tcBorders>
              <w:tl2br w:val="nil"/>
              <w:tr2bl w:val="nil"/>
            </w:tcBorders>
            <w:vAlign w:val="center"/>
          </w:tcPr>
          <w:p w14:paraId="09780758">
            <w:pPr>
              <w:jc w:val="center"/>
              <w:rPr>
                <w:rFonts w:ascii="宋体" w:hAnsi="宋体"/>
                <w:color w:val="000000" w:themeColor="text1"/>
                <w:sz w:val="21"/>
                <w:szCs w:val="21"/>
                <w:highlight w:val="none"/>
                <w14:textFill>
                  <w14:solidFill>
                    <w14:schemeClr w14:val="tx1"/>
                  </w14:solidFill>
                </w14:textFill>
              </w:rPr>
            </w:pPr>
          </w:p>
        </w:tc>
        <w:tc>
          <w:tcPr>
            <w:tcW w:w="1315" w:type="dxa"/>
            <w:tcBorders>
              <w:tl2br w:val="nil"/>
              <w:tr2bl w:val="nil"/>
            </w:tcBorders>
            <w:vAlign w:val="center"/>
          </w:tcPr>
          <w:p w14:paraId="45B5D978">
            <w:pPr>
              <w:jc w:val="center"/>
              <w:rPr>
                <w:rFonts w:ascii="宋体" w:hAnsi="宋体"/>
                <w:color w:val="000000" w:themeColor="text1"/>
                <w:sz w:val="21"/>
                <w:szCs w:val="21"/>
                <w:highlight w:val="none"/>
                <w14:textFill>
                  <w14:solidFill>
                    <w14:schemeClr w14:val="tx1"/>
                  </w14:solidFill>
                </w14:textFill>
              </w:rPr>
            </w:pPr>
          </w:p>
        </w:tc>
        <w:tc>
          <w:tcPr>
            <w:tcW w:w="1104" w:type="dxa"/>
            <w:tcBorders>
              <w:tl2br w:val="nil"/>
              <w:tr2bl w:val="nil"/>
            </w:tcBorders>
            <w:vAlign w:val="center"/>
          </w:tcPr>
          <w:p w14:paraId="4F8B4C43">
            <w:pPr>
              <w:jc w:val="center"/>
              <w:rPr>
                <w:rFonts w:ascii="宋体" w:hAnsi="宋体"/>
                <w:color w:val="000000" w:themeColor="text1"/>
                <w:sz w:val="21"/>
                <w:szCs w:val="21"/>
                <w:highlight w:val="none"/>
                <w14:textFill>
                  <w14:solidFill>
                    <w14:schemeClr w14:val="tx1"/>
                  </w14:solidFill>
                </w14:textFill>
              </w:rPr>
            </w:pPr>
          </w:p>
        </w:tc>
        <w:tc>
          <w:tcPr>
            <w:tcW w:w="1069" w:type="dxa"/>
            <w:tcBorders>
              <w:tl2br w:val="nil"/>
              <w:tr2bl w:val="nil"/>
            </w:tcBorders>
            <w:vAlign w:val="center"/>
          </w:tcPr>
          <w:p w14:paraId="0BFE7BCE">
            <w:pPr>
              <w:rPr>
                <w:rFonts w:ascii="宋体" w:hAnsi="宋体"/>
                <w:color w:val="000000" w:themeColor="text1"/>
                <w:sz w:val="21"/>
                <w:szCs w:val="21"/>
                <w:highlight w:val="none"/>
                <w14:textFill>
                  <w14:solidFill>
                    <w14:schemeClr w14:val="tx1"/>
                  </w14:solidFill>
                </w14:textFill>
              </w:rPr>
            </w:pPr>
          </w:p>
        </w:tc>
        <w:tc>
          <w:tcPr>
            <w:tcW w:w="1136" w:type="dxa"/>
            <w:tcBorders>
              <w:tl2br w:val="nil"/>
              <w:tr2bl w:val="nil"/>
            </w:tcBorders>
            <w:vAlign w:val="center"/>
          </w:tcPr>
          <w:p w14:paraId="0F41EA7F">
            <w:pPr>
              <w:rPr>
                <w:rFonts w:ascii="宋体" w:hAnsi="宋体"/>
                <w:color w:val="000000" w:themeColor="text1"/>
                <w:sz w:val="21"/>
                <w:szCs w:val="21"/>
                <w:highlight w:val="none"/>
                <w14:textFill>
                  <w14:solidFill>
                    <w14:schemeClr w14:val="tx1"/>
                  </w14:solidFill>
                </w14:textFill>
              </w:rPr>
            </w:pPr>
          </w:p>
        </w:tc>
        <w:tc>
          <w:tcPr>
            <w:tcW w:w="814" w:type="dxa"/>
            <w:tcBorders>
              <w:tl2br w:val="nil"/>
              <w:tr2bl w:val="nil"/>
            </w:tcBorders>
            <w:vAlign w:val="center"/>
          </w:tcPr>
          <w:p w14:paraId="6F632C82">
            <w:pPr>
              <w:rPr>
                <w:rFonts w:ascii="宋体" w:hAnsi="宋体"/>
                <w:color w:val="000000" w:themeColor="text1"/>
                <w:sz w:val="21"/>
                <w:szCs w:val="21"/>
                <w:highlight w:val="none"/>
                <w14:textFill>
                  <w14:solidFill>
                    <w14:schemeClr w14:val="tx1"/>
                  </w14:solidFill>
                </w14:textFill>
              </w:rPr>
            </w:pPr>
          </w:p>
        </w:tc>
        <w:tc>
          <w:tcPr>
            <w:tcW w:w="697" w:type="dxa"/>
            <w:tcBorders>
              <w:tl2br w:val="nil"/>
              <w:tr2bl w:val="nil"/>
            </w:tcBorders>
            <w:vAlign w:val="center"/>
          </w:tcPr>
          <w:p w14:paraId="3922DC06">
            <w:pPr>
              <w:rPr>
                <w:rFonts w:ascii="宋体" w:hAnsi="宋体"/>
                <w:color w:val="000000" w:themeColor="text1"/>
                <w:sz w:val="21"/>
                <w:szCs w:val="21"/>
                <w:highlight w:val="none"/>
                <w14:textFill>
                  <w14:solidFill>
                    <w14:schemeClr w14:val="tx1"/>
                  </w14:solidFill>
                </w14:textFill>
              </w:rPr>
            </w:pPr>
          </w:p>
        </w:tc>
        <w:tc>
          <w:tcPr>
            <w:tcW w:w="756" w:type="dxa"/>
            <w:tcBorders>
              <w:tl2br w:val="nil"/>
              <w:tr2bl w:val="nil"/>
            </w:tcBorders>
            <w:vAlign w:val="center"/>
          </w:tcPr>
          <w:p w14:paraId="5DDC8667">
            <w:pPr>
              <w:rPr>
                <w:rFonts w:ascii="宋体" w:hAnsi="宋体"/>
                <w:color w:val="000000" w:themeColor="text1"/>
                <w:sz w:val="21"/>
                <w:szCs w:val="21"/>
                <w:highlight w:val="none"/>
                <w14:textFill>
                  <w14:solidFill>
                    <w14:schemeClr w14:val="tx1"/>
                  </w14:solidFill>
                </w14:textFill>
              </w:rPr>
            </w:pPr>
          </w:p>
        </w:tc>
        <w:tc>
          <w:tcPr>
            <w:tcW w:w="1003" w:type="dxa"/>
            <w:tcBorders>
              <w:tl2br w:val="nil"/>
              <w:tr2bl w:val="nil"/>
            </w:tcBorders>
            <w:vAlign w:val="center"/>
          </w:tcPr>
          <w:p w14:paraId="12D8DEBB">
            <w:pPr>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2310DC1E">
            <w:pPr>
              <w:rPr>
                <w:rFonts w:ascii="宋体" w:hAnsi="宋体"/>
                <w:color w:val="000000" w:themeColor="text1"/>
                <w:sz w:val="21"/>
                <w:szCs w:val="21"/>
                <w:highlight w:val="none"/>
                <w14:textFill>
                  <w14:solidFill>
                    <w14:schemeClr w14:val="tx1"/>
                  </w14:solidFill>
                </w14:textFill>
              </w:rPr>
            </w:pPr>
          </w:p>
        </w:tc>
        <w:tc>
          <w:tcPr>
            <w:tcW w:w="850" w:type="dxa"/>
            <w:tcBorders>
              <w:tl2br w:val="nil"/>
              <w:tr2bl w:val="nil"/>
            </w:tcBorders>
            <w:vAlign w:val="center"/>
          </w:tcPr>
          <w:p w14:paraId="1504AC8F">
            <w:pPr>
              <w:rPr>
                <w:rFonts w:ascii="宋体" w:hAnsi="宋体"/>
                <w:color w:val="000000" w:themeColor="text1"/>
                <w:sz w:val="21"/>
                <w:szCs w:val="21"/>
                <w:highlight w:val="none"/>
                <w14:textFill>
                  <w14:solidFill>
                    <w14:schemeClr w14:val="tx1"/>
                  </w14:solidFill>
                </w14:textFill>
              </w:rPr>
            </w:pPr>
          </w:p>
        </w:tc>
      </w:tr>
      <w:tr w14:paraId="545DF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643" w:type="dxa"/>
            <w:gridSpan w:val="3"/>
            <w:tcBorders>
              <w:tl2br w:val="nil"/>
              <w:tr2bl w:val="nil"/>
            </w:tcBorders>
            <w:vAlign w:val="center"/>
          </w:tcPr>
          <w:p w14:paraId="272B7387">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设计费最高投标报价限价（元）</w:t>
            </w:r>
          </w:p>
        </w:tc>
        <w:tc>
          <w:tcPr>
            <w:tcW w:w="4499" w:type="dxa"/>
            <w:gridSpan w:val="4"/>
            <w:tcBorders>
              <w:tl2br w:val="nil"/>
              <w:tr2bl w:val="nil"/>
            </w:tcBorders>
            <w:vAlign w:val="center"/>
          </w:tcPr>
          <w:p w14:paraId="4A17BC6D">
            <w:pPr>
              <w:rPr>
                <w:rFonts w:ascii="宋体" w:hAnsi="宋体"/>
                <w:color w:val="000000" w:themeColor="text1"/>
                <w:sz w:val="21"/>
                <w:szCs w:val="21"/>
                <w:highlight w:val="none"/>
                <w14:textFill>
                  <w14:solidFill>
                    <w14:schemeClr w14:val="tx1"/>
                  </w14:solidFill>
                </w14:textFill>
              </w:rPr>
            </w:pPr>
          </w:p>
        </w:tc>
        <w:tc>
          <w:tcPr>
            <w:tcW w:w="3019" w:type="dxa"/>
            <w:gridSpan w:val="3"/>
            <w:tcBorders>
              <w:tl2br w:val="nil"/>
              <w:tr2bl w:val="nil"/>
            </w:tcBorders>
            <w:vAlign w:val="center"/>
          </w:tcPr>
          <w:p w14:paraId="6A2A4A7E">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勘察费最高投标报价限价（元）</w:t>
            </w:r>
          </w:p>
        </w:tc>
        <w:tc>
          <w:tcPr>
            <w:tcW w:w="4298" w:type="dxa"/>
            <w:gridSpan w:val="5"/>
            <w:tcBorders>
              <w:tl2br w:val="nil"/>
              <w:tr2bl w:val="nil"/>
            </w:tcBorders>
            <w:vAlign w:val="center"/>
          </w:tcPr>
          <w:p w14:paraId="4E9AFD24">
            <w:pPr>
              <w:rPr>
                <w:rFonts w:ascii="宋体" w:hAnsi="宋体"/>
                <w:color w:val="000000" w:themeColor="text1"/>
                <w:sz w:val="21"/>
                <w:szCs w:val="21"/>
                <w:highlight w:val="none"/>
                <w14:textFill>
                  <w14:solidFill>
                    <w14:schemeClr w14:val="tx1"/>
                  </w14:solidFill>
                </w14:textFill>
              </w:rPr>
            </w:pPr>
          </w:p>
        </w:tc>
      </w:tr>
    </w:tbl>
    <w:p w14:paraId="661955B9">
      <w:pPr>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招标人盖章或签字：                              招标代理机构盖章或签字：                   监标人（公证机构）盖章或签字：</w:t>
      </w:r>
    </w:p>
    <w:p w14:paraId="4CCD70F5">
      <w:pPr>
        <w:pStyle w:val="13"/>
        <w:snapToGrid w:val="0"/>
        <w:spacing w:beforeLines="100" w:line="360" w:lineRule="auto"/>
        <w:ind w:firstLine="0"/>
        <w:jc w:val="center"/>
        <w:rPr>
          <w:rFonts w:ascii="宋体" w:hAnsi="宋体" w:cs="宋体"/>
          <w:color w:val="000000" w:themeColor="text1"/>
          <w:sz w:val="36"/>
          <w:szCs w:val="36"/>
          <w:highlight w:val="none"/>
          <w14:textFill>
            <w14:solidFill>
              <w14:schemeClr w14:val="tx1"/>
            </w14:solidFill>
          </w14:textFill>
        </w:rPr>
      </w:pPr>
      <w:r>
        <w:rPr>
          <w:rFonts w:hint="eastAsia" w:ascii="黑体" w:hAnsi="Calibri" w:eastAsia="黑体" w:cs="Times New Roman"/>
          <w:color w:val="000000" w:themeColor="text1"/>
          <w:sz w:val="28"/>
          <w:szCs w:val="28"/>
          <w:highlight w:val="none"/>
          <w:u w:val="single"/>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（招标项目名称）</w:t>
      </w:r>
      <w:r>
        <w:rPr>
          <w:rFonts w:hint="eastAsia" w:ascii="黑体" w:hAnsi="Calibri" w:eastAsia="黑体" w:cs="Times New Roman"/>
          <w:color w:val="000000" w:themeColor="text1"/>
          <w:sz w:val="28"/>
          <w:szCs w:val="28"/>
          <w:highlight w:val="none"/>
          <w14:textFill>
            <w14:solidFill>
              <w14:schemeClr w14:val="tx1"/>
            </w14:solidFill>
          </w14:textFill>
        </w:rPr>
        <w:t>开标记录表（2）</w:t>
      </w:r>
    </w:p>
    <w:tbl>
      <w:tblPr>
        <w:tblStyle w:val="41"/>
        <w:tblW w:w="1345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4431"/>
        <w:gridCol w:w="1157"/>
        <w:gridCol w:w="4761"/>
        <w:gridCol w:w="1071"/>
        <w:gridCol w:w="1294"/>
      </w:tblGrid>
      <w:tr w14:paraId="15FAA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742" w:type="dxa"/>
            <w:vMerge w:val="restart"/>
            <w:tcBorders>
              <w:tl2br w:val="nil"/>
              <w:tr2bl w:val="nil"/>
            </w:tcBorders>
            <w:vAlign w:val="center"/>
          </w:tcPr>
          <w:p w14:paraId="4AB1D2C6">
            <w:pPr>
              <w:pStyle w:val="57"/>
              <w:spacing w:line="240" w:lineRule="exact"/>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4431" w:type="dxa"/>
            <w:vMerge w:val="restart"/>
            <w:tcBorders>
              <w:tl2br w:val="nil"/>
              <w:tr2bl w:val="nil"/>
            </w:tcBorders>
            <w:vAlign w:val="center"/>
          </w:tcPr>
          <w:p w14:paraId="51295AEF">
            <w:pPr>
              <w:pStyle w:val="57"/>
              <w:spacing w:line="240" w:lineRule="exact"/>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w:t>
            </w:r>
          </w:p>
        </w:tc>
        <w:tc>
          <w:tcPr>
            <w:tcW w:w="6989" w:type="dxa"/>
            <w:gridSpan w:val="3"/>
            <w:tcBorders>
              <w:tl2br w:val="nil"/>
              <w:tr2bl w:val="nil"/>
            </w:tcBorders>
            <w:vAlign w:val="center"/>
          </w:tcPr>
          <w:p w14:paraId="52A8AE17">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上传、解密电子投标文件（开标现场上传、解密电子投标文件的除外）或编制电子投标文件的计算机硬件信息</w:t>
            </w:r>
          </w:p>
        </w:tc>
        <w:tc>
          <w:tcPr>
            <w:tcW w:w="1294" w:type="dxa"/>
            <w:vMerge w:val="restart"/>
            <w:tcBorders>
              <w:tl2br w:val="nil"/>
              <w:tr2bl w:val="nil"/>
            </w:tcBorders>
            <w:vAlign w:val="center"/>
          </w:tcPr>
          <w:p w14:paraId="08EE3EA1">
            <w:pPr>
              <w:pStyle w:val="57"/>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7A65CA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76" w:hRule="atLeast"/>
          <w:jc w:val="center"/>
        </w:trPr>
        <w:tc>
          <w:tcPr>
            <w:tcW w:w="742" w:type="dxa"/>
            <w:vMerge w:val="continue"/>
            <w:tcBorders>
              <w:tl2br w:val="nil"/>
              <w:tr2bl w:val="nil"/>
            </w:tcBorders>
            <w:vAlign w:val="center"/>
          </w:tcPr>
          <w:p w14:paraId="5E946924">
            <w:pPr>
              <w:pStyle w:val="57"/>
              <w:spacing w:line="240" w:lineRule="exact"/>
              <w:jc w:val="center"/>
              <w:rPr>
                <w:rFonts w:ascii="宋体" w:hAnsi="宋体" w:eastAsia="宋体" w:cs="宋体"/>
                <w:color w:val="000000" w:themeColor="text1"/>
                <w:sz w:val="21"/>
                <w:szCs w:val="21"/>
                <w:highlight w:val="none"/>
                <w14:textFill>
                  <w14:solidFill>
                    <w14:schemeClr w14:val="tx1"/>
                  </w14:solidFill>
                </w14:textFill>
              </w:rPr>
            </w:pPr>
          </w:p>
        </w:tc>
        <w:tc>
          <w:tcPr>
            <w:tcW w:w="4431" w:type="dxa"/>
            <w:vMerge w:val="continue"/>
            <w:tcBorders>
              <w:tl2br w:val="nil"/>
              <w:tr2bl w:val="nil"/>
            </w:tcBorders>
            <w:vAlign w:val="center"/>
          </w:tcPr>
          <w:p w14:paraId="465F68EA">
            <w:pPr>
              <w:spacing w:line="240" w:lineRule="exact"/>
              <w:rPr>
                <w:rFonts w:ascii="宋体" w:hAnsi="宋体"/>
                <w:color w:val="000000" w:themeColor="text1"/>
                <w:sz w:val="21"/>
                <w:szCs w:val="21"/>
                <w:highlight w:val="none"/>
                <w14:textFill>
                  <w14:solidFill>
                    <w14:schemeClr w14:val="tx1"/>
                  </w14:solidFill>
                </w14:textFill>
              </w:rPr>
            </w:pPr>
          </w:p>
        </w:tc>
        <w:tc>
          <w:tcPr>
            <w:tcW w:w="1157" w:type="dxa"/>
            <w:tcBorders>
              <w:tl2br w:val="nil"/>
              <w:tr2bl w:val="nil"/>
            </w:tcBorders>
            <w:vAlign w:val="center"/>
          </w:tcPr>
          <w:p w14:paraId="29965903">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记录时间</w:t>
            </w:r>
          </w:p>
        </w:tc>
        <w:tc>
          <w:tcPr>
            <w:tcW w:w="4761" w:type="dxa"/>
            <w:tcBorders>
              <w:tl2br w:val="nil"/>
              <w:tr2bl w:val="nil"/>
            </w:tcBorders>
            <w:vAlign w:val="center"/>
          </w:tcPr>
          <w:p w14:paraId="45B4E539">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计算机硬件信息(网卡MAC地址、CPU序列号、数据存储设备序列号)</w:t>
            </w:r>
          </w:p>
        </w:tc>
        <w:tc>
          <w:tcPr>
            <w:tcW w:w="1071" w:type="dxa"/>
            <w:tcBorders>
              <w:tl2br w:val="nil"/>
              <w:tr2bl w:val="nil"/>
            </w:tcBorders>
            <w:vAlign w:val="center"/>
          </w:tcPr>
          <w:p w14:paraId="11DE17AA">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是否雷同</w:t>
            </w:r>
          </w:p>
        </w:tc>
        <w:tc>
          <w:tcPr>
            <w:tcW w:w="1294" w:type="dxa"/>
            <w:vMerge w:val="continue"/>
            <w:tcBorders>
              <w:tl2br w:val="nil"/>
              <w:tr2bl w:val="nil"/>
            </w:tcBorders>
            <w:vAlign w:val="center"/>
          </w:tcPr>
          <w:p w14:paraId="5723D282">
            <w:pPr>
              <w:spacing w:line="240" w:lineRule="exact"/>
              <w:jc w:val="center"/>
              <w:rPr>
                <w:rFonts w:ascii="宋体" w:hAnsi="宋体"/>
                <w:b/>
                <w:bCs/>
                <w:color w:val="000000" w:themeColor="text1"/>
                <w:sz w:val="21"/>
                <w:szCs w:val="21"/>
                <w:highlight w:val="none"/>
                <w14:textFill>
                  <w14:solidFill>
                    <w14:schemeClr w14:val="tx1"/>
                  </w14:solidFill>
                </w14:textFill>
              </w:rPr>
            </w:pPr>
          </w:p>
        </w:tc>
      </w:tr>
      <w:tr w14:paraId="77F169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42" w:type="dxa"/>
            <w:vMerge w:val="restart"/>
            <w:tcBorders>
              <w:tl2br w:val="nil"/>
              <w:tr2bl w:val="nil"/>
            </w:tcBorders>
          </w:tcPr>
          <w:p w14:paraId="51444DBA">
            <w:pPr>
              <w:pStyle w:val="105"/>
              <w:spacing w:before="3"/>
              <w:jc w:val="center"/>
              <w:rPr>
                <w:color w:val="000000" w:themeColor="text1"/>
                <w:sz w:val="21"/>
                <w:szCs w:val="21"/>
                <w:highlight w:val="none"/>
                <w14:textFill>
                  <w14:solidFill>
                    <w14:schemeClr w14:val="tx1"/>
                  </w14:solidFill>
                </w14:textFill>
              </w:rPr>
            </w:pPr>
          </w:p>
        </w:tc>
        <w:tc>
          <w:tcPr>
            <w:tcW w:w="4431" w:type="dxa"/>
            <w:vMerge w:val="restart"/>
            <w:tcBorders>
              <w:tl2br w:val="nil"/>
              <w:tr2bl w:val="nil"/>
            </w:tcBorders>
          </w:tcPr>
          <w:p w14:paraId="1AFAB5C6">
            <w:pPr>
              <w:pStyle w:val="105"/>
              <w:ind w:right="184"/>
              <w:jc w:val="right"/>
              <w:rPr>
                <w:color w:val="000000" w:themeColor="text1"/>
                <w:sz w:val="21"/>
                <w:szCs w:val="21"/>
                <w:highlight w:val="none"/>
                <w14:textFill>
                  <w14:solidFill>
                    <w14:schemeClr w14:val="tx1"/>
                  </w14:solidFill>
                </w14:textFill>
              </w:rPr>
            </w:pPr>
          </w:p>
        </w:tc>
        <w:tc>
          <w:tcPr>
            <w:tcW w:w="1157" w:type="dxa"/>
            <w:tcBorders>
              <w:tl2br w:val="nil"/>
              <w:tr2bl w:val="nil"/>
            </w:tcBorders>
            <w:vAlign w:val="center"/>
          </w:tcPr>
          <w:p w14:paraId="725941EE">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761" w:type="dxa"/>
            <w:tcBorders>
              <w:tl2br w:val="nil"/>
              <w:tr2bl w:val="nil"/>
            </w:tcBorders>
            <w:vAlign w:val="center"/>
          </w:tcPr>
          <w:p w14:paraId="5CFD23BE">
            <w:pPr>
              <w:spacing w:line="240" w:lineRule="exact"/>
              <w:jc w:val="center"/>
              <w:rPr>
                <w:rFonts w:ascii="宋体" w:hAnsi="宋体"/>
                <w:color w:val="000000" w:themeColor="text1"/>
                <w:sz w:val="21"/>
                <w:szCs w:val="21"/>
                <w:highlight w:val="none"/>
                <w14:textFill>
                  <w14:solidFill>
                    <w14:schemeClr w14:val="tx1"/>
                  </w14:solidFill>
                </w14:textFill>
              </w:rPr>
            </w:pPr>
          </w:p>
        </w:tc>
        <w:tc>
          <w:tcPr>
            <w:tcW w:w="1071" w:type="dxa"/>
            <w:tcBorders>
              <w:tl2br w:val="nil"/>
              <w:tr2bl w:val="nil"/>
            </w:tcBorders>
            <w:vAlign w:val="center"/>
          </w:tcPr>
          <w:p w14:paraId="10AA103C">
            <w:pPr>
              <w:spacing w:line="240" w:lineRule="exact"/>
              <w:jc w:val="center"/>
              <w:rPr>
                <w:rFonts w:ascii="宋体" w:hAnsi="宋体"/>
                <w:color w:val="000000" w:themeColor="text1"/>
                <w:sz w:val="21"/>
                <w:szCs w:val="21"/>
                <w:highlight w:val="none"/>
                <w14:textFill>
                  <w14:solidFill>
                    <w14:schemeClr w14:val="tx1"/>
                  </w14:solidFill>
                </w14:textFill>
              </w:rPr>
            </w:pPr>
          </w:p>
        </w:tc>
        <w:tc>
          <w:tcPr>
            <w:tcW w:w="1294" w:type="dxa"/>
            <w:tcBorders>
              <w:tl2br w:val="nil"/>
              <w:tr2bl w:val="nil"/>
            </w:tcBorders>
            <w:vAlign w:val="center"/>
          </w:tcPr>
          <w:p w14:paraId="178A50BE">
            <w:pPr>
              <w:pStyle w:val="57"/>
              <w:jc w:val="center"/>
              <w:rPr>
                <w:rFonts w:ascii="宋体" w:hAnsi="宋体" w:eastAsia="宋体" w:cs="宋体"/>
                <w:color w:val="000000" w:themeColor="text1"/>
                <w:sz w:val="21"/>
                <w:szCs w:val="21"/>
                <w:highlight w:val="none"/>
                <w14:textFill>
                  <w14:solidFill>
                    <w14:schemeClr w14:val="tx1"/>
                  </w14:solidFill>
                </w14:textFill>
              </w:rPr>
            </w:pPr>
          </w:p>
        </w:tc>
      </w:tr>
      <w:tr w14:paraId="24397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42" w:type="dxa"/>
            <w:vMerge w:val="continue"/>
            <w:tcBorders>
              <w:tl2br w:val="nil"/>
              <w:tr2bl w:val="nil"/>
            </w:tcBorders>
          </w:tcPr>
          <w:p w14:paraId="56775E3C">
            <w:pPr>
              <w:pStyle w:val="105"/>
              <w:spacing w:before="3"/>
              <w:jc w:val="center"/>
              <w:rPr>
                <w:color w:val="000000" w:themeColor="text1"/>
                <w:sz w:val="21"/>
                <w:szCs w:val="21"/>
                <w:highlight w:val="none"/>
                <w14:textFill>
                  <w14:solidFill>
                    <w14:schemeClr w14:val="tx1"/>
                  </w14:solidFill>
                </w14:textFill>
              </w:rPr>
            </w:pPr>
          </w:p>
        </w:tc>
        <w:tc>
          <w:tcPr>
            <w:tcW w:w="4431" w:type="dxa"/>
            <w:vMerge w:val="continue"/>
            <w:tcBorders>
              <w:tl2br w:val="nil"/>
              <w:tr2bl w:val="nil"/>
            </w:tcBorders>
          </w:tcPr>
          <w:p w14:paraId="672339A8">
            <w:pPr>
              <w:pStyle w:val="105"/>
              <w:ind w:right="184"/>
              <w:jc w:val="right"/>
              <w:rPr>
                <w:color w:val="000000" w:themeColor="text1"/>
                <w:sz w:val="21"/>
                <w:szCs w:val="21"/>
                <w:highlight w:val="none"/>
                <w14:textFill>
                  <w14:solidFill>
                    <w14:schemeClr w14:val="tx1"/>
                  </w14:solidFill>
                </w14:textFill>
              </w:rPr>
            </w:pPr>
          </w:p>
        </w:tc>
        <w:tc>
          <w:tcPr>
            <w:tcW w:w="1157" w:type="dxa"/>
            <w:tcBorders>
              <w:tl2br w:val="nil"/>
              <w:tr2bl w:val="nil"/>
            </w:tcBorders>
            <w:vAlign w:val="center"/>
          </w:tcPr>
          <w:p w14:paraId="24AA9589">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761" w:type="dxa"/>
            <w:tcBorders>
              <w:tl2br w:val="nil"/>
              <w:tr2bl w:val="nil"/>
            </w:tcBorders>
            <w:vAlign w:val="center"/>
          </w:tcPr>
          <w:p w14:paraId="4F1D6CB9">
            <w:pPr>
              <w:spacing w:line="240" w:lineRule="exact"/>
              <w:jc w:val="center"/>
              <w:rPr>
                <w:rFonts w:ascii="宋体" w:hAnsi="宋体"/>
                <w:color w:val="000000" w:themeColor="text1"/>
                <w:sz w:val="21"/>
                <w:szCs w:val="21"/>
                <w:highlight w:val="none"/>
                <w14:textFill>
                  <w14:solidFill>
                    <w14:schemeClr w14:val="tx1"/>
                  </w14:solidFill>
                </w14:textFill>
              </w:rPr>
            </w:pPr>
          </w:p>
        </w:tc>
        <w:tc>
          <w:tcPr>
            <w:tcW w:w="1071" w:type="dxa"/>
            <w:tcBorders>
              <w:tl2br w:val="nil"/>
              <w:tr2bl w:val="nil"/>
            </w:tcBorders>
            <w:vAlign w:val="center"/>
          </w:tcPr>
          <w:p w14:paraId="69E292AC">
            <w:pPr>
              <w:spacing w:line="240" w:lineRule="exact"/>
              <w:jc w:val="center"/>
              <w:rPr>
                <w:rFonts w:ascii="宋体" w:hAnsi="宋体"/>
                <w:color w:val="000000" w:themeColor="text1"/>
                <w:sz w:val="21"/>
                <w:szCs w:val="21"/>
                <w:highlight w:val="none"/>
                <w14:textFill>
                  <w14:solidFill>
                    <w14:schemeClr w14:val="tx1"/>
                  </w14:solidFill>
                </w14:textFill>
              </w:rPr>
            </w:pPr>
          </w:p>
        </w:tc>
        <w:tc>
          <w:tcPr>
            <w:tcW w:w="1294" w:type="dxa"/>
            <w:tcBorders>
              <w:tl2br w:val="nil"/>
              <w:tr2bl w:val="nil"/>
            </w:tcBorders>
            <w:vAlign w:val="center"/>
          </w:tcPr>
          <w:p w14:paraId="0F927851">
            <w:pPr>
              <w:pStyle w:val="57"/>
              <w:jc w:val="center"/>
              <w:rPr>
                <w:rFonts w:ascii="宋体" w:hAnsi="宋体" w:eastAsia="宋体" w:cs="宋体"/>
                <w:color w:val="000000" w:themeColor="text1"/>
                <w:sz w:val="21"/>
                <w:szCs w:val="21"/>
                <w:highlight w:val="none"/>
                <w14:textFill>
                  <w14:solidFill>
                    <w14:schemeClr w14:val="tx1"/>
                  </w14:solidFill>
                </w14:textFill>
              </w:rPr>
            </w:pPr>
          </w:p>
        </w:tc>
      </w:tr>
      <w:tr w14:paraId="6DED1F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42" w:type="dxa"/>
            <w:vMerge w:val="restart"/>
            <w:tcBorders>
              <w:tl2br w:val="nil"/>
              <w:tr2bl w:val="nil"/>
            </w:tcBorders>
          </w:tcPr>
          <w:p w14:paraId="2354BF8A">
            <w:pPr>
              <w:pStyle w:val="105"/>
              <w:spacing w:before="3"/>
              <w:jc w:val="center"/>
              <w:rPr>
                <w:color w:val="000000" w:themeColor="text1"/>
                <w:sz w:val="21"/>
                <w:szCs w:val="21"/>
                <w:highlight w:val="none"/>
                <w14:textFill>
                  <w14:solidFill>
                    <w14:schemeClr w14:val="tx1"/>
                  </w14:solidFill>
                </w14:textFill>
              </w:rPr>
            </w:pPr>
          </w:p>
        </w:tc>
        <w:tc>
          <w:tcPr>
            <w:tcW w:w="4431" w:type="dxa"/>
            <w:vMerge w:val="restart"/>
            <w:tcBorders>
              <w:tl2br w:val="nil"/>
              <w:tr2bl w:val="nil"/>
            </w:tcBorders>
          </w:tcPr>
          <w:p w14:paraId="7DE8E1A8">
            <w:pPr>
              <w:pStyle w:val="105"/>
              <w:spacing w:before="3"/>
              <w:rPr>
                <w:color w:val="000000" w:themeColor="text1"/>
                <w:sz w:val="21"/>
                <w:szCs w:val="21"/>
                <w:highlight w:val="none"/>
                <w14:textFill>
                  <w14:solidFill>
                    <w14:schemeClr w14:val="tx1"/>
                  </w14:solidFill>
                </w14:textFill>
              </w:rPr>
            </w:pPr>
          </w:p>
        </w:tc>
        <w:tc>
          <w:tcPr>
            <w:tcW w:w="1157" w:type="dxa"/>
            <w:tcBorders>
              <w:tl2br w:val="nil"/>
              <w:tr2bl w:val="nil"/>
            </w:tcBorders>
            <w:vAlign w:val="center"/>
          </w:tcPr>
          <w:p w14:paraId="76263A19">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4761" w:type="dxa"/>
            <w:tcBorders>
              <w:tl2br w:val="nil"/>
              <w:tr2bl w:val="nil"/>
            </w:tcBorders>
            <w:vAlign w:val="center"/>
          </w:tcPr>
          <w:p w14:paraId="383B5038">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071" w:type="dxa"/>
            <w:tcBorders>
              <w:tl2br w:val="nil"/>
              <w:tr2bl w:val="nil"/>
            </w:tcBorders>
            <w:vAlign w:val="center"/>
          </w:tcPr>
          <w:p w14:paraId="45C7F667">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294" w:type="dxa"/>
            <w:tcBorders>
              <w:tl2br w:val="nil"/>
              <w:tr2bl w:val="nil"/>
            </w:tcBorders>
            <w:vAlign w:val="center"/>
          </w:tcPr>
          <w:p w14:paraId="54AE48BB">
            <w:pPr>
              <w:pStyle w:val="57"/>
              <w:jc w:val="center"/>
              <w:rPr>
                <w:rFonts w:ascii="宋体" w:hAnsi="宋体" w:eastAsia="宋体" w:cs="宋体"/>
                <w:color w:val="000000" w:themeColor="text1"/>
                <w:sz w:val="21"/>
                <w:szCs w:val="21"/>
                <w:highlight w:val="none"/>
                <w14:textFill>
                  <w14:solidFill>
                    <w14:schemeClr w14:val="tx1"/>
                  </w14:solidFill>
                </w14:textFill>
              </w:rPr>
            </w:pPr>
          </w:p>
        </w:tc>
      </w:tr>
      <w:tr w14:paraId="0091B2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42" w:type="dxa"/>
            <w:vMerge w:val="continue"/>
            <w:tcBorders>
              <w:tl2br w:val="nil"/>
              <w:tr2bl w:val="nil"/>
            </w:tcBorders>
          </w:tcPr>
          <w:p w14:paraId="20B49233">
            <w:pPr>
              <w:pStyle w:val="105"/>
              <w:spacing w:before="3"/>
              <w:rPr>
                <w:color w:val="000000" w:themeColor="text1"/>
                <w:sz w:val="21"/>
                <w:szCs w:val="21"/>
                <w:highlight w:val="none"/>
                <w14:textFill>
                  <w14:solidFill>
                    <w14:schemeClr w14:val="tx1"/>
                  </w14:solidFill>
                </w14:textFill>
              </w:rPr>
            </w:pPr>
          </w:p>
        </w:tc>
        <w:tc>
          <w:tcPr>
            <w:tcW w:w="4431" w:type="dxa"/>
            <w:vMerge w:val="continue"/>
            <w:tcBorders>
              <w:tl2br w:val="nil"/>
              <w:tr2bl w:val="nil"/>
            </w:tcBorders>
          </w:tcPr>
          <w:p w14:paraId="31D0FC17">
            <w:pPr>
              <w:pStyle w:val="105"/>
              <w:spacing w:before="3"/>
              <w:rPr>
                <w:color w:val="000000" w:themeColor="text1"/>
                <w:sz w:val="21"/>
                <w:szCs w:val="21"/>
                <w:highlight w:val="none"/>
                <w14:textFill>
                  <w14:solidFill>
                    <w14:schemeClr w14:val="tx1"/>
                  </w14:solidFill>
                </w14:textFill>
              </w:rPr>
            </w:pPr>
          </w:p>
        </w:tc>
        <w:tc>
          <w:tcPr>
            <w:tcW w:w="1157" w:type="dxa"/>
            <w:tcBorders>
              <w:tl2br w:val="nil"/>
              <w:tr2bl w:val="nil"/>
            </w:tcBorders>
            <w:vAlign w:val="center"/>
          </w:tcPr>
          <w:p w14:paraId="06E59FE3">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4761" w:type="dxa"/>
            <w:tcBorders>
              <w:tl2br w:val="nil"/>
              <w:tr2bl w:val="nil"/>
            </w:tcBorders>
            <w:vAlign w:val="center"/>
          </w:tcPr>
          <w:p w14:paraId="0ECB7891">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071" w:type="dxa"/>
            <w:tcBorders>
              <w:tl2br w:val="nil"/>
              <w:tr2bl w:val="nil"/>
            </w:tcBorders>
            <w:vAlign w:val="center"/>
          </w:tcPr>
          <w:p w14:paraId="5122F49D">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294" w:type="dxa"/>
            <w:tcBorders>
              <w:tl2br w:val="nil"/>
              <w:tr2bl w:val="nil"/>
            </w:tcBorders>
            <w:vAlign w:val="center"/>
          </w:tcPr>
          <w:p w14:paraId="483E41AE">
            <w:pPr>
              <w:pStyle w:val="57"/>
              <w:jc w:val="center"/>
              <w:rPr>
                <w:rFonts w:ascii="宋体" w:hAnsi="宋体" w:eastAsia="宋体" w:cs="宋体"/>
                <w:color w:val="000000" w:themeColor="text1"/>
                <w:sz w:val="21"/>
                <w:szCs w:val="21"/>
                <w:highlight w:val="none"/>
                <w14:textFill>
                  <w14:solidFill>
                    <w14:schemeClr w14:val="tx1"/>
                  </w14:solidFill>
                </w14:textFill>
              </w:rPr>
            </w:pPr>
          </w:p>
        </w:tc>
      </w:tr>
      <w:tr w14:paraId="642519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42" w:type="dxa"/>
            <w:tcBorders>
              <w:tl2br w:val="nil"/>
              <w:tr2bl w:val="nil"/>
            </w:tcBorders>
          </w:tcPr>
          <w:p w14:paraId="4C7E0A0B">
            <w:pPr>
              <w:pStyle w:val="105"/>
              <w:spacing w:before="3"/>
              <w:rPr>
                <w:color w:val="000000" w:themeColor="text1"/>
                <w:sz w:val="21"/>
                <w:szCs w:val="21"/>
                <w:highlight w:val="none"/>
                <w14:textFill>
                  <w14:solidFill>
                    <w14:schemeClr w14:val="tx1"/>
                  </w14:solidFill>
                </w14:textFill>
              </w:rPr>
            </w:pPr>
          </w:p>
        </w:tc>
        <w:tc>
          <w:tcPr>
            <w:tcW w:w="4431" w:type="dxa"/>
            <w:tcBorders>
              <w:tl2br w:val="nil"/>
              <w:tr2bl w:val="nil"/>
            </w:tcBorders>
          </w:tcPr>
          <w:p w14:paraId="316AB2D9">
            <w:pPr>
              <w:pStyle w:val="105"/>
              <w:spacing w:before="3"/>
              <w:rPr>
                <w:color w:val="000000" w:themeColor="text1"/>
                <w:sz w:val="21"/>
                <w:szCs w:val="21"/>
                <w:highlight w:val="none"/>
                <w14:textFill>
                  <w14:solidFill>
                    <w14:schemeClr w14:val="tx1"/>
                  </w14:solidFill>
                </w14:textFill>
              </w:rPr>
            </w:pPr>
          </w:p>
        </w:tc>
        <w:tc>
          <w:tcPr>
            <w:tcW w:w="1157" w:type="dxa"/>
            <w:tcBorders>
              <w:tl2br w:val="nil"/>
              <w:tr2bl w:val="nil"/>
            </w:tcBorders>
            <w:vAlign w:val="center"/>
          </w:tcPr>
          <w:p w14:paraId="20D4902E">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4761" w:type="dxa"/>
            <w:tcBorders>
              <w:tl2br w:val="nil"/>
              <w:tr2bl w:val="nil"/>
            </w:tcBorders>
            <w:vAlign w:val="center"/>
          </w:tcPr>
          <w:p w14:paraId="59091F95">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071" w:type="dxa"/>
            <w:tcBorders>
              <w:tl2br w:val="nil"/>
              <w:tr2bl w:val="nil"/>
            </w:tcBorders>
            <w:vAlign w:val="center"/>
          </w:tcPr>
          <w:p w14:paraId="4B0110FD">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294" w:type="dxa"/>
            <w:tcBorders>
              <w:tl2br w:val="nil"/>
              <w:tr2bl w:val="nil"/>
            </w:tcBorders>
            <w:vAlign w:val="center"/>
          </w:tcPr>
          <w:p w14:paraId="0CE85EEA">
            <w:pPr>
              <w:pStyle w:val="57"/>
              <w:jc w:val="center"/>
              <w:rPr>
                <w:rFonts w:ascii="宋体" w:hAnsi="宋体" w:eastAsia="宋体" w:cs="宋体"/>
                <w:color w:val="000000" w:themeColor="text1"/>
                <w:sz w:val="21"/>
                <w:szCs w:val="21"/>
                <w:highlight w:val="none"/>
                <w14:textFill>
                  <w14:solidFill>
                    <w14:schemeClr w14:val="tx1"/>
                  </w14:solidFill>
                </w14:textFill>
              </w:rPr>
            </w:pPr>
          </w:p>
        </w:tc>
      </w:tr>
      <w:tr w14:paraId="796D63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42" w:type="dxa"/>
            <w:tcBorders>
              <w:tl2br w:val="nil"/>
              <w:tr2bl w:val="nil"/>
            </w:tcBorders>
          </w:tcPr>
          <w:p w14:paraId="6357DD7F">
            <w:pPr>
              <w:pStyle w:val="105"/>
              <w:spacing w:before="3"/>
              <w:rPr>
                <w:color w:val="000000" w:themeColor="text1"/>
                <w:sz w:val="21"/>
                <w:szCs w:val="21"/>
                <w:highlight w:val="none"/>
                <w14:textFill>
                  <w14:solidFill>
                    <w14:schemeClr w14:val="tx1"/>
                  </w14:solidFill>
                </w14:textFill>
              </w:rPr>
            </w:pPr>
          </w:p>
        </w:tc>
        <w:tc>
          <w:tcPr>
            <w:tcW w:w="4431" w:type="dxa"/>
            <w:tcBorders>
              <w:tl2br w:val="nil"/>
              <w:tr2bl w:val="nil"/>
            </w:tcBorders>
          </w:tcPr>
          <w:p w14:paraId="49D33179">
            <w:pPr>
              <w:pStyle w:val="105"/>
              <w:spacing w:before="3"/>
              <w:rPr>
                <w:color w:val="000000" w:themeColor="text1"/>
                <w:sz w:val="21"/>
                <w:szCs w:val="21"/>
                <w:highlight w:val="none"/>
                <w14:textFill>
                  <w14:solidFill>
                    <w14:schemeClr w14:val="tx1"/>
                  </w14:solidFill>
                </w14:textFill>
              </w:rPr>
            </w:pPr>
          </w:p>
        </w:tc>
        <w:tc>
          <w:tcPr>
            <w:tcW w:w="1157" w:type="dxa"/>
            <w:tcBorders>
              <w:tl2br w:val="nil"/>
              <w:tr2bl w:val="nil"/>
            </w:tcBorders>
            <w:vAlign w:val="center"/>
          </w:tcPr>
          <w:p w14:paraId="446DD4CC">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4761" w:type="dxa"/>
            <w:tcBorders>
              <w:tl2br w:val="nil"/>
              <w:tr2bl w:val="nil"/>
            </w:tcBorders>
            <w:vAlign w:val="center"/>
          </w:tcPr>
          <w:p w14:paraId="4DDCF765">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071" w:type="dxa"/>
            <w:tcBorders>
              <w:tl2br w:val="nil"/>
              <w:tr2bl w:val="nil"/>
            </w:tcBorders>
            <w:vAlign w:val="center"/>
          </w:tcPr>
          <w:p w14:paraId="62280DB8">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294" w:type="dxa"/>
            <w:tcBorders>
              <w:tl2br w:val="nil"/>
              <w:tr2bl w:val="nil"/>
            </w:tcBorders>
            <w:vAlign w:val="center"/>
          </w:tcPr>
          <w:p w14:paraId="7C6B0120">
            <w:pPr>
              <w:pStyle w:val="57"/>
              <w:jc w:val="center"/>
              <w:rPr>
                <w:rFonts w:ascii="宋体" w:hAnsi="宋体" w:eastAsia="宋体" w:cs="宋体"/>
                <w:color w:val="000000" w:themeColor="text1"/>
                <w:sz w:val="21"/>
                <w:szCs w:val="21"/>
                <w:highlight w:val="none"/>
                <w14:textFill>
                  <w14:solidFill>
                    <w14:schemeClr w14:val="tx1"/>
                  </w14:solidFill>
                </w14:textFill>
              </w:rPr>
            </w:pPr>
          </w:p>
        </w:tc>
      </w:tr>
    </w:tbl>
    <w:p w14:paraId="6F28E7ED">
      <w:pPr>
        <w:ind w:firstLine="840" w:firstLineChars="400"/>
        <w:rPr>
          <w:color w:val="000000" w:themeColor="text1"/>
          <w:sz w:val="21"/>
          <w:szCs w:val="21"/>
          <w:highlight w:val="none"/>
          <w14:textFill>
            <w14:solidFill>
              <w14:schemeClr w14:val="tx1"/>
            </w14:solidFill>
          </w14:textFill>
        </w:rPr>
      </w:pPr>
    </w:p>
    <w:p w14:paraId="7085E1BC">
      <w:pPr>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招标人盖章或签字：                          招标代理机构盖章或签字：                   监标人（公证机构）盖章或签字：</w:t>
      </w:r>
    </w:p>
    <w:p w14:paraId="41474BE1">
      <w:pPr>
        <w:rPr>
          <w:color w:val="000000" w:themeColor="text1"/>
          <w:highlight w:val="none"/>
          <w14:textFill>
            <w14:solidFill>
              <w14:schemeClr w14:val="tx1"/>
            </w14:solidFill>
          </w14:textFill>
        </w:rPr>
      </w:pPr>
    </w:p>
    <w:p w14:paraId="075CBD74">
      <w:pPr>
        <w:rPr>
          <w:color w:val="000000" w:themeColor="text1"/>
          <w:highlight w:val="none"/>
          <w14:textFill>
            <w14:solidFill>
              <w14:schemeClr w14:val="tx1"/>
            </w14:solidFill>
          </w14:textFill>
        </w:rPr>
      </w:pPr>
    </w:p>
    <w:p w14:paraId="36CA9112">
      <w:pPr>
        <w:rPr>
          <w:color w:val="000000" w:themeColor="text1"/>
          <w:highlight w:val="none"/>
          <w14:textFill>
            <w14:solidFill>
              <w14:schemeClr w14:val="tx1"/>
            </w14:solidFill>
          </w14:textFill>
        </w:rPr>
        <w:sectPr>
          <w:footnotePr>
            <w:numFmt w:val="decimalEnclosedCircleChinese"/>
            <w:numRestart w:val="eachPage"/>
          </w:footnotePr>
          <w:pgSz w:w="16838" w:h="11906" w:orient="landscape"/>
          <w:pgMar w:top="1418" w:right="1276" w:bottom="1559" w:left="1559" w:header="851" w:footer="992" w:gutter="0"/>
          <w:pgBorders>
            <w:top w:val="none" w:sz="0" w:space="0"/>
            <w:left w:val="none" w:sz="0" w:space="0"/>
            <w:bottom w:val="none" w:sz="0" w:space="0"/>
            <w:right w:val="none" w:sz="0" w:space="0"/>
          </w:pgBorders>
          <w:cols w:space="720" w:num="1"/>
          <w:docGrid w:type="lines" w:linePitch="312" w:charSpace="0"/>
        </w:sectPr>
      </w:pPr>
    </w:p>
    <w:bookmarkEnd w:id="386"/>
    <w:bookmarkEnd w:id="387"/>
    <w:bookmarkEnd w:id="388"/>
    <w:p w14:paraId="6B7319B3">
      <w:pPr>
        <w:pStyle w:val="13"/>
        <w:keepNext w:val="0"/>
        <w:keepLines w:val="0"/>
        <w:pageBreakBefore w:val="0"/>
        <w:widowControl w:val="0"/>
        <w:tabs>
          <w:tab w:val="left" w:pos="510"/>
          <w:tab w:val="left" w:pos="1000"/>
        </w:tabs>
        <w:kinsoku/>
        <w:wordWrap/>
        <w:overflowPunct/>
        <w:topLinePunct w:val="0"/>
        <w:autoSpaceDE/>
        <w:autoSpaceDN/>
        <w:bidi w:val="0"/>
        <w:adjustRightInd w:val="0"/>
        <w:snapToGrid w:val="0"/>
        <w:spacing w:line="420" w:lineRule="atLeast"/>
        <w:ind w:firstLine="0"/>
        <w:jc w:val="left"/>
        <w:textAlignment w:val="baseline"/>
        <w:outlineLvl w:val="2"/>
        <w:rPr>
          <w:rFonts w:ascii="黑体" w:hAnsi="黑体" w:eastAsia="黑体" w:cs="Times New Roman"/>
          <w:color w:val="000000" w:themeColor="text1"/>
          <w:szCs w:val="21"/>
          <w:highlight w:val="none"/>
          <w14:textFill>
            <w14:solidFill>
              <w14:schemeClr w14:val="tx1"/>
            </w14:solidFill>
          </w14:textFill>
        </w:rPr>
      </w:pPr>
      <w:bookmarkStart w:id="392" w:name="_Toc822"/>
      <w:bookmarkStart w:id="393" w:name="_Toc6719"/>
      <w:bookmarkStart w:id="394" w:name="_Toc15764"/>
      <w:bookmarkStart w:id="395" w:name="_Toc30943"/>
      <w:bookmarkStart w:id="396" w:name="_Toc4175"/>
      <w:bookmarkStart w:id="397" w:name="_Toc244"/>
      <w:bookmarkStart w:id="398" w:name="_Toc16970"/>
      <w:bookmarkStart w:id="399" w:name="_Toc30040"/>
      <w:r>
        <w:rPr>
          <w:rFonts w:hint="eastAsia" w:ascii="黑体" w:hAnsi="黑体" w:eastAsia="黑体" w:cs="Times New Roman"/>
          <w:color w:val="000000" w:themeColor="text1"/>
          <w:szCs w:val="21"/>
          <w:highlight w:val="none"/>
          <w14:textFill>
            <w14:solidFill>
              <w14:schemeClr w14:val="tx1"/>
            </w14:solidFill>
          </w14:textFill>
        </w:rPr>
        <w:t>附件2-</w:t>
      </w:r>
      <w:r>
        <w:rPr>
          <w:rFonts w:hint="eastAsia" w:ascii="黑体" w:hAnsi="黑体" w:eastAsia="黑体" w:cs="Times New Roman"/>
          <w:color w:val="000000" w:themeColor="text1"/>
          <w:szCs w:val="21"/>
          <w:highlight w:val="none"/>
          <w:lang w:val="en-US" w:eastAsia="zh-CN"/>
          <w14:textFill>
            <w14:solidFill>
              <w14:schemeClr w14:val="tx1"/>
            </w14:solidFill>
          </w14:textFill>
        </w:rPr>
        <w:t>2</w:t>
      </w:r>
      <w:r>
        <w:rPr>
          <w:rFonts w:hint="eastAsia" w:ascii="黑体" w:hAnsi="黑体" w:eastAsia="黑体" w:cs="Times New Roman"/>
          <w:color w:val="000000" w:themeColor="text1"/>
          <w:szCs w:val="21"/>
          <w:highlight w:val="none"/>
          <w14:textFill>
            <w14:solidFill>
              <w14:schemeClr w14:val="tx1"/>
            </w14:solidFill>
          </w14:textFill>
        </w:rPr>
        <w:t>：</w:t>
      </w:r>
      <w:r>
        <w:rPr>
          <w:rFonts w:hint="eastAsia" w:ascii="黑体" w:hAnsi="黑体" w:eastAsia="黑体" w:cs="Times New Roman"/>
          <w:color w:val="000000" w:themeColor="text1"/>
          <w:szCs w:val="21"/>
          <w:highlight w:val="none"/>
          <w:lang w:eastAsia="zh-CN"/>
          <w14:textFill>
            <w14:solidFill>
              <w14:schemeClr w14:val="tx1"/>
            </w14:solidFill>
          </w14:textFill>
        </w:rPr>
        <w:t>中标</w:t>
      </w:r>
      <w:r>
        <w:rPr>
          <w:rFonts w:hint="eastAsia" w:ascii="黑体" w:hAnsi="黑体" w:eastAsia="黑体" w:cs="Times New Roman"/>
          <w:color w:val="000000" w:themeColor="text1"/>
          <w:szCs w:val="21"/>
          <w:highlight w:val="none"/>
          <w14:textFill>
            <w14:solidFill>
              <w14:schemeClr w14:val="tx1"/>
            </w14:solidFill>
          </w14:textFill>
        </w:rPr>
        <w:t>候选人公示（格式）</w:t>
      </w:r>
      <w:bookmarkEnd w:id="392"/>
      <w:bookmarkEnd w:id="393"/>
      <w:bookmarkEnd w:id="394"/>
      <w:bookmarkEnd w:id="395"/>
      <w:bookmarkEnd w:id="396"/>
      <w:bookmarkEnd w:id="397"/>
      <w:bookmarkEnd w:id="398"/>
      <w:bookmarkEnd w:id="399"/>
    </w:p>
    <w:p w14:paraId="252A9609">
      <w:pPr>
        <w:jc w:val="center"/>
        <w:rPr>
          <w:rFonts w:ascii="黑体" w:hAnsi="黑体" w:eastAsia="黑体" w:cs="Times New Roman"/>
          <w:b/>
          <w:color w:val="000000" w:themeColor="text1"/>
          <w:sz w:val="28"/>
          <w:szCs w:val="28"/>
          <w:highlight w:val="none"/>
          <w14:textFill>
            <w14:solidFill>
              <w14:schemeClr w14:val="tx1"/>
            </w14:solidFill>
          </w14:textFill>
        </w:rPr>
      </w:pPr>
      <w:r>
        <w:rPr>
          <w:rFonts w:hint="eastAsia" w:ascii="黑体" w:hAnsi="黑体" w:eastAsia="黑体" w:cs="Times New Roman"/>
          <w:b/>
          <w:color w:val="000000" w:themeColor="text1"/>
          <w:sz w:val="28"/>
          <w:szCs w:val="28"/>
          <w:highlight w:val="none"/>
          <w:lang w:eastAsia="zh-CN"/>
          <w14:textFill>
            <w14:solidFill>
              <w14:schemeClr w14:val="tx1"/>
            </w14:solidFill>
          </w14:textFill>
        </w:rPr>
        <w:t>中标</w:t>
      </w:r>
      <w:r>
        <w:rPr>
          <w:rFonts w:hint="eastAsia" w:ascii="黑体" w:hAnsi="黑体" w:eastAsia="黑体" w:cs="Times New Roman"/>
          <w:b/>
          <w:color w:val="000000" w:themeColor="text1"/>
          <w:sz w:val="28"/>
          <w:szCs w:val="28"/>
          <w:highlight w:val="none"/>
          <w14:textFill>
            <w14:solidFill>
              <w14:schemeClr w14:val="tx1"/>
            </w14:solidFill>
          </w14:textFill>
        </w:rPr>
        <w:t>候选人公示</w:t>
      </w:r>
      <w:r>
        <w:rPr>
          <w:rFonts w:ascii="黑体" w:hAnsi="黑体" w:eastAsia="黑体" w:cs="Times New Roman"/>
          <w:b/>
          <w:color w:val="000000" w:themeColor="text1"/>
          <w:sz w:val="28"/>
          <w:szCs w:val="28"/>
          <w:highlight w:val="none"/>
          <w14:textFill>
            <w14:solidFill>
              <w14:schemeClr w14:val="tx1"/>
            </w14:solidFill>
          </w14:textFill>
        </w:rPr>
        <w:t xml:space="preserve"> </w:t>
      </w:r>
    </w:p>
    <w:p w14:paraId="116719D6">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招标编号为</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的</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工程建设项目，该工程设计</w:t>
      </w:r>
      <w:r>
        <w:rPr>
          <w:rFonts w:hint="eastAsia" w:ascii="宋体" w:hAnsi="宋体" w:eastAsia="宋体" w:cs="Times New Roman"/>
          <w:color w:val="000000" w:themeColor="text1"/>
          <w:sz w:val="21"/>
          <w:szCs w:val="21"/>
          <w:highlight w:val="none"/>
          <w14:textFill>
            <w14:solidFill>
              <w14:schemeClr w14:val="tx1"/>
            </w14:solidFill>
          </w14:textFill>
        </w:rPr>
        <w:t>（勘察）</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招标于</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月</w:t>
      </w:r>
    </w:p>
    <w:p w14:paraId="60BAD974">
      <w:pPr>
        <w:spacing w:line="360" w:lineRule="auto"/>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日依法公开开标后，评标委员会按照招标文件规定的评标标准和方法进行了评审，</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清标小组、定标委员会按照定标方案规定方法、规则、标准和程序完成了清标和定标工作。招标人</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根据评标报告</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清标报告以及定标报告</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，现将</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评标结果、定标结果以及有关情况</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公示如下：</w:t>
      </w:r>
      <w:r>
        <w:rPr>
          <w:rFonts w:cs="Times New Roman" w:asciiTheme="minorEastAsia" w:hAnsiTheme="minorEastAsia" w:eastAsiaTheme="minorEastAsia"/>
          <w:color w:val="000000" w:themeColor="text1"/>
          <w:sz w:val="21"/>
          <w:szCs w:val="21"/>
          <w:highlight w:val="none"/>
          <w14:textFill>
            <w14:solidFill>
              <w14:schemeClr w14:val="tx1"/>
            </w14:solidFill>
          </w14:textFill>
        </w:rPr>
        <w:t xml:space="preserve"> </w:t>
      </w:r>
    </w:p>
    <w:p w14:paraId="7301711B">
      <w:pPr>
        <w:numPr>
          <w:ilvl w:val="0"/>
          <w:numId w:val="0"/>
        </w:numPr>
        <w:adjustRightInd/>
        <w:spacing w:line="360" w:lineRule="auto"/>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一</w:t>
      </w:r>
      <w:r>
        <w:rPr>
          <w:rFonts w:hint="eastAsia" w:ascii="宋体" w:hAnsi="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评标结果</w:t>
      </w:r>
    </w:p>
    <w:p w14:paraId="2CC48C58">
      <w:pPr>
        <w:adjustRightInd/>
        <w:spacing w:line="360" w:lineRule="auto"/>
        <w:ind w:firstLine="426"/>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1.1资格审查不合格结论情况表</w:t>
      </w:r>
    </w:p>
    <w:tbl>
      <w:tblPr>
        <w:tblStyle w:val="41"/>
        <w:tblW w:w="9180" w:type="dxa"/>
        <w:tblInd w:w="108" w:type="dxa"/>
        <w:tblLayout w:type="fixed"/>
        <w:tblCellMar>
          <w:top w:w="0" w:type="dxa"/>
          <w:left w:w="108" w:type="dxa"/>
          <w:bottom w:w="0" w:type="dxa"/>
          <w:right w:w="108" w:type="dxa"/>
        </w:tblCellMar>
      </w:tblPr>
      <w:tblGrid>
        <w:gridCol w:w="885"/>
        <w:gridCol w:w="3323"/>
        <w:gridCol w:w="4972"/>
      </w:tblGrid>
      <w:tr w14:paraId="1AF2EA98">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1483B498">
            <w:pPr>
              <w:adjustRightInd w:val="0"/>
              <w:snapToGrid w:val="0"/>
              <w:spacing w:line="240" w:lineRule="atLeast"/>
              <w:jc w:val="center"/>
              <w:textAlignment w:val="auto"/>
              <w:rPr>
                <w:rFonts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3323" w:type="dxa"/>
            <w:tcBorders>
              <w:top w:val="single" w:color="auto" w:sz="4" w:space="0"/>
              <w:left w:val="nil"/>
              <w:bottom w:val="single" w:color="auto" w:sz="4" w:space="0"/>
              <w:right w:val="single" w:color="auto" w:sz="4" w:space="0"/>
            </w:tcBorders>
            <w:vAlign w:val="center"/>
          </w:tcPr>
          <w:p w14:paraId="4EC3AE2A">
            <w:pPr>
              <w:adjustRightInd w:val="0"/>
              <w:snapToGrid w:val="0"/>
              <w:spacing w:line="240" w:lineRule="atLeast"/>
              <w:jc w:val="center"/>
              <w:textAlignment w:val="auto"/>
              <w:rPr>
                <w:rFonts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投标人名称</w:t>
            </w:r>
          </w:p>
        </w:tc>
        <w:tc>
          <w:tcPr>
            <w:tcW w:w="4972" w:type="dxa"/>
            <w:tcBorders>
              <w:top w:val="single" w:color="auto" w:sz="4" w:space="0"/>
              <w:left w:val="nil"/>
              <w:bottom w:val="single" w:color="auto" w:sz="4" w:space="0"/>
              <w:right w:val="single" w:color="auto" w:sz="4" w:space="0"/>
            </w:tcBorders>
            <w:vAlign w:val="center"/>
          </w:tcPr>
          <w:p w14:paraId="51C75471">
            <w:pPr>
              <w:adjustRightInd w:val="0"/>
              <w:snapToGrid w:val="0"/>
              <w:spacing w:line="240" w:lineRule="atLeast"/>
              <w:jc w:val="center"/>
              <w:textAlignment w:val="auto"/>
              <w:rPr>
                <w:rFonts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资格审查</w:t>
            </w:r>
            <w:r>
              <w:rPr>
                <w:rFonts w:hint="eastAsia" w:ascii="宋体" w:hAnsi="Times New Roman"/>
                <w:color w:val="000000" w:themeColor="text1"/>
                <w:sz w:val="21"/>
                <w:szCs w:val="21"/>
                <w:highlight w:val="none"/>
                <w:lang w:val="en-US" w:eastAsia="zh-CN"/>
                <w14:textFill>
                  <w14:solidFill>
                    <w14:schemeClr w14:val="tx1"/>
                  </w14:solidFill>
                </w14:textFill>
              </w:rPr>
              <w:t>不合格原因及依据</w:t>
            </w:r>
          </w:p>
        </w:tc>
      </w:tr>
      <w:tr w14:paraId="0F97A3B4">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2757522D">
            <w:pPr>
              <w:adjustRightInd w:val="0"/>
              <w:snapToGrid w:val="0"/>
              <w:spacing w:line="240" w:lineRule="atLeast"/>
              <w:jc w:val="center"/>
              <w:textAlignment w:val="auto"/>
              <w:rPr>
                <w:rFonts w:ascii="宋体" w:hAnsi="Times New Roman"/>
                <w:color w:val="000000" w:themeColor="text1"/>
                <w:sz w:val="21"/>
                <w:szCs w:val="21"/>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14:paraId="4D7949AE">
            <w:pPr>
              <w:adjustRightInd w:val="0"/>
              <w:snapToGrid w:val="0"/>
              <w:spacing w:line="360" w:lineRule="auto"/>
              <w:jc w:val="center"/>
              <w:textAlignment w:val="auto"/>
              <w:rPr>
                <w:rFonts w:ascii="宋体" w:hAnsi="Times New Roman"/>
                <w:color w:val="000000" w:themeColor="text1"/>
                <w:sz w:val="21"/>
                <w:szCs w:val="21"/>
                <w:highlight w:val="none"/>
                <w14:textFill>
                  <w14:solidFill>
                    <w14:schemeClr w14:val="tx1"/>
                  </w14:solidFill>
                </w14:textFill>
              </w:rPr>
            </w:pPr>
          </w:p>
        </w:tc>
        <w:tc>
          <w:tcPr>
            <w:tcW w:w="4972" w:type="dxa"/>
            <w:tcBorders>
              <w:top w:val="single" w:color="auto" w:sz="4" w:space="0"/>
              <w:left w:val="nil"/>
              <w:bottom w:val="single" w:color="auto" w:sz="4" w:space="0"/>
              <w:right w:val="single" w:color="auto" w:sz="4" w:space="0"/>
            </w:tcBorders>
            <w:vAlign w:val="center"/>
          </w:tcPr>
          <w:p w14:paraId="44C0C576">
            <w:pPr>
              <w:adjustRightInd w:val="0"/>
              <w:snapToGrid w:val="0"/>
              <w:spacing w:line="360" w:lineRule="auto"/>
              <w:jc w:val="center"/>
              <w:textAlignment w:val="auto"/>
              <w:rPr>
                <w:rFonts w:ascii="宋体" w:hAnsi="Times New Roman"/>
                <w:color w:val="000000" w:themeColor="text1"/>
                <w:sz w:val="21"/>
                <w:szCs w:val="21"/>
                <w:highlight w:val="none"/>
                <w14:textFill>
                  <w14:solidFill>
                    <w14:schemeClr w14:val="tx1"/>
                  </w14:solidFill>
                </w14:textFill>
              </w:rPr>
            </w:pPr>
          </w:p>
        </w:tc>
      </w:tr>
      <w:tr w14:paraId="44711AAB">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25BF80CF">
            <w:pPr>
              <w:adjustRightInd w:val="0"/>
              <w:snapToGrid w:val="0"/>
              <w:spacing w:line="240" w:lineRule="atLeast"/>
              <w:jc w:val="center"/>
              <w:textAlignment w:val="auto"/>
              <w:rPr>
                <w:rFonts w:hint="eastAsia" w:ascii="宋体" w:hAnsi="Times New Roman" w:eastAsia="宋体"/>
                <w:color w:val="000000" w:themeColor="text1"/>
                <w:sz w:val="21"/>
                <w:szCs w:val="21"/>
                <w:highlight w:val="none"/>
                <w:lang w:eastAsia="zh-CN"/>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14:paraId="5994FB80">
            <w:pPr>
              <w:adjustRightInd w:val="0"/>
              <w:snapToGrid w:val="0"/>
              <w:spacing w:line="360" w:lineRule="auto"/>
              <w:jc w:val="center"/>
              <w:textAlignment w:val="auto"/>
              <w:rPr>
                <w:rFonts w:hint="eastAsia" w:ascii="宋体" w:hAnsi="Times New Roman" w:eastAsia="宋体"/>
                <w:color w:val="000000" w:themeColor="text1"/>
                <w:sz w:val="21"/>
                <w:szCs w:val="21"/>
                <w:highlight w:val="none"/>
                <w:lang w:eastAsia="zh-CN"/>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4972" w:type="dxa"/>
            <w:tcBorders>
              <w:top w:val="single" w:color="auto" w:sz="4" w:space="0"/>
              <w:left w:val="nil"/>
              <w:bottom w:val="single" w:color="auto" w:sz="4" w:space="0"/>
              <w:right w:val="single" w:color="auto" w:sz="4" w:space="0"/>
            </w:tcBorders>
            <w:vAlign w:val="center"/>
          </w:tcPr>
          <w:p w14:paraId="45206A7F">
            <w:pPr>
              <w:adjustRightInd w:val="0"/>
              <w:snapToGrid w:val="0"/>
              <w:spacing w:line="360" w:lineRule="auto"/>
              <w:jc w:val="center"/>
              <w:textAlignment w:val="auto"/>
              <w:rPr>
                <w:rFonts w:hint="eastAsia" w:ascii="宋体" w:hAnsi="Times New Roman" w:eastAsia="宋体"/>
                <w:color w:val="000000" w:themeColor="text1"/>
                <w:sz w:val="21"/>
                <w:szCs w:val="21"/>
                <w:highlight w:val="none"/>
                <w:lang w:eastAsia="zh-CN"/>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r>
    </w:tbl>
    <w:p w14:paraId="1712292A">
      <w:pPr>
        <w:adjustRightInd/>
        <w:spacing w:line="312" w:lineRule="auto"/>
        <w:ind w:left="42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2未入围投标人名单</w:t>
      </w:r>
    </w:p>
    <w:tbl>
      <w:tblPr>
        <w:tblStyle w:val="41"/>
        <w:tblW w:w="9203" w:type="dxa"/>
        <w:tblInd w:w="108" w:type="dxa"/>
        <w:tblLayout w:type="fixed"/>
        <w:tblCellMar>
          <w:top w:w="0" w:type="dxa"/>
          <w:left w:w="108" w:type="dxa"/>
          <w:bottom w:w="0" w:type="dxa"/>
          <w:right w:w="108" w:type="dxa"/>
        </w:tblCellMar>
      </w:tblPr>
      <w:tblGrid>
        <w:gridCol w:w="885"/>
        <w:gridCol w:w="3323"/>
        <w:gridCol w:w="4995"/>
      </w:tblGrid>
      <w:tr w14:paraId="7DB6895C">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47C9465A">
            <w:pPr>
              <w:adjustRightInd w:val="0"/>
              <w:snapToGrid w:val="0"/>
              <w:spacing w:line="240" w:lineRule="atLeast"/>
              <w:jc w:val="center"/>
              <w:textAlignment w:val="auto"/>
              <w:rPr>
                <w:rFonts w:hint="eastAsia"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序号 </w:t>
            </w:r>
          </w:p>
        </w:tc>
        <w:tc>
          <w:tcPr>
            <w:tcW w:w="3323" w:type="dxa"/>
            <w:tcBorders>
              <w:top w:val="single" w:color="auto" w:sz="4" w:space="0"/>
              <w:left w:val="nil"/>
              <w:bottom w:val="single" w:color="auto" w:sz="4" w:space="0"/>
              <w:right w:val="single" w:color="auto" w:sz="4" w:space="0"/>
            </w:tcBorders>
            <w:vAlign w:val="center"/>
          </w:tcPr>
          <w:p w14:paraId="5E28692D">
            <w:pPr>
              <w:adjustRightInd w:val="0"/>
              <w:snapToGrid w:val="0"/>
              <w:spacing w:line="240" w:lineRule="atLeast"/>
              <w:jc w:val="center"/>
              <w:textAlignment w:val="auto"/>
              <w:rPr>
                <w:rFonts w:hint="eastAsia"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投标人名称</w:t>
            </w:r>
          </w:p>
        </w:tc>
        <w:tc>
          <w:tcPr>
            <w:tcW w:w="4995" w:type="dxa"/>
            <w:tcBorders>
              <w:top w:val="single" w:color="auto" w:sz="4" w:space="0"/>
              <w:left w:val="nil"/>
              <w:bottom w:val="single" w:color="auto" w:sz="4" w:space="0"/>
              <w:right w:val="single" w:color="auto" w:sz="4" w:space="0"/>
            </w:tcBorders>
            <w:vAlign w:val="center"/>
          </w:tcPr>
          <w:p w14:paraId="6823F57C">
            <w:pPr>
              <w:adjustRightInd w:val="0"/>
              <w:snapToGrid w:val="0"/>
              <w:spacing w:line="240" w:lineRule="atLeast"/>
              <w:jc w:val="center"/>
              <w:textAlignment w:val="auto"/>
              <w:rPr>
                <w:rFonts w:hint="eastAsia"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未入围原因</w:t>
            </w:r>
          </w:p>
        </w:tc>
      </w:tr>
      <w:tr w14:paraId="695F31E4">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77993AC2">
            <w:pPr>
              <w:adjustRightInd w:val="0"/>
              <w:snapToGrid w:val="0"/>
              <w:spacing w:line="240" w:lineRule="atLeast"/>
              <w:jc w:val="center"/>
              <w:textAlignment w:val="auto"/>
              <w:rPr>
                <w:rFonts w:ascii="宋体"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14:paraId="0D516F4A">
            <w:pPr>
              <w:adjustRightInd w:val="0"/>
              <w:snapToGrid w:val="0"/>
              <w:spacing w:line="360" w:lineRule="auto"/>
              <w:jc w:val="center"/>
              <w:textAlignment w:val="auto"/>
              <w:rPr>
                <w:rFonts w:ascii="宋体" w:hAnsi="Times New Roman"/>
                <w:color w:val="000000" w:themeColor="text1"/>
                <w:sz w:val="15"/>
                <w:szCs w:val="15"/>
                <w:highlight w:val="none"/>
                <w14:textFill>
                  <w14:solidFill>
                    <w14:schemeClr w14:val="tx1"/>
                  </w14:solidFill>
                </w14:textFill>
              </w:rPr>
            </w:pPr>
          </w:p>
        </w:tc>
        <w:tc>
          <w:tcPr>
            <w:tcW w:w="4995" w:type="dxa"/>
            <w:tcBorders>
              <w:top w:val="single" w:color="auto" w:sz="4" w:space="0"/>
              <w:left w:val="nil"/>
              <w:bottom w:val="single" w:color="auto" w:sz="4" w:space="0"/>
              <w:right w:val="single" w:color="auto" w:sz="4" w:space="0"/>
            </w:tcBorders>
            <w:vAlign w:val="center"/>
          </w:tcPr>
          <w:p w14:paraId="2E19A517">
            <w:pPr>
              <w:adjustRightInd w:val="0"/>
              <w:snapToGrid w:val="0"/>
              <w:spacing w:line="360" w:lineRule="auto"/>
              <w:jc w:val="center"/>
              <w:textAlignment w:val="auto"/>
              <w:rPr>
                <w:rFonts w:ascii="宋体" w:hAnsi="Times New Roman"/>
                <w:color w:val="000000" w:themeColor="text1"/>
                <w:sz w:val="15"/>
                <w:szCs w:val="15"/>
                <w:highlight w:val="none"/>
                <w14:textFill>
                  <w14:solidFill>
                    <w14:schemeClr w14:val="tx1"/>
                  </w14:solidFill>
                </w14:textFill>
              </w:rPr>
            </w:pPr>
          </w:p>
        </w:tc>
      </w:tr>
      <w:tr w14:paraId="29266C4E">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5329EC68">
            <w:pPr>
              <w:adjustRightInd w:val="0"/>
              <w:snapToGrid w:val="0"/>
              <w:spacing w:line="240" w:lineRule="atLeast"/>
              <w:jc w:val="center"/>
              <w:textAlignment w:val="auto"/>
              <w:rPr>
                <w:rFonts w:ascii="宋体" w:hAnsi="Times New Roman"/>
                <w:color w:val="000000" w:themeColor="text1"/>
                <w:sz w:val="15"/>
                <w:szCs w:val="15"/>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14:paraId="4E7054B7">
            <w:pPr>
              <w:adjustRightInd w:val="0"/>
              <w:snapToGrid w:val="0"/>
              <w:spacing w:line="360" w:lineRule="auto"/>
              <w:jc w:val="center"/>
              <w:textAlignment w:val="auto"/>
              <w:rPr>
                <w:rFonts w:ascii="宋体" w:hAnsi="Times New Roman"/>
                <w:color w:val="000000" w:themeColor="text1"/>
                <w:sz w:val="15"/>
                <w:szCs w:val="15"/>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4995" w:type="dxa"/>
            <w:tcBorders>
              <w:top w:val="single" w:color="auto" w:sz="4" w:space="0"/>
              <w:left w:val="nil"/>
              <w:bottom w:val="single" w:color="auto" w:sz="4" w:space="0"/>
              <w:right w:val="single" w:color="auto" w:sz="4" w:space="0"/>
            </w:tcBorders>
            <w:vAlign w:val="center"/>
          </w:tcPr>
          <w:p w14:paraId="1CCD494C">
            <w:pPr>
              <w:adjustRightInd w:val="0"/>
              <w:snapToGrid w:val="0"/>
              <w:spacing w:line="360" w:lineRule="auto"/>
              <w:jc w:val="center"/>
              <w:textAlignment w:val="auto"/>
              <w:rPr>
                <w:rFonts w:ascii="宋体" w:hAnsi="Times New Roman"/>
                <w:color w:val="000000" w:themeColor="text1"/>
                <w:sz w:val="15"/>
                <w:szCs w:val="15"/>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r>
    </w:tbl>
    <w:p w14:paraId="7857DADC">
      <w:pPr>
        <w:spacing w:line="360" w:lineRule="auto"/>
        <w:ind w:firstLine="424" w:firstLineChars="202"/>
        <w:jc w:val="left"/>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推荐的定标候选人</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名单</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及主要投标内容</w:t>
      </w:r>
    </w:p>
    <w:tbl>
      <w:tblPr>
        <w:tblStyle w:val="41"/>
        <w:tblW w:w="9136" w:type="dxa"/>
        <w:tblInd w:w="0" w:type="dxa"/>
        <w:tblLayout w:type="fixed"/>
        <w:tblCellMar>
          <w:top w:w="0" w:type="dxa"/>
          <w:left w:w="108" w:type="dxa"/>
          <w:bottom w:w="0" w:type="dxa"/>
          <w:right w:w="108" w:type="dxa"/>
        </w:tblCellMar>
      </w:tblPr>
      <w:tblGrid>
        <w:gridCol w:w="1418"/>
        <w:gridCol w:w="862"/>
        <w:gridCol w:w="928"/>
        <w:gridCol w:w="846"/>
        <w:gridCol w:w="916"/>
        <w:gridCol w:w="782"/>
        <w:gridCol w:w="744"/>
        <w:gridCol w:w="782"/>
        <w:gridCol w:w="916"/>
        <w:gridCol w:w="942"/>
      </w:tblGrid>
      <w:tr w14:paraId="44D73815">
        <w:tblPrEx>
          <w:tblCellMar>
            <w:top w:w="0" w:type="dxa"/>
            <w:left w:w="108" w:type="dxa"/>
            <w:bottom w:w="0" w:type="dxa"/>
            <w:right w:w="108" w:type="dxa"/>
          </w:tblCellMar>
        </w:tblPrEx>
        <w:trPr>
          <w:trHeight w:val="1920" w:hRule="atLeast"/>
        </w:trPr>
        <w:tc>
          <w:tcPr>
            <w:tcW w:w="1418" w:type="dxa"/>
            <w:tcBorders>
              <w:top w:val="single" w:color="auto" w:sz="4" w:space="0"/>
              <w:left w:val="single" w:color="auto" w:sz="4" w:space="0"/>
              <w:bottom w:val="single" w:color="auto" w:sz="4" w:space="0"/>
              <w:right w:val="single" w:color="auto" w:sz="4" w:space="0"/>
              <w:tl2br w:val="single" w:color="auto" w:sz="4" w:space="0"/>
            </w:tcBorders>
            <w:vAlign w:val="center"/>
          </w:tcPr>
          <w:p w14:paraId="45E19178">
            <w:pPr>
              <w:spacing w:line="320" w:lineRule="exact"/>
              <w:ind w:firstLine="360" w:firstLineChars="200"/>
              <w:rPr>
                <w:rFonts w:ascii="宋体" w:hAnsi="宋体" w:eastAsia="宋体" w:cs="Times New Roman"/>
                <w:color w:val="000000" w:themeColor="text1"/>
                <w:sz w:val="18"/>
                <w:szCs w:val="18"/>
                <w:highlight w:val="none"/>
                <w14:textFill>
                  <w14:solidFill>
                    <w14:schemeClr w14:val="tx1"/>
                  </w14:solidFill>
                </w14:textFill>
              </w:rPr>
            </w:pPr>
            <w:r>
              <w:rPr>
                <w:rFonts w:hint="eastAsia" w:ascii="宋体" w:hAnsi="宋体" w:eastAsia="宋体" w:cs="Times New Roman"/>
                <w:color w:val="000000" w:themeColor="text1"/>
                <w:sz w:val="18"/>
                <w:szCs w:val="18"/>
                <w:highlight w:val="none"/>
                <w14:textFill>
                  <w14:solidFill>
                    <w14:schemeClr w14:val="tx1"/>
                  </w14:solidFill>
                </w14:textFill>
              </w:rPr>
              <w:t>投标的主</w:t>
            </w:r>
          </w:p>
          <w:p w14:paraId="00BB6F96">
            <w:pPr>
              <w:spacing w:line="320" w:lineRule="exact"/>
              <w:ind w:firstLine="450" w:firstLineChars="25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18"/>
                <w:szCs w:val="18"/>
                <w:highlight w:val="none"/>
                <w14:textFill>
                  <w14:solidFill>
                    <w14:schemeClr w14:val="tx1"/>
                  </w14:solidFill>
                </w14:textFill>
              </w:rPr>
              <w:t>要内容</w:t>
            </w:r>
          </w:p>
          <w:p w14:paraId="2C8AD141">
            <w:pPr>
              <w:spacing w:line="320" w:lineRule="exact"/>
              <w:rPr>
                <w:rFonts w:ascii="宋体" w:hAnsi="宋体" w:eastAsia="宋体" w:cs="Times New Roman"/>
                <w:color w:val="000000" w:themeColor="text1"/>
                <w:sz w:val="21"/>
                <w:szCs w:val="21"/>
                <w:highlight w:val="none"/>
                <w14:textFill>
                  <w14:solidFill>
                    <w14:schemeClr w14:val="tx1"/>
                  </w14:solidFill>
                </w14:textFill>
              </w:rPr>
            </w:pPr>
          </w:p>
          <w:p w14:paraId="0F64E220">
            <w:pPr>
              <w:spacing w:line="320" w:lineRule="exact"/>
              <w:rPr>
                <w:rFonts w:hint="eastAsia" w:ascii="宋体" w:hAnsi="宋体" w:eastAsia="宋体" w:cs="Times New Roman"/>
                <w:color w:val="000000" w:themeColor="text1"/>
                <w:sz w:val="18"/>
                <w:szCs w:val="18"/>
                <w:highlight w:val="none"/>
                <w14:textFill>
                  <w14:solidFill>
                    <w14:schemeClr w14:val="tx1"/>
                  </w14:solidFill>
                </w14:textFill>
              </w:rPr>
            </w:pPr>
          </w:p>
          <w:p w14:paraId="0F67F48D">
            <w:pPr>
              <w:spacing w:line="320" w:lineRule="exact"/>
              <w:rPr>
                <w:rFonts w:ascii="宋体" w:hAnsi="宋体" w:eastAsia="宋体" w:cs="Times New Roman"/>
                <w:color w:val="000000" w:themeColor="text1"/>
                <w:sz w:val="18"/>
                <w:szCs w:val="18"/>
                <w:highlight w:val="none"/>
                <w14:textFill>
                  <w14:solidFill>
                    <w14:schemeClr w14:val="tx1"/>
                  </w14:solidFill>
                </w14:textFill>
              </w:rPr>
            </w:pPr>
            <w:r>
              <w:rPr>
                <w:rFonts w:hint="eastAsia" w:ascii="宋体" w:hAnsi="宋体" w:eastAsia="宋体" w:cs="Times New Roman"/>
                <w:color w:val="000000" w:themeColor="text1"/>
                <w:sz w:val="18"/>
                <w:szCs w:val="18"/>
                <w:highlight w:val="none"/>
                <w14:textFill>
                  <w14:solidFill>
                    <w14:schemeClr w14:val="tx1"/>
                  </w14:solidFill>
                </w14:textFill>
              </w:rPr>
              <w:t>定标</w:t>
            </w:r>
          </w:p>
          <w:p w14:paraId="66A0F3D2">
            <w:pPr>
              <w:spacing w:line="320" w:lineRule="exact"/>
              <w:rPr>
                <w:rFonts w:ascii="宋体" w:hAnsi="宋体" w:eastAsia="宋体" w:cs="Times New Roman"/>
                <w:color w:val="000000" w:themeColor="text1"/>
                <w:sz w:val="18"/>
                <w:szCs w:val="18"/>
                <w:highlight w:val="none"/>
                <w14:textFill>
                  <w14:solidFill>
                    <w14:schemeClr w14:val="tx1"/>
                  </w14:solidFill>
                </w14:textFill>
              </w:rPr>
            </w:pPr>
            <w:r>
              <w:rPr>
                <w:rFonts w:hint="eastAsia" w:ascii="宋体" w:hAnsi="宋体" w:eastAsia="宋体" w:cs="Times New Roman"/>
                <w:color w:val="000000" w:themeColor="text1"/>
                <w:sz w:val="18"/>
                <w:szCs w:val="18"/>
                <w:highlight w:val="none"/>
                <w14:textFill>
                  <w14:solidFill>
                    <w14:schemeClr w14:val="tx1"/>
                  </w14:solidFill>
                </w14:textFill>
              </w:rPr>
              <w:t>候选人</w:t>
            </w:r>
          </w:p>
          <w:p w14:paraId="2168AC4B">
            <w:pPr>
              <w:spacing w:line="320" w:lineRule="exact"/>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 </w:t>
            </w:r>
          </w:p>
        </w:tc>
        <w:tc>
          <w:tcPr>
            <w:tcW w:w="862" w:type="dxa"/>
            <w:tcBorders>
              <w:top w:val="single" w:color="auto" w:sz="4" w:space="0"/>
              <w:left w:val="nil"/>
              <w:right w:val="single" w:color="auto" w:sz="4" w:space="0"/>
            </w:tcBorders>
            <w:vAlign w:val="center"/>
          </w:tcPr>
          <w:p w14:paraId="66FA7D78">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投资额（万元）</w:t>
            </w:r>
          </w:p>
        </w:tc>
        <w:tc>
          <w:tcPr>
            <w:tcW w:w="928" w:type="dxa"/>
            <w:tcBorders>
              <w:top w:val="single" w:color="auto" w:sz="4" w:space="0"/>
              <w:left w:val="nil"/>
              <w:right w:val="single" w:color="auto" w:sz="4" w:space="0"/>
            </w:tcBorders>
            <w:vAlign w:val="center"/>
          </w:tcPr>
          <w:p w14:paraId="21537F76">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设计费报价(元)</w:t>
            </w:r>
          </w:p>
        </w:tc>
        <w:tc>
          <w:tcPr>
            <w:tcW w:w="846" w:type="dxa"/>
            <w:tcBorders>
              <w:top w:val="single" w:color="auto" w:sz="4" w:space="0"/>
              <w:left w:val="nil"/>
              <w:right w:val="single" w:color="auto" w:sz="4" w:space="0"/>
            </w:tcBorders>
            <w:vAlign w:val="center"/>
          </w:tcPr>
          <w:p w14:paraId="2868DD70">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勘察费报价（元）</w:t>
            </w:r>
          </w:p>
        </w:tc>
        <w:tc>
          <w:tcPr>
            <w:tcW w:w="916" w:type="dxa"/>
            <w:tcBorders>
              <w:top w:val="single" w:color="auto" w:sz="4" w:space="0"/>
              <w:left w:val="nil"/>
              <w:right w:val="single" w:color="auto" w:sz="4" w:space="0"/>
            </w:tcBorders>
            <w:vAlign w:val="center"/>
          </w:tcPr>
          <w:p w14:paraId="2D8A556D">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设计（勘察）服务期限（日历天）</w:t>
            </w:r>
          </w:p>
        </w:tc>
        <w:tc>
          <w:tcPr>
            <w:tcW w:w="782" w:type="dxa"/>
            <w:tcBorders>
              <w:top w:val="single" w:color="auto" w:sz="4" w:space="0"/>
              <w:left w:val="nil"/>
              <w:right w:val="single" w:color="auto" w:sz="4" w:space="0"/>
            </w:tcBorders>
            <w:vAlign w:val="center"/>
          </w:tcPr>
          <w:p w14:paraId="5610360F">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质量标准</w:t>
            </w:r>
          </w:p>
        </w:tc>
        <w:tc>
          <w:tcPr>
            <w:tcW w:w="744" w:type="dxa"/>
            <w:tcBorders>
              <w:top w:val="single" w:color="auto" w:sz="4" w:space="0"/>
              <w:left w:val="nil"/>
              <w:right w:val="single" w:color="auto" w:sz="4" w:space="0"/>
            </w:tcBorders>
            <w:vAlign w:val="center"/>
          </w:tcPr>
          <w:p w14:paraId="27511B79">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项目设计负责人</w:t>
            </w:r>
          </w:p>
        </w:tc>
        <w:tc>
          <w:tcPr>
            <w:tcW w:w="782" w:type="dxa"/>
            <w:tcBorders>
              <w:top w:val="single" w:color="auto" w:sz="4" w:space="0"/>
              <w:left w:val="nil"/>
              <w:right w:val="single" w:color="auto" w:sz="4" w:space="0"/>
            </w:tcBorders>
            <w:vAlign w:val="center"/>
          </w:tcPr>
          <w:p w14:paraId="468E2A6C">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注册证书编号或职称证书编号</w:t>
            </w:r>
          </w:p>
        </w:tc>
        <w:tc>
          <w:tcPr>
            <w:tcW w:w="916" w:type="dxa"/>
            <w:tcBorders>
              <w:top w:val="single" w:color="auto" w:sz="4" w:space="0"/>
              <w:left w:val="nil"/>
              <w:right w:val="single" w:color="auto" w:sz="4" w:space="0"/>
            </w:tcBorders>
            <w:vAlign w:val="center"/>
          </w:tcPr>
          <w:p w14:paraId="1979EC1A">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项目设计负责人类似工程业绩（如有时）</w:t>
            </w:r>
          </w:p>
        </w:tc>
        <w:tc>
          <w:tcPr>
            <w:tcW w:w="942" w:type="dxa"/>
            <w:tcBorders>
              <w:top w:val="single" w:color="auto" w:sz="4" w:space="0"/>
              <w:left w:val="nil"/>
              <w:right w:val="single" w:color="auto" w:sz="4" w:space="0"/>
            </w:tcBorders>
            <w:vAlign w:val="center"/>
          </w:tcPr>
          <w:p w14:paraId="107CD275">
            <w:pPr>
              <w:spacing w:line="320" w:lineRule="exact"/>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候选人类似工程业绩（如有时）</w:t>
            </w:r>
          </w:p>
        </w:tc>
      </w:tr>
      <w:tr w14:paraId="492FFD1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E1DE45E">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862" w:type="dxa"/>
            <w:tcBorders>
              <w:top w:val="single" w:color="auto" w:sz="4" w:space="0"/>
              <w:left w:val="nil"/>
              <w:bottom w:val="single" w:color="auto" w:sz="4" w:space="0"/>
              <w:right w:val="single" w:color="auto" w:sz="4" w:space="0"/>
            </w:tcBorders>
            <w:vAlign w:val="center"/>
          </w:tcPr>
          <w:p w14:paraId="5B4AA4C6">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928" w:type="dxa"/>
            <w:tcBorders>
              <w:top w:val="single" w:color="auto" w:sz="4" w:space="0"/>
              <w:left w:val="nil"/>
              <w:bottom w:val="single" w:color="auto" w:sz="4" w:space="0"/>
              <w:right w:val="single" w:color="auto" w:sz="4" w:space="0"/>
            </w:tcBorders>
            <w:vAlign w:val="center"/>
          </w:tcPr>
          <w:p w14:paraId="226DB15B">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846" w:type="dxa"/>
            <w:tcBorders>
              <w:top w:val="single" w:color="auto" w:sz="4" w:space="0"/>
              <w:left w:val="nil"/>
              <w:bottom w:val="single" w:color="auto" w:sz="4" w:space="0"/>
              <w:right w:val="single" w:color="auto" w:sz="4" w:space="0"/>
            </w:tcBorders>
            <w:vAlign w:val="center"/>
          </w:tcPr>
          <w:p w14:paraId="68BCC146">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916" w:type="dxa"/>
            <w:tcBorders>
              <w:top w:val="single" w:color="auto" w:sz="4" w:space="0"/>
              <w:left w:val="nil"/>
              <w:bottom w:val="single" w:color="auto" w:sz="4" w:space="0"/>
              <w:right w:val="single" w:color="auto" w:sz="4" w:space="0"/>
            </w:tcBorders>
            <w:vAlign w:val="center"/>
          </w:tcPr>
          <w:p w14:paraId="4D8B5BFA">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782" w:type="dxa"/>
            <w:tcBorders>
              <w:top w:val="single" w:color="auto" w:sz="4" w:space="0"/>
              <w:left w:val="nil"/>
              <w:bottom w:val="single" w:color="auto" w:sz="4" w:space="0"/>
              <w:right w:val="single" w:color="auto" w:sz="4" w:space="0"/>
            </w:tcBorders>
            <w:vAlign w:val="center"/>
          </w:tcPr>
          <w:p w14:paraId="6F482B5F">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744" w:type="dxa"/>
            <w:tcBorders>
              <w:top w:val="single" w:color="auto" w:sz="4" w:space="0"/>
              <w:left w:val="nil"/>
              <w:bottom w:val="single" w:color="auto" w:sz="4" w:space="0"/>
              <w:right w:val="single" w:color="auto" w:sz="4" w:space="0"/>
            </w:tcBorders>
            <w:vAlign w:val="center"/>
          </w:tcPr>
          <w:p w14:paraId="43DF73E7">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782" w:type="dxa"/>
            <w:tcBorders>
              <w:top w:val="single" w:color="auto" w:sz="4" w:space="0"/>
              <w:left w:val="nil"/>
              <w:bottom w:val="single" w:color="auto" w:sz="4" w:space="0"/>
              <w:right w:val="single" w:color="auto" w:sz="4" w:space="0"/>
            </w:tcBorders>
            <w:vAlign w:val="center"/>
          </w:tcPr>
          <w:p w14:paraId="25864DE9">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916" w:type="dxa"/>
            <w:tcBorders>
              <w:top w:val="single" w:color="auto" w:sz="4" w:space="0"/>
              <w:left w:val="nil"/>
              <w:bottom w:val="single" w:color="auto" w:sz="4" w:space="0"/>
              <w:right w:val="single" w:color="auto" w:sz="4" w:space="0"/>
            </w:tcBorders>
            <w:vAlign w:val="center"/>
          </w:tcPr>
          <w:p w14:paraId="257C3A1E">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942" w:type="dxa"/>
            <w:tcBorders>
              <w:top w:val="single" w:color="auto" w:sz="4" w:space="0"/>
              <w:left w:val="nil"/>
              <w:bottom w:val="single" w:color="auto" w:sz="4" w:space="0"/>
              <w:right w:val="single" w:color="auto" w:sz="4" w:space="0"/>
            </w:tcBorders>
            <w:vAlign w:val="center"/>
          </w:tcPr>
          <w:p w14:paraId="64F31D55">
            <w:pPr>
              <w:jc w:val="center"/>
              <w:rPr>
                <w:rFonts w:ascii="宋体" w:hAnsi="宋体" w:eastAsia="宋体" w:cs="Times New Roman"/>
                <w:color w:val="000000" w:themeColor="text1"/>
                <w:sz w:val="21"/>
                <w:szCs w:val="21"/>
                <w:highlight w:val="none"/>
                <w14:textFill>
                  <w14:solidFill>
                    <w14:schemeClr w14:val="tx1"/>
                  </w14:solidFill>
                </w14:textFill>
              </w:rPr>
            </w:pPr>
          </w:p>
        </w:tc>
      </w:tr>
      <w:tr w14:paraId="6A350C6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472BB86">
            <w:pPr>
              <w:adjustRightInd w:val="0"/>
              <w:snapToGrid w:val="0"/>
              <w:spacing w:line="240" w:lineRule="atLeast"/>
              <w:jc w:val="center"/>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862" w:type="dxa"/>
            <w:tcBorders>
              <w:top w:val="single" w:color="auto" w:sz="4" w:space="0"/>
              <w:left w:val="nil"/>
              <w:bottom w:val="single" w:color="auto" w:sz="4" w:space="0"/>
              <w:right w:val="single" w:color="auto" w:sz="4" w:space="0"/>
            </w:tcBorders>
            <w:vAlign w:val="center"/>
          </w:tcPr>
          <w:p w14:paraId="042879BB">
            <w:pPr>
              <w:adjustRightInd w:val="0"/>
              <w:snapToGrid w:val="0"/>
              <w:spacing w:line="360" w:lineRule="auto"/>
              <w:jc w:val="center"/>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928" w:type="dxa"/>
            <w:tcBorders>
              <w:top w:val="single" w:color="auto" w:sz="4" w:space="0"/>
              <w:left w:val="nil"/>
              <w:bottom w:val="single" w:color="auto" w:sz="4" w:space="0"/>
              <w:right w:val="single" w:color="auto" w:sz="4" w:space="0"/>
            </w:tcBorders>
            <w:vAlign w:val="center"/>
          </w:tcPr>
          <w:p w14:paraId="3967D5B7">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846" w:type="dxa"/>
            <w:tcBorders>
              <w:top w:val="single" w:color="auto" w:sz="4" w:space="0"/>
              <w:left w:val="nil"/>
              <w:bottom w:val="single" w:color="auto" w:sz="4" w:space="0"/>
              <w:right w:val="single" w:color="auto" w:sz="4" w:space="0"/>
            </w:tcBorders>
            <w:vAlign w:val="center"/>
          </w:tcPr>
          <w:p w14:paraId="583FC1C2">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916" w:type="dxa"/>
            <w:tcBorders>
              <w:top w:val="single" w:color="auto" w:sz="4" w:space="0"/>
              <w:left w:val="nil"/>
              <w:bottom w:val="single" w:color="auto" w:sz="4" w:space="0"/>
              <w:right w:val="single" w:color="auto" w:sz="4" w:space="0"/>
            </w:tcBorders>
            <w:vAlign w:val="center"/>
          </w:tcPr>
          <w:p w14:paraId="7AEA8AAB">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782" w:type="dxa"/>
            <w:tcBorders>
              <w:top w:val="single" w:color="auto" w:sz="4" w:space="0"/>
              <w:left w:val="nil"/>
              <w:bottom w:val="single" w:color="auto" w:sz="4" w:space="0"/>
              <w:right w:val="single" w:color="auto" w:sz="4" w:space="0"/>
            </w:tcBorders>
            <w:vAlign w:val="center"/>
          </w:tcPr>
          <w:p w14:paraId="175D416E">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744" w:type="dxa"/>
            <w:tcBorders>
              <w:top w:val="single" w:color="auto" w:sz="4" w:space="0"/>
              <w:left w:val="nil"/>
              <w:bottom w:val="single" w:color="auto" w:sz="4" w:space="0"/>
              <w:right w:val="single" w:color="auto" w:sz="4" w:space="0"/>
            </w:tcBorders>
            <w:vAlign w:val="center"/>
          </w:tcPr>
          <w:p w14:paraId="6A9D7642">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782" w:type="dxa"/>
            <w:tcBorders>
              <w:top w:val="single" w:color="auto" w:sz="4" w:space="0"/>
              <w:left w:val="nil"/>
              <w:bottom w:val="single" w:color="auto" w:sz="4" w:space="0"/>
              <w:right w:val="single" w:color="auto" w:sz="4" w:space="0"/>
            </w:tcBorders>
            <w:vAlign w:val="center"/>
          </w:tcPr>
          <w:p w14:paraId="5219C082">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916" w:type="dxa"/>
            <w:tcBorders>
              <w:top w:val="single" w:color="auto" w:sz="4" w:space="0"/>
              <w:left w:val="nil"/>
              <w:bottom w:val="single" w:color="auto" w:sz="4" w:space="0"/>
              <w:right w:val="single" w:color="auto" w:sz="4" w:space="0"/>
            </w:tcBorders>
            <w:vAlign w:val="center"/>
          </w:tcPr>
          <w:p w14:paraId="150412DE">
            <w:pPr>
              <w:jc w:val="center"/>
              <w:rPr>
                <w:rFonts w:ascii="宋体" w:hAnsi="宋体" w:eastAsia="宋体" w:cs="Times New Roman"/>
                <w:color w:val="000000" w:themeColor="text1"/>
                <w:sz w:val="21"/>
                <w:szCs w:val="21"/>
                <w:highlight w:val="none"/>
                <w14:textFill>
                  <w14:solidFill>
                    <w14:schemeClr w14:val="tx1"/>
                  </w14:solidFill>
                </w14:textFill>
              </w:rPr>
            </w:pPr>
          </w:p>
        </w:tc>
        <w:tc>
          <w:tcPr>
            <w:tcW w:w="942" w:type="dxa"/>
            <w:tcBorders>
              <w:top w:val="single" w:color="auto" w:sz="4" w:space="0"/>
              <w:left w:val="nil"/>
              <w:bottom w:val="single" w:color="auto" w:sz="4" w:space="0"/>
              <w:right w:val="single" w:color="auto" w:sz="4" w:space="0"/>
            </w:tcBorders>
            <w:vAlign w:val="center"/>
          </w:tcPr>
          <w:p w14:paraId="52AE0378">
            <w:pPr>
              <w:jc w:val="center"/>
              <w:rPr>
                <w:rFonts w:ascii="宋体" w:hAnsi="宋体" w:eastAsia="宋体" w:cs="Times New Roman"/>
                <w:color w:val="000000" w:themeColor="text1"/>
                <w:sz w:val="21"/>
                <w:szCs w:val="21"/>
                <w:highlight w:val="none"/>
                <w14:textFill>
                  <w14:solidFill>
                    <w14:schemeClr w14:val="tx1"/>
                  </w14:solidFill>
                </w14:textFill>
              </w:rPr>
            </w:pPr>
          </w:p>
        </w:tc>
      </w:tr>
    </w:tbl>
    <w:p w14:paraId="46581868">
      <w:pPr>
        <w:numPr>
          <w:ilvl w:val="0"/>
          <w:numId w:val="0"/>
        </w:numPr>
        <w:adjustRightInd/>
        <w:spacing w:line="360" w:lineRule="auto"/>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w:t>
      </w:r>
      <w:r>
        <w:rPr>
          <w:rFonts w:hint="eastAsia" w:ascii="宋体" w:hAnsi="宋体" w:eastAsia="宋体" w:cs="宋体"/>
          <w:color w:val="000000" w:themeColor="text1"/>
          <w:kern w:val="2"/>
          <w:sz w:val="21"/>
          <w:szCs w:val="21"/>
          <w:highlight w:val="none"/>
          <w14:textFill>
            <w14:solidFill>
              <w14:schemeClr w14:val="tx1"/>
            </w14:solidFill>
          </w14:textFill>
        </w:rPr>
        <w:t>否决其投标</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以及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未被推荐为定标候选人的</w:t>
      </w:r>
      <w:r>
        <w:rPr>
          <w:rFonts w:hint="eastAsia" w:ascii="宋体" w:hAnsi="宋体" w:eastAsia="宋体" w:cs="宋体"/>
          <w:color w:val="000000" w:themeColor="text1"/>
          <w:kern w:val="2"/>
          <w:sz w:val="21"/>
          <w:szCs w:val="21"/>
          <w:highlight w:val="none"/>
          <w14:textFill>
            <w14:solidFill>
              <w14:schemeClr w14:val="tx1"/>
            </w14:solidFill>
          </w14:textFill>
        </w:rPr>
        <w:t>投标人及原因：</w:t>
      </w:r>
    </w:p>
    <w:tbl>
      <w:tblPr>
        <w:tblStyle w:val="41"/>
        <w:tblW w:w="9078" w:type="dxa"/>
        <w:tblInd w:w="108" w:type="dxa"/>
        <w:tblLayout w:type="fixed"/>
        <w:tblCellMar>
          <w:top w:w="0" w:type="dxa"/>
          <w:left w:w="108" w:type="dxa"/>
          <w:bottom w:w="0" w:type="dxa"/>
          <w:right w:w="108" w:type="dxa"/>
        </w:tblCellMar>
      </w:tblPr>
      <w:tblGrid>
        <w:gridCol w:w="885"/>
        <w:gridCol w:w="2718"/>
        <w:gridCol w:w="5475"/>
      </w:tblGrid>
      <w:tr w14:paraId="33DCC395">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63BFC74E">
            <w:pPr>
              <w:adjustRightInd w:val="0"/>
              <w:snapToGrid w:val="0"/>
              <w:spacing w:line="240" w:lineRule="atLeast"/>
              <w:jc w:val="center"/>
              <w:textAlignment w:val="auto"/>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序号</w:t>
            </w:r>
            <w:r>
              <w:rPr>
                <w:rFonts w:ascii="Times New Roman" w:hAnsi="Times New Roman"/>
                <w:color w:val="000000" w:themeColor="text1"/>
                <w:kern w:val="2"/>
                <w:sz w:val="21"/>
                <w:szCs w:val="21"/>
                <w:highlight w:val="none"/>
                <w14:textFill>
                  <w14:solidFill>
                    <w14:schemeClr w14:val="tx1"/>
                  </w14:solidFill>
                </w14:textFill>
              </w:rPr>
              <w:t> </w:t>
            </w:r>
          </w:p>
        </w:tc>
        <w:tc>
          <w:tcPr>
            <w:tcW w:w="2718" w:type="dxa"/>
            <w:tcBorders>
              <w:top w:val="single" w:color="auto" w:sz="4" w:space="0"/>
              <w:left w:val="nil"/>
              <w:bottom w:val="single" w:color="auto" w:sz="4" w:space="0"/>
              <w:right w:val="single" w:color="auto" w:sz="4" w:space="0"/>
            </w:tcBorders>
            <w:vAlign w:val="center"/>
          </w:tcPr>
          <w:p w14:paraId="7431AD85">
            <w:pPr>
              <w:adjustRightInd w:val="0"/>
              <w:snapToGrid w:val="0"/>
              <w:spacing w:line="240" w:lineRule="atLeast"/>
              <w:jc w:val="center"/>
              <w:textAlignment w:val="auto"/>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投标人名称</w:t>
            </w:r>
          </w:p>
        </w:tc>
        <w:tc>
          <w:tcPr>
            <w:tcW w:w="5475" w:type="dxa"/>
            <w:tcBorders>
              <w:top w:val="single" w:color="auto" w:sz="4" w:space="0"/>
              <w:left w:val="nil"/>
              <w:bottom w:val="single" w:color="auto" w:sz="4" w:space="0"/>
              <w:right w:val="single" w:color="auto" w:sz="4" w:space="0"/>
            </w:tcBorders>
            <w:vAlign w:val="center"/>
          </w:tcPr>
          <w:p w14:paraId="78659107">
            <w:pPr>
              <w:adjustRightInd w:val="0"/>
              <w:snapToGrid w:val="0"/>
              <w:spacing w:line="240" w:lineRule="atLeast"/>
              <w:jc w:val="center"/>
              <w:textAlignment w:val="auto"/>
              <w:rPr>
                <w:rFonts w:hAnsi="Times New Roman"/>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lang w:val="en-US" w:eastAsia="zh-CN" w:bidi="ar-SA"/>
                <w14:textFill>
                  <w14:solidFill>
                    <w14:schemeClr w14:val="tx1"/>
                  </w14:solidFill>
                </w14:textFill>
              </w:rPr>
              <w:t>否决其投标以及未被推荐为定标候选人的原因</w:t>
            </w:r>
            <w:r>
              <w:rPr>
                <w:rFonts w:hint="eastAsia" w:hAnsi="Times New Roman"/>
                <w:color w:val="000000" w:themeColor="text1"/>
                <w:kern w:val="2"/>
                <w:sz w:val="21"/>
                <w:szCs w:val="21"/>
                <w:highlight w:val="none"/>
                <w:lang w:val="en-US" w:eastAsia="zh-CN"/>
                <w14:textFill>
                  <w14:solidFill>
                    <w14:schemeClr w14:val="tx1"/>
                  </w14:solidFill>
                </w14:textFill>
              </w:rPr>
              <w:t>及依据</w:t>
            </w:r>
          </w:p>
        </w:tc>
      </w:tr>
      <w:tr w14:paraId="49E6BA93">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04DB5A8B">
            <w:pPr>
              <w:adjustRightInd w:val="0"/>
              <w:snapToGrid w:val="0"/>
              <w:spacing w:line="240" w:lineRule="atLeast"/>
              <w:jc w:val="center"/>
              <w:textAlignment w:val="auto"/>
              <w:rPr>
                <w:rFonts w:hAnsi="Times New Roman"/>
                <w:color w:val="000000" w:themeColor="text1"/>
                <w:kern w:val="2"/>
                <w:sz w:val="21"/>
                <w:szCs w:val="21"/>
                <w:highlight w:val="none"/>
                <w14:textFill>
                  <w14:solidFill>
                    <w14:schemeClr w14:val="tx1"/>
                  </w14:solidFill>
                </w14:textFill>
              </w:rPr>
            </w:pPr>
          </w:p>
        </w:tc>
        <w:tc>
          <w:tcPr>
            <w:tcW w:w="2718" w:type="dxa"/>
            <w:tcBorders>
              <w:top w:val="single" w:color="auto" w:sz="4" w:space="0"/>
              <w:left w:val="nil"/>
              <w:bottom w:val="single" w:color="auto" w:sz="4" w:space="0"/>
              <w:right w:val="single" w:color="auto" w:sz="4" w:space="0"/>
            </w:tcBorders>
            <w:vAlign w:val="center"/>
          </w:tcPr>
          <w:p w14:paraId="77D435B8">
            <w:pPr>
              <w:adjustRightInd w:val="0"/>
              <w:snapToGrid w:val="0"/>
              <w:spacing w:line="360" w:lineRule="auto"/>
              <w:jc w:val="center"/>
              <w:textAlignment w:val="auto"/>
              <w:rPr>
                <w:rFonts w:hAnsi="Times New Roman"/>
                <w:color w:val="000000" w:themeColor="text1"/>
                <w:kern w:val="2"/>
                <w:sz w:val="21"/>
                <w:szCs w:val="21"/>
                <w:highlight w:val="none"/>
                <w14:textFill>
                  <w14:solidFill>
                    <w14:schemeClr w14:val="tx1"/>
                  </w14:solidFill>
                </w14:textFill>
              </w:rPr>
            </w:pPr>
          </w:p>
        </w:tc>
        <w:tc>
          <w:tcPr>
            <w:tcW w:w="5475" w:type="dxa"/>
            <w:tcBorders>
              <w:top w:val="single" w:color="auto" w:sz="4" w:space="0"/>
              <w:left w:val="nil"/>
              <w:bottom w:val="single" w:color="auto" w:sz="4" w:space="0"/>
              <w:right w:val="single" w:color="auto" w:sz="4" w:space="0"/>
            </w:tcBorders>
            <w:vAlign w:val="center"/>
          </w:tcPr>
          <w:p w14:paraId="46321964">
            <w:pPr>
              <w:adjustRightInd w:val="0"/>
              <w:snapToGrid w:val="0"/>
              <w:spacing w:line="360" w:lineRule="auto"/>
              <w:jc w:val="center"/>
              <w:textAlignment w:val="auto"/>
              <w:rPr>
                <w:rFonts w:hAnsi="Times New Roman"/>
                <w:color w:val="000000" w:themeColor="text1"/>
                <w:kern w:val="2"/>
                <w:sz w:val="21"/>
                <w:szCs w:val="21"/>
                <w:highlight w:val="none"/>
                <w14:textFill>
                  <w14:solidFill>
                    <w14:schemeClr w14:val="tx1"/>
                  </w14:solidFill>
                </w14:textFill>
              </w:rPr>
            </w:pPr>
          </w:p>
        </w:tc>
      </w:tr>
      <w:tr w14:paraId="672455A2">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06D866AA">
            <w:pPr>
              <w:adjustRightInd w:val="0"/>
              <w:snapToGrid w:val="0"/>
              <w:spacing w:line="240" w:lineRule="atLeast"/>
              <w:jc w:val="center"/>
              <w:textAlignment w:val="auto"/>
              <w:rPr>
                <w:rFonts w:hint="eastAsia" w:hAnsi="Times New Roman" w:eastAsia="宋体"/>
                <w:color w:val="000000" w:themeColor="text1"/>
                <w:kern w:val="2"/>
                <w:sz w:val="21"/>
                <w:szCs w:val="21"/>
                <w:highlight w:val="none"/>
                <w:lang w:eastAsia="zh-CN"/>
                <w14:textFill>
                  <w14:solidFill>
                    <w14:schemeClr w14:val="tx1"/>
                  </w14:solidFill>
                </w14:textFill>
              </w:rPr>
            </w:pPr>
            <w:r>
              <w:rPr>
                <w:rFonts w:hint="eastAsia" w:hAnsi="Times New Roman"/>
                <w:color w:val="000000" w:themeColor="text1"/>
                <w:kern w:val="2"/>
                <w:sz w:val="21"/>
                <w:szCs w:val="21"/>
                <w:highlight w:val="none"/>
                <w:lang w:eastAsia="zh-CN"/>
                <w14:textFill>
                  <w14:solidFill>
                    <w14:schemeClr w14:val="tx1"/>
                  </w14:solidFill>
                </w14:textFill>
              </w:rPr>
              <w:t>……</w:t>
            </w:r>
          </w:p>
        </w:tc>
        <w:tc>
          <w:tcPr>
            <w:tcW w:w="2718" w:type="dxa"/>
            <w:tcBorders>
              <w:top w:val="single" w:color="auto" w:sz="4" w:space="0"/>
              <w:left w:val="nil"/>
              <w:bottom w:val="single" w:color="auto" w:sz="4" w:space="0"/>
              <w:right w:val="single" w:color="auto" w:sz="4" w:space="0"/>
            </w:tcBorders>
            <w:vAlign w:val="center"/>
          </w:tcPr>
          <w:p w14:paraId="677017B0">
            <w:pPr>
              <w:adjustRightInd w:val="0"/>
              <w:snapToGrid w:val="0"/>
              <w:spacing w:line="360" w:lineRule="auto"/>
              <w:jc w:val="center"/>
              <w:textAlignment w:val="auto"/>
              <w:rPr>
                <w:rFonts w:hint="eastAsia" w:hAnsi="Times New Roman" w:eastAsia="宋体"/>
                <w:color w:val="000000" w:themeColor="text1"/>
                <w:kern w:val="2"/>
                <w:sz w:val="21"/>
                <w:szCs w:val="21"/>
                <w:highlight w:val="none"/>
                <w:lang w:eastAsia="zh-CN"/>
                <w14:textFill>
                  <w14:solidFill>
                    <w14:schemeClr w14:val="tx1"/>
                  </w14:solidFill>
                </w14:textFill>
              </w:rPr>
            </w:pPr>
            <w:r>
              <w:rPr>
                <w:rFonts w:hint="eastAsia" w:hAnsi="Times New Roman"/>
                <w:color w:val="000000" w:themeColor="text1"/>
                <w:kern w:val="2"/>
                <w:sz w:val="21"/>
                <w:szCs w:val="21"/>
                <w:highlight w:val="none"/>
                <w:lang w:eastAsia="zh-CN"/>
                <w14:textFill>
                  <w14:solidFill>
                    <w14:schemeClr w14:val="tx1"/>
                  </w14:solidFill>
                </w14:textFill>
              </w:rPr>
              <w:t>……</w:t>
            </w:r>
          </w:p>
        </w:tc>
        <w:tc>
          <w:tcPr>
            <w:tcW w:w="5475" w:type="dxa"/>
            <w:tcBorders>
              <w:top w:val="single" w:color="auto" w:sz="4" w:space="0"/>
              <w:left w:val="nil"/>
              <w:bottom w:val="single" w:color="auto" w:sz="4" w:space="0"/>
              <w:right w:val="single" w:color="auto" w:sz="4" w:space="0"/>
            </w:tcBorders>
            <w:vAlign w:val="center"/>
          </w:tcPr>
          <w:p w14:paraId="14B0F57E">
            <w:pPr>
              <w:adjustRightInd w:val="0"/>
              <w:snapToGrid w:val="0"/>
              <w:spacing w:line="360" w:lineRule="auto"/>
              <w:jc w:val="center"/>
              <w:textAlignment w:val="auto"/>
              <w:rPr>
                <w:rFonts w:hint="eastAsia" w:hAnsi="Times New Roman" w:eastAsia="宋体"/>
                <w:color w:val="000000" w:themeColor="text1"/>
                <w:kern w:val="2"/>
                <w:sz w:val="21"/>
                <w:szCs w:val="21"/>
                <w:highlight w:val="none"/>
                <w:lang w:eastAsia="zh-CN"/>
                <w14:textFill>
                  <w14:solidFill>
                    <w14:schemeClr w14:val="tx1"/>
                  </w14:solidFill>
                </w14:textFill>
              </w:rPr>
            </w:pPr>
            <w:r>
              <w:rPr>
                <w:rFonts w:hint="eastAsia" w:hAnsi="Times New Roman"/>
                <w:color w:val="000000" w:themeColor="text1"/>
                <w:kern w:val="2"/>
                <w:sz w:val="21"/>
                <w:szCs w:val="21"/>
                <w:highlight w:val="none"/>
                <w:lang w:eastAsia="zh-CN"/>
                <w14:textFill>
                  <w14:solidFill>
                    <w14:schemeClr w14:val="tx1"/>
                  </w14:solidFill>
                </w14:textFill>
              </w:rPr>
              <w:t>……</w:t>
            </w:r>
          </w:p>
        </w:tc>
      </w:tr>
    </w:tbl>
    <w:p w14:paraId="21F6CAEE">
      <w:pPr>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9E6BB97">
      <w:pPr>
        <w:adjustRightInd/>
        <w:snapToGrid/>
        <w:spacing w:line="360" w:lineRule="auto"/>
        <w:ind w:firstLine="420" w:firstLineChars="200"/>
        <w:textAlignment w:val="auto"/>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评标委员会成员名单：</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B0FA0D2">
      <w:pPr>
        <w:numPr>
          <w:ilvl w:val="0"/>
          <w:numId w:val="2"/>
        </w:numPr>
        <w:adjustRightIn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定标结果</w:t>
      </w:r>
    </w:p>
    <w:p w14:paraId="27EF20E6">
      <w:pPr>
        <w:widowControl/>
        <w:numPr>
          <w:ilvl w:val="0"/>
          <w:numId w:val="0"/>
        </w:numPr>
        <w:adjustRightInd/>
        <w:spacing w:after="0"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2.1定标候选人</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名单</w:t>
      </w:r>
    </w:p>
    <w:tbl>
      <w:tblPr>
        <w:tblStyle w:val="41"/>
        <w:tblW w:w="91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970"/>
      </w:tblGrid>
      <w:tr w14:paraId="3FA38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0" w:type="dxa"/>
            <w:tcBorders>
              <w:tl2br w:val="nil"/>
              <w:tr2bl w:val="nil"/>
            </w:tcBorders>
            <w:vAlign w:val="center"/>
          </w:tcPr>
          <w:p w14:paraId="6950F5EB">
            <w:pPr>
              <w:adjustRightInd w:val="0"/>
              <w:snapToGrid w:val="0"/>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 </w:t>
            </w:r>
          </w:p>
        </w:tc>
        <w:tc>
          <w:tcPr>
            <w:tcW w:w="7970" w:type="dxa"/>
            <w:tcBorders>
              <w:tl2br w:val="nil"/>
              <w:tr2bl w:val="nil"/>
            </w:tcBorders>
            <w:vAlign w:val="center"/>
          </w:tcPr>
          <w:p w14:paraId="63C70988">
            <w:pPr>
              <w:adjustRightInd w:val="0"/>
              <w:snapToGrid w:val="0"/>
              <w:spacing w:line="240" w:lineRule="atLeas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定标候选人</w:t>
            </w:r>
            <w:r>
              <w:rPr>
                <w:rFonts w:hint="eastAsia" w:ascii="宋体" w:hAnsi="宋体" w:eastAsia="宋体" w:cs="宋体"/>
                <w:color w:val="000000" w:themeColor="text1"/>
                <w:sz w:val="21"/>
                <w:szCs w:val="21"/>
                <w:highlight w:val="none"/>
                <w14:textFill>
                  <w14:solidFill>
                    <w14:schemeClr w14:val="tx1"/>
                  </w14:solidFill>
                </w14:textFill>
              </w:rPr>
              <w:t>名称</w:t>
            </w:r>
          </w:p>
        </w:tc>
      </w:tr>
      <w:tr w14:paraId="3B7BA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0" w:type="dxa"/>
            <w:tcBorders>
              <w:tl2br w:val="nil"/>
              <w:tr2bl w:val="nil"/>
            </w:tcBorders>
            <w:vAlign w:val="center"/>
          </w:tcPr>
          <w:p w14:paraId="1E88F627">
            <w:pPr>
              <w:adjustRightInd w:val="0"/>
              <w:snapToGrid w:val="0"/>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970" w:type="dxa"/>
            <w:tcBorders>
              <w:tl2br w:val="nil"/>
              <w:tr2bl w:val="nil"/>
            </w:tcBorders>
            <w:vAlign w:val="center"/>
          </w:tcPr>
          <w:p w14:paraId="0DB7F852">
            <w:pPr>
              <w:adjustRightInd w:val="0"/>
              <w:snapToGrid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9B65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0" w:type="dxa"/>
            <w:tcBorders>
              <w:tl2br w:val="nil"/>
              <w:tr2bl w:val="nil"/>
            </w:tcBorders>
            <w:vAlign w:val="center"/>
          </w:tcPr>
          <w:p w14:paraId="6767CD48">
            <w:pPr>
              <w:adjustRightInd w:val="0"/>
              <w:snapToGrid w:val="0"/>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7970" w:type="dxa"/>
            <w:tcBorders>
              <w:tl2br w:val="nil"/>
              <w:tr2bl w:val="nil"/>
            </w:tcBorders>
            <w:vAlign w:val="center"/>
          </w:tcPr>
          <w:p w14:paraId="4B3C9372">
            <w:pPr>
              <w:adjustRightInd w:val="0"/>
              <w:snapToGrid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r>
    </w:tbl>
    <w:p w14:paraId="4DFB497E">
      <w:pPr>
        <w:widowControl w:val="0"/>
        <w:numPr>
          <w:ilvl w:val="0"/>
          <w:numId w:val="0"/>
        </w:numPr>
        <w:snapToGrid w:val="0"/>
        <w:spacing w:after="0" w:line="360" w:lineRule="auto"/>
        <w:ind w:left="0" w:firstLine="420" w:firstLineChars="200"/>
        <w:jc w:val="both"/>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2.2</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报价评审标准（</w:t>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如有</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 xml:space="preserve">                                 </w:t>
      </w:r>
    </w:p>
    <w:p w14:paraId="105BFE7E">
      <w:pPr>
        <w:snapToGrid w:val="0"/>
        <w:spacing w:line="360" w:lineRule="auto"/>
        <w:ind w:firstLine="420" w:firstLineChars="200"/>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2.</w:t>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3</w:t>
      </w:r>
      <w:r>
        <w:rPr>
          <w:rFonts w:hint="eastAsia" w:cs="宋体"/>
          <w:color w:val="000000" w:themeColor="text1"/>
          <w:sz w:val="21"/>
          <w:szCs w:val="21"/>
          <w:highlight w:val="none"/>
          <w:u w:val="none"/>
          <w:lang w:val="en-US" w:eastAsia="zh-CN"/>
          <w14:textFill>
            <w14:solidFill>
              <w14:schemeClr w14:val="tx1"/>
            </w14:solidFill>
          </w14:textFill>
        </w:rPr>
        <w:t>定标委员会推荐的中标人：</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 xml:space="preserve">                              </w:t>
      </w:r>
    </w:p>
    <w:p w14:paraId="6E38DE74">
      <w:pPr>
        <w:numPr>
          <w:ilvl w:val="0"/>
          <w:numId w:val="2"/>
        </w:numPr>
        <w:snapToGrid w:val="0"/>
        <w:spacing w:line="360" w:lineRule="auto"/>
        <w:ind w:left="0" w:leftChars="0"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公示时间：</w:t>
      </w:r>
      <w:r>
        <w:rPr>
          <w:rFonts w:cs="Times New Roman" w:asciiTheme="minorEastAsia" w:hAnsiTheme="minorEastAsia" w:eastAsiaTheme="minorEastAsia"/>
          <w:b/>
          <w:bCs/>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月</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日至</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月</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日。投标人或其他利害关系人对</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公示内容</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有异议的，</w:t>
      </w:r>
      <w:r>
        <w:rPr>
          <w:rFonts w:hint="eastAsia" w:cs="宋体"/>
          <w:color w:val="000000" w:themeColor="text1"/>
          <w:sz w:val="21"/>
          <w:szCs w:val="21"/>
          <w:highlight w:val="none"/>
          <w14:textFill>
            <w14:solidFill>
              <w14:schemeClr w14:val="tx1"/>
            </w14:solidFill>
          </w14:textFill>
        </w:rPr>
        <w:t>应当在公示期间</w:t>
      </w:r>
      <w:r>
        <w:rPr>
          <w:rFonts w:ascii="宋体" w:hAnsi="宋体" w:cs="宋体"/>
          <w:color w:val="000000" w:themeColor="text1"/>
          <w:kern w:val="1"/>
          <w:sz w:val="21"/>
          <w:szCs w:val="21"/>
          <w:highlight w:val="none"/>
          <w14:textFill>
            <w14:solidFill>
              <w14:schemeClr w14:val="tx1"/>
            </w14:solidFill>
          </w14:textFill>
        </w:rPr>
        <w:t>通过</w:t>
      </w:r>
      <w:r>
        <w:rPr>
          <w:rFonts w:hint="eastAsia" w:ascii="宋体" w:hAnsi="宋体" w:cs="宋体"/>
          <w:color w:val="000000" w:themeColor="text1"/>
          <w:kern w:val="1"/>
          <w:sz w:val="21"/>
          <w:szCs w:val="21"/>
          <w:highlight w:val="none"/>
          <w:lang w:eastAsia="zh-CN"/>
          <w14:textFill>
            <w14:solidFill>
              <w14:schemeClr w14:val="tx1"/>
            </w14:solidFill>
          </w14:textFill>
        </w:rPr>
        <w:t>公共资源电子交易平台</w:t>
      </w:r>
      <w:r>
        <w:rPr>
          <w:rFonts w:hint="eastAsia" w:cs="宋体"/>
          <w:color w:val="000000" w:themeColor="text1"/>
          <w:sz w:val="21"/>
          <w:szCs w:val="21"/>
          <w:highlight w:val="none"/>
          <w14:textFill>
            <w14:solidFill>
              <w14:schemeClr w14:val="tx1"/>
            </w14:solidFill>
          </w14:textFill>
        </w:rPr>
        <w:t>向招标人提出</w:t>
      </w:r>
      <w:r>
        <w:rPr>
          <w:rFonts w:hint="eastAsia" w:cs="Times New Roman" w:asciiTheme="minorEastAsia" w:hAnsiTheme="minorEastAsia" w:eastAsiaTheme="minorEastAsia"/>
          <w:color w:val="000000" w:themeColor="text1"/>
          <w:spacing w:val="-3"/>
          <w:sz w:val="21"/>
          <w:szCs w:val="21"/>
          <w:highlight w:val="none"/>
          <w14:textFill>
            <w14:solidFill>
              <w14:schemeClr w14:val="tx1"/>
            </w14:solidFill>
          </w14:textFill>
        </w:rPr>
        <w:t>。</w:t>
      </w:r>
      <w:r>
        <w:rPr>
          <w:rFonts w:cs="Times New Roman" w:asciiTheme="minorEastAsia" w:hAnsiTheme="minorEastAsia" w:eastAsiaTheme="minorEastAsia"/>
          <w:color w:val="000000" w:themeColor="text1"/>
          <w:sz w:val="21"/>
          <w:szCs w:val="21"/>
          <w:highlight w:val="none"/>
          <w14:textFill>
            <w14:solidFill>
              <w14:schemeClr w14:val="tx1"/>
            </w14:solidFill>
          </w14:textFill>
        </w:rPr>
        <w:t xml:space="preserve"> </w:t>
      </w:r>
    </w:p>
    <w:p w14:paraId="7DBD52EA">
      <w:pPr>
        <w:numPr>
          <w:ilvl w:val="0"/>
          <w:numId w:val="2"/>
        </w:numPr>
        <w:snapToGrid w:val="0"/>
        <w:spacing w:line="360" w:lineRule="auto"/>
        <w:ind w:left="0" w:leftChars="0" w:firstLine="420" w:firstLineChars="200"/>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pPr>
      <w:r>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异议的渠道和方式：</w:t>
      </w:r>
    </w:p>
    <w:p w14:paraId="6700DBB7">
      <w:pPr>
        <w:snapToGrid w:val="0"/>
        <w:spacing w:line="360" w:lineRule="auto"/>
        <w:ind w:firstLine="539"/>
        <w:rPr>
          <w:rFonts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pPr>
      <w:r>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招标人名称：</w:t>
      </w:r>
      <w:r>
        <w:rPr>
          <w:rFonts w:hint="eastAsia"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w:t>
      </w:r>
    </w:p>
    <w:p w14:paraId="5559B681">
      <w:pPr>
        <w:snapToGrid w:val="0"/>
        <w:spacing w:line="360" w:lineRule="auto"/>
        <w:ind w:firstLine="539"/>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招标人地址：</w:t>
      </w:r>
      <w:r>
        <w:rPr>
          <w:rFonts w:hint="eastAsia"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w:t>
      </w:r>
    </w:p>
    <w:p w14:paraId="25FC8FB2">
      <w:pPr>
        <w:snapToGrid w:val="0"/>
        <w:spacing w:line="360" w:lineRule="auto"/>
        <w:ind w:firstLine="539"/>
        <w:rPr>
          <w:rFonts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招标人联系方式：</w:t>
      </w:r>
      <w:r>
        <w:rPr>
          <w:rFonts w:hint="eastAsia"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w:t>
      </w:r>
    </w:p>
    <w:p w14:paraId="22F6A861">
      <w:pPr>
        <w:snapToGrid w:val="0"/>
        <w:spacing w:line="360" w:lineRule="auto"/>
        <w:ind w:firstLine="539"/>
        <w:rPr>
          <w:rFonts w:cs="Times New Roman" w:asciiTheme="minorEastAsia" w:hAnsiTheme="minorEastAsia" w:eastAsiaTheme="minorEastAsia"/>
          <w:color w:val="000000" w:themeColor="text1"/>
          <w:sz w:val="21"/>
          <w:szCs w:val="21"/>
          <w:highlight w:val="none"/>
          <w14:textFill>
            <w14:solidFill>
              <w14:schemeClr w14:val="tx1"/>
            </w14:solidFill>
          </w14:textFill>
        </w:rPr>
      </w:pPr>
    </w:p>
    <w:p w14:paraId="78EF5267">
      <w:pPr>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（盖单位公章）</w:t>
      </w:r>
      <w:r>
        <w:rPr>
          <w:rFonts w:hint="eastAsia" w:ascii="宋体" w:hAnsi="宋体" w:eastAsia="宋体" w:cs="宋体"/>
          <w:color w:val="000000" w:themeColor="text1"/>
          <w:sz w:val="21"/>
          <w:szCs w:val="21"/>
          <w:highlight w:val="none"/>
          <w14:textFill>
            <w14:solidFill>
              <w14:schemeClr w14:val="tx1"/>
            </w14:solidFill>
          </w14:textFill>
        </w:rPr>
        <w:t xml:space="preserve">    招标代理机构：</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（盖单位公章）</w:t>
      </w:r>
    </w:p>
    <w:p w14:paraId="72146F19">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                             法定代表人或</w:t>
      </w:r>
    </w:p>
    <w:p w14:paraId="70D38795">
      <w:pPr>
        <w:widowControl/>
        <w:snapToGrid w:val="0"/>
        <w:spacing w:line="360" w:lineRule="auto"/>
        <w:ind w:firstLine="420" w:firstLineChars="200"/>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其委托代理人：</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（盖章或签字）</w:t>
      </w:r>
      <w:r>
        <w:rPr>
          <w:rFonts w:hint="eastAsia" w:ascii="宋体" w:hAnsi="宋体" w:eastAsia="宋体" w:cs="宋体"/>
          <w:color w:val="000000" w:themeColor="text1"/>
          <w:sz w:val="21"/>
          <w:szCs w:val="21"/>
          <w:highlight w:val="none"/>
          <w14:textFill>
            <w14:solidFill>
              <w14:schemeClr w14:val="tx1"/>
            </w14:solidFill>
          </w14:textFill>
        </w:rPr>
        <w:t xml:space="preserve">   其委托代理人：</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（盖章或签字）</w:t>
      </w:r>
    </w:p>
    <w:p w14:paraId="253D18BC">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11ECB148">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51A4EB3A">
      <w:pPr>
        <w:pStyle w:val="13"/>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14:paraId="2E30ABFA">
      <w:pPr>
        <w:snapToGrid w:val="0"/>
        <w:spacing w:line="420" w:lineRule="atLeast"/>
        <w:jc w:val="left"/>
        <w:outlineLvl w:val="2"/>
        <w:rPr>
          <w:rFonts w:hint="eastAsia" w:ascii="黑体" w:hAnsi="黑体" w:eastAsia="黑体" w:cs="Times New Roman"/>
          <w:color w:val="000000" w:themeColor="text1"/>
          <w:szCs w:val="21"/>
          <w:highlight w:val="none"/>
          <w14:textFill>
            <w14:solidFill>
              <w14:schemeClr w14:val="tx1"/>
            </w14:solidFill>
          </w14:textFill>
        </w:rPr>
      </w:pPr>
      <w:r>
        <w:rPr>
          <w:rFonts w:hint="eastAsia" w:ascii="黑体" w:hAnsi="黑体" w:eastAsia="黑体" w:cs="Times New Roman"/>
          <w:color w:val="000000" w:themeColor="text1"/>
          <w:szCs w:val="21"/>
          <w:highlight w:val="none"/>
          <w14:textFill>
            <w14:solidFill>
              <w14:schemeClr w14:val="tx1"/>
            </w14:solidFill>
          </w14:textFill>
        </w:rPr>
        <w:br w:type="page"/>
      </w:r>
    </w:p>
    <w:p w14:paraId="7EA779A5">
      <w:pPr>
        <w:pStyle w:val="13"/>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bookmarkStart w:id="400" w:name="_Toc2914"/>
      <w:bookmarkStart w:id="401" w:name="_Toc6548"/>
      <w:bookmarkStart w:id="402" w:name="_Toc14071"/>
      <w:r>
        <w:rPr>
          <w:rFonts w:hint="eastAsia" w:ascii="黑体" w:hAnsi="黑体" w:eastAsia="黑体" w:cs="Times New Roman"/>
          <w:color w:val="000000" w:themeColor="text1"/>
          <w:szCs w:val="21"/>
          <w:highlight w:val="none"/>
          <w14:textFill>
            <w14:solidFill>
              <w14:schemeClr w14:val="tx1"/>
            </w14:solidFill>
          </w14:textFill>
        </w:rPr>
        <w:t>附件2-</w:t>
      </w:r>
      <w:r>
        <w:rPr>
          <w:rFonts w:hint="eastAsia" w:ascii="黑体" w:hAnsi="黑体" w:eastAsia="黑体" w:cs="Times New Roman"/>
          <w:color w:val="000000" w:themeColor="text1"/>
          <w:szCs w:val="21"/>
          <w:highlight w:val="none"/>
          <w:lang w:val="en-US" w:eastAsia="zh-CN"/>
          <w14:textFill>
            <w14:solidFill>
              <w14:schemeClr w14:val="tx1"/>
            </w14:solidFill>
          </w14:textFill>
        </w:rPr>
        <w:t>3</w:t>
      </w:r>
      <w:r>
        <w:rPr>
          <w:rFonts w:hint="eastAsia" w:ascii="黑体" w:hAnsi="黑体" w:eastAsia="黑体" w:cs="Times New Roman"/>
          <w:color w:val="000000" w:themeColor="text1"/>
          <w:szCs w:val="21"/>
          <w:highlight w:val="none"/>
          <w14:textFill>
            <w14:solidFill>
              <w14:schemeClr w14:val="tx1"/>
            </w14:solidFill>
          </w14:textFill>
        </w:rPr>
        <w:t>：中标结果公布（格式）</w:t>
      </w:r>
      <w:bookmarkEnd w:id="400"/>
      <w:bookmarkEnd w:id="401"/>
      <w:bookmarkEnd w:id="402"/>
    </w:p>
    <w:p w14:paraId="37755058">
      <w:pPr>
        <w:jc w:val="center"/>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中标结果公布</w:t>
      </w:r>
    </w:p>
    <w:p w14:paraId="37AC41C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工程建设项目设计（勘察）招标，</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招标人根据</w:t>
      </w:r>
      <w:r>
        <w:rPr>
          <w:rFonts w:hint="eastAsia" w:ascii="宋体" w:hAnsi="宋体" w:eastAsia="宋体" w:cs="Times New Roman"/>
          <w:color w:val="000000" w:themeColor="text1"/>
          <w:sz w:val="21"/>
          <w:szCs w:val="21"/>
          <w:highlight w:val="none"/>
          <w14:textFill>
            <w14:solidFill>
              <w14:schemeClr w14:val="tx1"/>
            </w14:solidFill>
          </w14:textFill>
        </w:rPr>
        <w:t>定标委员会</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的中标人推荐结果</w:t>
      </w:r>
      <w:r>
        <w:rPr>
          <w:rFonts w:hint="eastAsia" w:ascii="宋体" w:hAnsi="宋体" w:eastAsia="宋体" w:cs="Times New Roman"/>
          <w:color w:val="000000" w:themeColor="text1"/>
          <w:sz w:val="21"/>
          <w:szCs w:val="21"/>
          <w:highlight w:val="none"/>
          <w14:textFill>
            <w14:solidFill>
              <w14:schemeClr w14:val="tx1"/>
            </w14:solidFill>
          </w14:textFill>
        </w:rPr>
        <w:t>确定了中标人，</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现将</w:t>
      </w:r>
      <w:r>
        <w:rPr>
          <w:rFonts w:hint="eastAsia" w:ascii="宋体" w:hAnsi="宋体" w:eastAsia="宋体" w:cs="Times New Roman"/>
          <w:color w:val="000000" w:themeColor="text1"/>
          <w:sz w:val="21"/>
          <w:szCs w:val="21"/>
          <w:highlight w:val="none"/>
          <w14:textFill>
            <w14:solidFill>
              <w14:schemeClr w14:val="tx1"/>
            </w14:solidFill>
          </w14:textFill>
        </w:rPr>
        <w:t>中标人有关情况公布如下</w:t>
      </w:r>
      <w:r>
        <w:rPr>
          <w:rFonts w:hint="eastAsia" w:ascii="宋体" w:hAnsi="宋体"/>
          <w:color w:val="000000" w:themeColor="text1"/>
          <w:sz w:val="21"/>
          <w:szCs w:val="21"/>
          <w:highlight w:val="none"/>
          <w14:textFill>
            <w14:solidFill>
              <w14:schemeClr w14:val="tx1"/>
            </w14:solidFill>
          </w14:textFill>
        </w:rPr>
        <w:t>：</w:t>
      </w:r>
    </w:p>
    <w:tbl>
      <w:tblPr>
        <w:tblStyle w:val="41"/>
        <w:tblW w:w="91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835"/>
        <w:gridCol w:w="1701"/>
        <w:gridCol w:w="2774"/>
      </w:tblGrid>
      <w:tr w14:paraId="3ECA2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7" w:hRule="atLeast"/>
          <w:jc w:val="center"/>
        </w:trPr>
        <w:tc>
          <w:tcPr>
            <w:tcW w:w="1812" w:type="dxa"/>
            <w:tcBorders>
              <w:tl2br w:val="nil"/>
              <w:tr2bl w:val="nil"/>
            </w:tcBorders>
            <w:vAlign w:val="center"/>
          </w:tcPr>
          <w:p w14:paraId="4ED082BC">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中标人</w:t>
            </w:r>
          </w:p>
        </w:tc>
        <w:tc>
          <w:tcPr>
            <w:tcW w:w="7310" w:type="dxa"/>
            <w:gridSpan w:val="3"/>
            <w:tcBorders>
              <w:tl2br w:val="nil"/>
              <w:tr2bl w:val="nil"/>
            </w:tcBorders>
            <w:vAlign w:val="center"/>
          </w:tcPr>
          <w:p w14:paraId="5A60D8D5">
            <w:pPr>
              <w:spacing w:line="360" w:lineRule="auto"/>
              <w:jc w:val="center"/>
              <w:rPr>
                <w:rFonts w:ascii="宋体" w:hAnsi="宋体"/>
                <w:color w:val="000000" w:themeColor="text1"/>
                <w:sz w:val="21"/>
                <w:szCs w:val="21"/>
                <w:highlight w:val="none"/>
                <w14:textFill>
                  <w14:solidFill>
                    <w14:schemeClr w14:val="tx1"/>
                  </w14:solidFill>
                </w14:textFill>
              </w:rPr>
            </w:pPr>
          </w:p>
        </w:tc>
      </w:tr>
      <w:tr w14:paraId="1EC99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12" w:type="dxa"/>
            <w:tcBorders>
              <w:tl2br w:val="nil"/>
              <w:tr2bl w:val="nil"/>
            </w:tcBorders>
            <w:vAlign w:val="center"/>
          </w:tcPr>
          <w:p w14:paraId="6BF50B8A">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项目设计负责人</w:t>
            </w:r>
          </w:p>
        </w:tc>
        <w:tc>
          <w:tcPr>
            <w:tcW w:w="2835" w:type="dxa"/>
            <w:tcBorders>
              <w:tl2br w:val="nil"/>
              <w:tr2bl w:val="nil"/>
            </w:tcBorders>
            <w:vAlign w:val="center"/>
          </w:tcPr>
          <w:p w14:paraId="199E526A">
            <w:pPr>
              <w:jc w:val="center"/>
              <w:rPr>
                <w:rFonts w:ascii="宋体" w:hAnsi="宋体"/>
                <w:color w:val="000000" w:themeColor="text1"/>
                <w:sz w:val="21"/>
                <w:szCs w:val="21"/>
                <w:highlight w:val="none"/>
                <w14:textFill>
                  <w14:solidFill>
                    <w14:schemeClr w14:val="tx1"/>
                  </w14:solidFill>
                </w14:textFill>
              </w:rPr>
            </w:pPr>
          </w:p>
        </w:tc>
        <w:tc>
          <w:tcPr>
            <w:tcW w:w="1701" w:type="dxa"/>
            <w:tcBorders>
              <w:tl2br w:val="nil"/>
              <w:tr2bl w:val="nil"/>
            </w:tcBorders>
            <w:vAlign w:val="center"/>
          </w:tcPr>
          <w:p w14:paraId="6D093A6B">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注册证书编号或职称证书编号</w:t>
            </w:r>
          </w:p>
        </w:tc>
        <w:tc>
          <w:tcPr>
            <w:tcW w:w="2774" w:type="dxa"/>
            <w:tcBorders>
              <w:tl2br w:val="nil"/>
              <w:tr2bl w:val="nil"/>
            </w:tcBorders>
            <w:vAlign w:val="center"/>
          </w:tcPr>
          <w:p w14:paraId="2C966EF7">
            <w:pPr>
              <w:jc w:val="center"/>
              <w:rPr>
                <w:rFonts w:ascii="宋体" w:hAnsi="宋体"/>
                <w:color w:val="000000" w:themeColor="text1"/>
                <w:sz w:val="21"/>
                <w:szCs w:val="21"/>
                <w:highlight w:val="none"/>
                <w14:textFill>
                  <w14:solidFill>
                    <w14:schemeClr w14:val="tx1"/>
                  </w14:solidFill>
                </w14:textFill>
              </w:rPr>
            </w:pPr>
          </w:p>
        </w:tc>
      </w:tr>
      <w:tr w14:paraId="504EA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12" w:type="dxa"/>
            <w:tcBorders>
              <w:tl2br w:val="nil"/>
              <w:tr2bl w:val="nil"/>
            </w:tcBorders>
            <w:vAlign w:val="center"/>
          </w:tcPr>
          <w:p w14:paraId="2EF1BDF7">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投资额</w:t>
            </w:r>
          </w:p>
          <w:p w14:paraId="37CE704B">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（万元）</w:t>
            </w:r>
          </w:p>
        </w:tc>
        <w:tc>
          <w:tcPr>
            <w:tcW w:w="2835" w:type="dxa"/>
            <w:tcBorders>
              <w:tl2br w:val="nil"/>
              <w:tr2bl w:val="nil"/>
            </w:tcBorders>
            <w:vAlign w:val="center"/>
          </w:tcPr>
          <w:p w14:paraId="22517F49">
            <w:pPr>
              <w:autoSpaceDE w:val="0"/>
              <w:autoSpaceDN w:val="0"/>
              <w:spacing w:line="276" w:lineRule="auto"/>
              <w:jc w:val="left"/>
              <w:rPr>
                <w:rFonts w:ascii="宋体" w:hAnsi="宋体"/>
                <w:color w:val="000000" w:themeColor="text1"/>
                <w:sz w:val="21"/>
                <w:szCs w:val="21"/>
                <w:highlight w:val="none"/>
                <w14:textFill>
                  <w14:solidFill>
                    <w14:schemeClr w14:val="tx1"/>
                  </w14:solidFill>
                </w14:textFill>
              </w:rPr>
            </w:pPr>
          </w:p>
        </w:tc>
        <w:tc>
          <w:tcPr>
            <w:tcW w:w="1701" w:type="dxa"/>
            <w:tcBorders>
              <w:tl2br w:val="nil"/>
              <w:tr2bl w:val="nil"/>
            </w:tcBorders>
            <w:vAlign w:val="center"/>
          </w:tcPr>
          <w:p w14:paraId="05AAA1AE">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中标价</w:t>
            </w:r>
          </w:p>
          <w:p w14:paraId="3FAB185B">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（元）</w:t>
            </w:r>
          </w:p>
        </w:tc>
        <w:tc>
          <w:tcPr>
            <w:tcW w:w="2774" w:type="dxa"/>
            <w:tcBorders>
              <w:tl2br w:val="nil"/>
              <w:tr2bl w:val="nil"/>
            </w:tcBorders>
            <w:vAlign w:val="center"/>
          </w:tcPr>
          <w:p w14:paraId="31E1BC4D">
            <w:pPr>
              <w:autoSpaceDE w:val="0"/>
              <w:autoSpaceDN w:val="0"/>
              <w:spacing w:line="276" w:lineRule="auto"/>
              <w:jc w:val="left"/>
              <w:rPr>
                <w:rFonts w:ascii="宋体" w:hAnsi="宋体"/>
                <w:color w:val="000000" w:themeColor="text1"/>
                <w:sz w:val="21"/>
                <w:szCs w:val="21"/>
                <w:highlight w:val="none"/>
                <w14:textFill>
                  <w14:solidFill>
                    <w14:schemeClr w14:val="tx1"/>
                  </w14:solidFill>
                </w14:textFill>
              </w:rPr>
            </w:pPr>
          </w:p>
        </w:tc>
      </w:tr>
      <w:tr w14:paraId="6671B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12" w:type="dxa"/>
            <w:tcBorders>
              <w:tl2br w:val="nil"/>
              <w:tr2bl w:val="nil"/>
            </w:tcBorders>
            <w:vAlign w:val="center"/>
          </w:tcPr>
          <w:p w14:paraId="1F4832C2">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设计（勘察）服务期限（日历天）</w:t>
            </w:r>
          </w:p>
        </w:tc>
        <w:tc>
          <w:tcPr>
            <w:tcW w:w="2835" w:type="dxa"/>
            <w:tcBorders>
              <w:tl2br w:val="nil"/>
              <w:tr2bl w:val="nil"/>
            </w:tcBorders>
            <w:vAlign w:val="center"/>
          </w:tcPr>
          <w:p w14:paraId="640F5479">
            <w:pPr>
              <w:autoSpaceDE w:val="0"/>
              <w:autoSpaceDN w:val="0"/>
              <w:spacing w:line="276" w:lineRule="auto"/>
              <w:jc w:val="left"/>
              <w:rPr>
                <w:rFonts w:ascii="宋体" w:hAnsi="宋体"/>
                <w:color w:val="000000" w:themeColor="text1"/>
                <w:sz w:val="21"/>
                <w:szCs w:val="21"/>
                <w:highlight w:val="none"/>
                <w14:textFill>
                  <w14:solidFill>
                    <w14:schemeClr w14:val="tx1"/>
                  </w14:solidFill>
                </w14:textFill>
              </w:rPr>
            </w:pPr>
          </w:p>
        </w:tc>
        <w:tc>
          <w:tcPr>
            <w:tcW w:w="1701" w:type="dxa"/>
            <w:tcBorders>
              <w:tl2br w:val="nil"/>
              <w:tr2bl w:val="nil"/>
            </w:tcBorders>
            <w:vAlign w:val="center"/>
          </w:tcPr>
          <w:p w14:paraId="70E61B28">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2774" w:type="dxa"/>
            <w:tcBorders>
              <w:tl2br w:val="nil"/>
              <w:tr2bl w:val="nil"/>
            </w:tcBorders>
            <w:vAlign w:val="center"/>
          </w:tcPr>
          <w:p w14:paraId="3C482D4A">
            <w:pPr>
              <w:autoSpaceDE w:val="0"/>
              <w:autoSpaceDN w:val="0"/>
              <w:spacing w:line="276" w:lineRule="auto"/>
              <w:jc w:val="left"/>
              <w:rPr>
                <w:rFonts w:ascii="宋体" w:hAnsi="宋体"/>
                <w:color w:val="000000" w:themeColor="text1"/>
                <w:sz w:val="21"/>
                <w:szCs w:val="21"/>
                <w:highlight w:val="none"/>
                <w14:textFill>
                  <w14:solidFill>
                    <w14:schemeClr w14:val="tx1"/>
                  </w14:solidFill>
                </w14:textFill>
              </w:rPr>
            </w:pPr>
          </w:p>
        </w:tc>
      </w:tr>
    </w:tbl>
    <w:p w14:paraId="6A33DD82">
      <w:pPr>
        <w:spacing w:line="440" w:lineRule="exact"/>
        <w:ind w:left="-270" w:leftChars="-135" w:right="-270" w:rightChars="-135" w:firstLine="480" w:firstLineChars="200"/>
        <w:rPr>
          <w:rFonts w:ascii="宋体" w:hAnsi="宋体"/>
          <w:color w:val="000000" w:themeColor="text1"/>
          <w:sz w:val="24"/>
          <w:highlight w:val="none"/>
          <w14:textFill>
            <w14:solidFill>
              <w14:schemeClr w14:val="tx1"/>
            </w14:solidFill>
          </w14:textFill>
        </w:rPr>
      </w:pPr>
    </w:p>
    <w:p w14:paraId="1C7E1BEE">
      <w:pPr>
        <w:spacing w:line="440" w:lineRule="exact"/>
        <w:ind w:left="-270" w:leftChars="-135" w:right="-270" w:rightChars="-135"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97641C9">
      <w:pPr>
        <w:spacing w:line="440" w:lineRule="exact"/>
        <w:ind w:left="-270" w:leftChars="-135" w:right="-270" w:rightChars="-135"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招标人地址：</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B627882">
      <w:pPr>
        <w:spacing w:line="440" w:lineRule="exact"/>
        <w:ind w:left="-270" w:leftChars="-135" w:right="-270" w:rightChars="-135"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招标人联系方式：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8B9F4BB">
      <w:pPr>
        <w:spacing w:line="440" w:lineRule="exact"/>
        <w:ind w:firstLine="283" w:firstLineChars="118"/>
        <w:jc w:val="left"/>
        <w:rPr>
          <w:rFonts w:ascii="宋体" w:hAnsi="宋体"/>
          <w:color w:val="000000" w:themeColor="text1"/>
          <w:sz w:val="24"/>
          <w:highlight w:val="none"/>
          <w:u w:val="single"/>
          <w14:textFill>
            <w14:solidFill>
              <w14:schemeClr w14:val="tx1"/>
            </w14:solidFill>
          </w14:textFill>
        </w:rPr>
      </w:pPr>
    </w:p>
    <w:p w14:paraId="00ADAFDE">
      <w:pPr>
        <w:spacing w:line="440" w:lineRule="exact"/>
        <w:jc w:val="left"/>
        <w:rPr>
          <w:rFonts w:ascii="宋体" w:hAnsi="宋体"/>
          <w:color w:val="000000" w:themeColor="text1"/>
          <w:sz w:val="24"/>
          <w:highlight w:val="none"/>
          <w:u w:val="single"/>
          <w14:textFill>
            <w14:solidFill>
              <w14:schemeClr w14:val="tx1"/>
            </w14:solidFill>
          </w14:textFill>
        </w:rPr>
      </w:pPr>
    </w:p>
    <w:p w14:paraId="60085BB1">
      <w:pPr>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（盖单位公章）</w:t>
      </w:r>
      <w:r>
        <w:rPr>
          <w:rFonts w:hint="eastAsia" w:ascii="宋体" w:hAnsi="宋体" w:eastAsia="宋体" w:cs="宋体"/>
          <w:color w:val="000000" w:themeColor="text1"/>
          <w:sz w:val="21"/>
          <w:szCs w:val="21"/>
          <w:highlight w:val="none"/>
          <w14:textFill>
            <w14:solidFill>
              <w14:schemeClr w14:val="tx1"/>
            </w14:solidFill>
          </w14:textFill>
        </w:rPr>
        <w:t xml:space="preserve">    招标代理机构：</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（盖单位公章）</w:t>
      </w:r>
    </w:p>
    <w:p w14:paraId="7A6F805C">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                             法定代表人或</w:t>
      </w:r>
    </w:p>
    <w:p w14:paraId="36471809">
      <w:pPr>
        <w:pStyle w:val="13"/>
        <w:tabs>
          <w:tab w:val="left" w:pos="510"/>
          <w:tab w:val="left" w:pos="1000"/>
        </w:tabs>
        <w:snapToGrid w:val="0"/>
        <w:spacing w:line="420" w:lineRule="atLeas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其委托代理人：</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（盖章或签字）</w:t>
      </w:r>
      <w:r>
        <w:rPr>
          <w:rFonts w:hint="eastAsia" w:ascii="宋体" w:hAnsi="宋体" w:eastAsia="宋体" w:cs="宋体"/>
          <w:color w:val="000000" w:themeColor="text1"/>
          <w:sz w:val="21"/>
          <w:szCs w:val="21"/>
          <w:highlight w:val="none"/>
          <w14:textFill>
            <w14:solidFill>
              <w14:schemeClr w14:val="tx1"/>
            </w14:solidFill>
          </w14:textFill>
        </w:rPr>
        <w:t xml:space="preserve">   其委托代理人：</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（盖章或签字）</w:t>
      </w:r>
    </w:p>
    <w:p w14:paraId="32D69B22">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5BD1B0E6">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328BDAD3">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4C2E2201">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02C2DD03">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7D66206F">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79DF2F6C">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58AD3530">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14:paraId="038D198B">
      <w:pPr>
        <w:pStyle w:val="13"/>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bookmarkStart w:id="403" w:name="_Toc24196"/>
      <w:bookmarkStart w:id="404" w:name="_Toc551"/>
      <w:bookmarkStart w:id="405" w:name="_Toc32045"/>
      <w:r>
        <w:rPr>
          <w:rFonts w:hint="eastAsia" w:ascii="黑体" w:hAnsi="黑体" w:eastAsia="黑体" w:cs="Times New Roman"/>
          <w:color w:val="000000" w:themeColor="text1"/>
          <w:szCs w:val="21"/>
          <w:highlight w:val="none"/>
          <w14:textFill>
            <w14:solidFill>
              <w14:schemeClr w14:val="tx1"/>
            </w14:solidFill>
          </w14:textFill>
        </w:rPr>
        <w:t>附件2-</w:t>
      </w:r>
      <w:r>
        <w:rPr>
          <w:rFonts w:hint="eastAsia" w:ascii="黑体" w:hAnsi="黑体" w:eastAsia="黑体" w:cs="Times New Roman"/>
          <w:color w:val="000000" w:themeColor="text1"/>
          <w:szCs w:val="21"/>
          <w:highlight w:val="none"/>
          <w:lang w:val="en-US" w:eastAsia="zh-CN"/>
          <w14:textFill>
            <w14:solidFill>
              <w14:schemeClr w14:val="tx1"/>
            </w14:solidFill>
          </w14:textFill>
        </w:rPr>
        <w:t>4</w:t>
      </w:r>
      <w:r>
        <w:rPr>
          <w:rFonts w:hint="eastAsia" w:ascii="黑体" w:hAnsi="黑体" w:eastAsia="黑体" w:cs="Times New Roman"/>
          <w:color w:val="000000" w:themeColor="text1"/>
          <w:szCs w:val="21"/>
          <w:highlight w:val="none"/>
          <w14:textFill>
            <w14:solidFill>
              <w14:schemeClr w14:val="tx1"/>
            </w14:solidFill>
          </w14:textFill>
        </w:rPr>
        <w:t>：中标通知书（格式）</w:t>
      </w:r>
      <w:bookmarkEnd w:id="403"/>
      <w:bookmarkEnd w:id="404"/>
      <w:bookmarkEnd w:id="405"/>
    </w:p>
    <w:p w14:paraId="6E5AABBE">
      <w:pPr>
        <w:pStyle w:val="57"/>
        <w:spacing w:beforeLines="100" w:afterLines="100"/>
        <w:jc w:val="center"/>
        <w:rPr>
          <w:rFonts w:hAnsi="黑体"/>
          <w:b/>
          <w:color w:val="000000" w:themeColor="text1"/>
          <w:sz w:val="28"/>
          <w:szCs w:val="28"/>
          <w:highlight w:val="none"/>
          <w14:textFill>
            <w14:solidFill>
              <w14:schemeClr w14:val="tx1"/>
            </w14:solidFill>
          </w14:textFill>
        </w:rPr>
      </w:pPr>
      <w:r>
        <w:rPr>
          <w:rFonts w:hint="eastAsia" w:hAnsi="黑体"/>
          <w:b/>
          <w:color w:val="000000" w:themeColor="text1"/>
          <w:sz w:val="28"/>
          <w:szCs w:val="28"/>
          <w:highlight w:val="none"/>
          <w14:textFill>
            <w14:solidFill>
              <w14:schemeClr w14:val="tx1"/>
            </w14:solidFill>
          </w14:textFill>
        </w:rPr>
        <w:t>中标通知书</w:t>
      </w:r>
    </w:p>
    <w:p w14:paraId="2C5CB56A">
      <w:pPr>
        <w:pStyle w:val="57"/>
        <w:spacing w:line="360" w:lineRule="auto"/>
        <w:rPr>
          <w:rFonts w:ascii="宋体" w:hAnsi="宋体" w:eastAsia="宋体"/>
          <w:b/>
          <w:color w:val="000000" w:themeColor="text1"/>
          <w:sz w:val="28"/>
          <w:szCs w:val="28"/>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（中标人名称）：</w:t>
      </w:r>
    </w:p>
    <w:p w14:paraId="676BFF6B">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你方于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（投标日期）所递交的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（项目名称）设计（勘察）投标文件已被我方接受，被确定为中标人。</w:t>
      </w:r>
      <w:r>
        <w:rPr>
          <w:rFonts w:ascii="宋体" w:hAnsi="宋体" w:eastAsia="宋体" w:cs="宋体"/>
          <w:color w:val="000000" w:themeColor="text1"/>
          <w:sz w:val="21"/>
          <w:szCs w:val="21"/>
          <w:highlight w:val="none"/>
          <w14:textFill>
            <w14:solidFill>
              <w14:schemeClr w14:val="tx1"/>
            </w14:solidFill>
          </w14:textFill>
        </w:rPr>
        <w:t xml:space="preserve"> </w:t>
      </w:r>
    </w:p>
    <w:p w14:paraId="2A79DEFC">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r>
        <w:rPr>
          <w:rFonts w:ascii="宋体" w:hAnsi="宋体" w:eastAsia="宋体" w:cs="宋体"/>
          <w:color w:val="000000" w:themeColor="text1"/>
          <w:sz w:val="21"/>
          <w:szCs w:val="21"/>
          <w:highlight w:val="none"/>
          <w14:textFill>
            <w14:solidFill>
              <w14:schemeClr w14:val="tx1"/>
            </w14:solidFill>
          </w14:textFill>
        </w:rPr>
        <w:t xml:space="preserve"> </w:t>
      </w:r>
    </w:p>
    <w:p w14:paraId="4A6EE127">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设计（勘察）服务期限：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14:paraId="16B10391">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14:paraId="67E84102">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项目设计负责人：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，注册证书编号：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14:paraId="749B8F5E">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请你方在接到本通知书后的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日内到</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（指定地点）与我方签订设计（勘察）合同，并按招标文件第二章</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投标人须知正文</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hAnsi="宋体" w:eastAsia="宋体" w:cs="Times New Roman"/>
          <w:color w:val="000000" w:themeColor="text1"/>
          <w:sz w:val="21"/>
          <w:szCs w:val="21"/>
          <w:highlight w:val="none"/>
          <w14:textFill>
            <w14:solidFill>
              <w14:schemeClr w14:val="tx1"/>
            </w14:solidFill>
          </w14:textFill>
        </w:rPr>
        <w:t>7.</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条规定向我方提交履约保证金。</w:t>
      </w:r>
      <w:r>
        <w:rPr>
          <w:rFonts w:ascii="宋体" w:hAnsi="宋体" w:eastAsia="宋体" w:cs="宋体"/>
          <w:color w:val="000000" w:themeColor="text1"/>
          <w:sz w:val="21"/>
          <w:szCs w:val="21"/>
          <w:highlight w:val="none"/>
          <w14:textFill>
            <w14:solidFill>
              <w14:schemeClr w14:val="tx1"/>
            </w14:solidFill>
          </w14:textFill>
        </w:rPr>
        <w:t xml:space="preserve"> </w:t>
      </w:r>
    </w:p>
    <w:p w14:paraId="15672067">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特此通知。</w:t>
      </w:r>
      <w:r>
        <w:rPr>
          <w:rFonts w:ascii="宋体" w:hAnsi="宋体" w:eastAsia="宋体" w:cs="宋体"/>
          <w:color w:val="000000" w:themeColor="text1"/>
          <w:sz w:val="21"/>
          <w:szCs w:val="21"/>
          <w:highlight w:val="none"/>
          <w14:textFill>
            <w14:solidFill>
              <w14:schemeClr w14:val="tx1"/>
            </w14:solidFill>
          </w14:textFill>
        </w:rPr>
        <w:t xml:space="preserve"> </w:t>
      </w:r>
    </w:p>
    <w:p w14:paraId="60705812">
      <w:pPr>
        <w:pStyle w:val="57"/>
        <w:spacing w:line="360" w:lineRule="auto"/>
        <w:ind w:firstLine="3968" w:firstLineChars="1890"/>
        <w:rPr>
          <w:rFonts w:ascii="宋体" w:hAnsi="宋体" w:eastAsia="宋体" w:cs="宋体"/>
          <w:color w:val="000000" w:themeColor="text1"/>
          <w:sz w:val="21"/>
          <w:szCs w:val="21"/>
          <w:highlight w:val="none"/>
          <w14:textFill>
            <w14:solidFill>
              <w14:schemeClr w14:val="tx1"/>
            </w14:solidFill>
          </w14:textFill>
        </w:rPr>
      </w:pPr>
    </w:p>
    <w:p w14:paraId="2C9F1B19">
      <w:pPr>
        <w:pStyle w:val="57"/>
        <w:spacing w:line="360" w:lineRule="auto"/>
        <w:ind w:firstLine="3968" w:firstLineChars="189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（盖单位公章）</w:t>
      </w:r>
      <w:r>
        <w:rPr>
          <w:rFonts w:ascii="宋体" w:hAnsi="宋体" w:eastAsia="宋体" w:cs="宋体"/>
          <w:color w:val="000000" w:themeColor="text1"/>
          <w:sz w:val="21"/>
          <w:szCs w:val="21"/>
          <w:highlight w:val="none"/>
          <w14:textFill>
            <w14:solidFill>
              <w14:schemeClr w14:val="tx1"/>
            </w14:solidFill>
          </w14:textFill>
        </w:rPr>
        <w:t xml:space="preserve"> </w:t>
      </w:r>
    </w:p>
    <w:p w14:paraId="096C2351">
      <w:pPr>
        <w:pStyle w:val="57"/>
        <w:spacing w:line="360" w:lineRule="auto"/>
        <w:ind w:firstLine="3990" w:firstLineChars="19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（盖章或签字）</w:t>
      </w:r>
      <w:r>
        <w:rPr>
          <w:rFonts w:ascii="宋体" w:hAnsi="宋体" w:eastAsia="宋体" w:cs="宋体"/>
          <w:color w:val="000000" w:themeColor="text1"/>
          <w:sz w:val="21"/>
          <w:szCs w:val="21"/>
          <w:highlight w:val="none"/>
          <w14:textFill>
            <w14:solidFill>
              <w14:schemeClr w14:val="tx1"/>
            </w14:solidFill>
          </w14:textFill>
        </w:rPr>
        <w:t xml:space="preserve"> </w:t>
      </w:r>
    </w:p>
    <w:p w14:paraId="68D97DA6">
      <w:pPr>
        <w:pStyle w:val="57"/>
        <w:spacing w:line="360" w:lineRule="auto"/>
        <w:ind w:firstLine="3968" w:firstLineChars="1890"/>
        <w:jc w:val="righ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06E0B865">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704AC2BF">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701EF1D5">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649F39EA">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1DDD87B1">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76AFE9A6">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09C21344">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54F30F34">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5ECED841">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6D2FAAF9">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4E40E7F3">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40D71239">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p>
    <w:p w14:paraId="68D2EFB0">
      <w:pPr>
        <w:pStyle w:val="13"/>
        <w:tabs>
          <w:tab w:val="left" w:pos="510"/>
          <w:tab w:val="left" w:pos="1000"/>
        </w:tabs>
        <w:snapToGrid w:val="0"/>
        <w:spacing w:afterLines="100" w:line="420" w:lineRule="atLeast"/>
        <w:ind w:firstLine="0"/>
        <w:jc w:val="center"/>
        <w:rPr>
          <w:rFonts w:ascii="黑体" w:hAnsi="黑体" w:eastAsia="黑体"/>
          <w:color w:val="000000" w:themeColor="text1"/>
          <w:sz w:val="44"/>
          <w:szCs w:val="44"/>
          <w:highlight w:val="none"/>
          <w14:textFill>
            <w14:solidFill>
              <w14:schemeClr w14:val="tx1"/>
            </w14:solidFill>
          </w14:textFill>
        </w:rPr>
      </w:pPr>
    </w:p>
    <w:p w14:paraId="673BE523">
      <w:pPr>
        <w:pStyle w:val="13"/>
        <w:tabs>
          <w:tab w:val="left" w:pos="510"/>
          <w:tab w:val="left" w:pos="1000"/>
        </w:tabs>
        <w:snapToGrid w:val="0"/>
        <w:spacing w:afterLines="100" w:line="420" w:lineRule="atLeast"/>
        <w:ind w:firstLine="0"/>
        <w:jc w:val="center"/>
        <w:rPr>
          <w:rFonts w:ascii="黑体" w:hAnsi="黑体" w:eastAsia="黑体"/>
          <w:color w:val="000000" w:themeColor="text1"/>
          <w:sz w:val="44"/>
          <w:szCs w:val="44"/>
          <w:highlight w:val="none"/>
          <w14:textFill>
            <w14:solidFill>
              <w14:schemeClr w14:val="tx1"/>
            </w14:solidFill>
          </w14:textFill>
        </w:rPr>
      </w:pPr>
    </w:p>
    <w:p w14:paraId="55B690B9">
      <w:pPr>
        <w:pStyle w:val="13"/>
        <w:tabs>
          <w:tab w:val="left" w:pos="510"/>
          <w:tab w:val="left" w:pos="1000"/>
        </w:tabs>
        <w:snapToGrid w:val="0"/>
        <w:spacing w:afterLines="100" w:line="420" w:lineRule="atLeast"/>
        <w:ind w:firstLine="0"/>
        <w:jc w:val="center"/>
        <w:rPr>
          <w:rFonts w:ascii="黑体" w:hAnsi="黑体" w:eastAsia="黑体"/>
          <w:color w:val="000000" w:themeColor="text1"/>
          <w:sz w:val="44"/>
          <w:szCs w:val="44"/>
          <w:highlight w:val="none"/>
          <w14:textFill>
            <w14:solidFill>
              <w14:schemeClr w14:val="tx1"/>
            </w14:solidFill>
          </w14:textFill>
        </w:rPr>
      </w:pPr>
    </w:p>
    <w:p w14:paraId="4236E852">
      <w:pPr>
        <w:pStyle w:val="13"/>
        <w:tabs>
          <w:tab w:val="left" w:pos="510"/>
          <w:tab w:val="left" w:pos="1000"/>
        </w:tabs>
        <w:snapToGrid w:val="0"/>
        <w:spacing w:afterLines="100" w:line="420" w:lineRule="atLeast"/>
        <w:ind w:firstLine="0"/>
        <w:rPr>
          <w:rFonts w:ascii="黑体" w:hAnsi="黑体" w:eastAsia="黑体"/>
          <w:color w:val="000000" w:themeColor="text1"/>
          <w:sz w:val="44"/>
          <w:szCs w:val="44"/>
          <w:highlight w:val="none"/>
          <w14:textFill>
            <w14:solidFill>
              <w14:schemeClr w14:val="tx1"/>
            </w14:solidFill>
          </w14:textFill>
        </w:rPr>
      </w:pPr>
    </w:p>
    <w:p w14:paraId="403EE2FB">
      <w:pPr>
        <w:pStyle w:val="13"/>
        <w:tabs>
          <w:tab w:val="left" w:pos="510"/>
          <w:tab w:val="left" w:pos="1000"/>
        </w:tabs>
        <w:snapToGrid w:val="0"/>
        <w:spacing w:afterLines="100" w:line="420" w:lineRule="atLeast"/>
        <w:ind w:firstLine="0"/>
        <w:jc w:val="center"/>
        <w:outlineLvl w:val="1"/>
        <w:rPr>
          <w:rFonts w:ascii="黑体" w:hAnsi="黑体" w:eastAsia="黑体"/>
          <w:color w:val="000000" w:themeColor="text1"/>
          <w:sz w:val="44"/>
          <w:szCs w:val="44"/>
          <w:highlight w:val="none"/>
          <w14:textFill>
            <w14:solidFill>
              <w14:schemeClr w14:val="tx1"/>
            </w14:solidFill>
          </w14:textFill>
        </w:rPr>
      </w:pPr>
      <w:bookmarkStart w:id="406" w:name="_Toc27937"/>
      <w:bookmarkStart w:id="407" w:name="_Toc9023"/>
      <w:bookmarkStart w:id="408" w:name="_Toc5106"/>
      <w:r>
        <w:rPr>
          <w:rFonts w:hint="eastAsia" w:ascii="黑体" w:hAnsi="黑体" w:eastAsia="黑体"/>
          <w:color w:val="000000" w:themeColor="text1"/>
          <w:sz w:val="44"/>
          <w:szCs w:val="44"/>
          <w:highlight w:val="none"/>
          <w14:textFill>
            <w14:solidFill>
              <w14:schemeClr w14:val="tx1"/>
            </w14:solidFill>
          </w14:textFill>
        </w:rPr>
        <w:t>第三章 评标办法</w:t>
      </w:r>
      <w:bookmarkEnd w:id="406"/>
      <w:bookmarkEnd w:id="407"/>
      <w:bookmarkEnd w:id="408"/>
    </w:p>
    <w:p w14:paraId="7E9BC91C">
      <w:pPr>
        <w:spacing w:line="360" w:lineRule="auto"/>
        <w:jc w:val="left"/>
        <w:rPr>
          <w:rFonts w:ascii="宋体" w:hAnsi="宋体"/>
          <w:color w:val="000000" w:themeColor="text1"/>
          <w:sz w:val="21"/>
          <w:szCs w:val="21"/>
          <w:highlight w:val="none"/>
          <w14:textFill>
            <w14:solidFill>
              <w14:schemeClr w14:val="tx1"/>
            </w14:solidFill>
          </w14:textFill>
        </w:rPr>
      </w:pPr>
    </w:p>
    <w:p w14:paraId="74FA5C2B">
      <w:pPr>
        <w:spacing w:line="360" w:lineRule="auto"/>
        <w:jc w:val="left"/>
        <w:rPr>
          <w:rFonts w:ascii="宋体" w:hAnsi="宋体"/>
          <w:color w:val="000000" w:themeColor="text1"/>
          <w:sz w:val="21"/>
          <w:szCs w:val="21"/>
          <w:highlight w:val="none"/>
          <w14:textFill>
            <w14:solidFill>
              <w14:schemeClr w14:val="tx1"/>
            </w14:solidFill>
          </w14:textFill>
        </w:rPr>
      </w:pPr>
    </w:p>
    <w:p w14:paraId="49FA4FEC">
      <w:pPr>
        <w:spacing w:line="360" w:lineRule="auto"/>
        <w:jc w:val="left"/>
        <w:rPr>
          <w:rFonts w:ascii="宋体" w:hAnsi="宋体"/>
          <w:color w:val="000000" w:themeColor="text1"/>
          <w:sz w:val="21"/>
          <w:szCs w:val="21"/>
          <w:highlight w:val="none"/>
          <w14:textFill>
            <w14:solidFill>
              <w14:schemeClr w14:val="tx1"/>
            </w14:solidFill>
          </w14:textFill>
        </w:rPr>
      </w:pPr>
    </w:p>
    <w:p w14:paraId="73C04C23">
      <w:pPr>
        <w:spacing w:line="360" w:lineRule="auto"/>
        <w:jc w:val="left"/>
        <w:rPr>
          <w:rFonts w:ascii="宋体" w:hAnsi="宋体"/>
          <w:color w:val="000000" w:themeColor="text1"/>
          <w:sz w:val="21"/>
          <w:szCs w:val="21"/>
          <w:highlight w:val="none"/>
          <w14:textFill>
            <w14:solidFill>
              <w14:schemeClr w14:val="tx1"/>
            </w14:solidFill>
          </w14:textFill>
        </w:rPr>
      </w:pPr>
    </w:p>
    <w:p w14:paraId="603058CC">
      <w:pPr>
        <w:spacing w:line="360" w:lineRule="auto"/>
        <w:jc w:val="left"/>
        <w:rPr>
          <w:rFonts w:ascii="宋体" w:hAnsi="宋体"/>
          <w:color w:val="000000" w:themeColor="text1"/>
          <w:sz w:val="21"/>
          <w:szCs w:val="21"/>
          <w:highlight w:val="none"/>
          <w14:textFill>
            <w14:solidFill>
              <w14:schemeClr w14:val="tx1"/>
            </w14:solidFill>
          </w14:textFill>
        </w:rPr>
      </w:pPr>
    </w:p>
    <w:p w14:paraId="07F54ACB">
      <w:pPr>
        <w:spacing w:line="360" w:lineRule="auto"/>
        <w:jc w:val="left"/>
        <w:rPr>
          <w:rFonts w:ascii="宋体" w:hAnsi="宋体"/>
          <w:color w:val="000000" w:themeColor="text1"/>
          <w:sz w:val="21"/>
          <w:szCs w:val="21"/>
          <w:highlight w:val="none"/>
          <w14:textFill>
            <w14:solidFill>
              <w14:schemeClr w14:val="tx1"/>
            </w14:solidFill>
          </w14:textFill>
        </w:rPr>
      </w:pPr>
    </w:p>
    <w:p w14:paraId="7373F7B5">
      <w:pPr>
        <w:spacing w:line="360" w:lineRule="auto"/>
        <w:jc w:val="left"/>
        <w:rPr>
          <w:rFonts w:ascii="宋体" w:hAnsi="宋体"/>
          <w:color w:val="000000" w:themeColor="text1"/>
          <w:sz w:val="21"/>
          <w:szCs w:val="21"/>
          <w:highlight w:val="none"/>
          <w14:textFill>
            <w14:solidFill>
              <w14:schemeClr w14:val="tx1"/>
            </w14:solidFill>
          </w14:textFill>
        </w:rPr>
      </w:pPr>
    </w:p>
    <w:p w14:paraId="6B8FE928">
      <w:pPr>
        <w:spacing w:line="360" w:lineRule="auto"/>
        <w:jc w:val="left"/>
        <w:rPr>
          <w:rFonts w:ascii="宋体" w:hAnsi="宋体"/>
          <w:color w:val="000000" w:themeColor="text1"/>
          <w:sz w:val="21"/>
          <w:szCs w:val="21"/>
          <w:highlight w:val="none"/>
          <w14:textFill>
            <w14:solidFill>
              <w14:schemeClr w14:val="tx1"/>
            </w14:solidFill>
          </w14:textFill>
        </w:rPr>
      </w:pPr>
    </w:p>
    <w:p w14:paraId="39B19ECA">
      <w:pPr>
        <w:spacing w:line="360" w:lineRule="auto"/>
        <w:jc w:val="left"/>
        <w:rPr>
          <w:rFonts w:ascii="宋体" w:hAnsi="宋体"/>
          <w:color w:val="000000" w:themeColor="text1"/>
          <w:sz w:val="21"/>
          <w:szCs w:val="21"/>
          <w:highlight w:val="none"/>
          <w14:textFill>
            <w14:solidFill>
              <w14:schemeClr w14:val="tx1"/>
            </w14:solidFill>
          </w14:textFill>
        </w:rPr>
      </w:pPr>
    </w:p>
    <w:p w14:paraId="38AEE3D4">
      <w:pPr>
        <w:spacing w:line="360" w:lineRule="auto"/>
        <w:jc w:val="left"/>
        <w:rPr>
          <w:rFonts w:ascii="宋体" w:hAnsi="宋体"/>
          <w:color w:val="000000" w:themeColor="text1"/>
          <w:sz w:val="21"/>
          <w:szCs w:val="21"/>
          <w:highlight w:val="none"/>
          <w14:textFill>
            <w14:solidFill>
              <w14:schemeClr w14:val="tx1"/>
            </w14:solidFill>
          </w14:textFill>
        </w:rPr>
      </w:pPr>
    </w:p>
    <w:p w14:paraId="34388B3E">
      <w:pPr>
        <w:spacing w:line="360" w:lineRule="auto"/>
        <w:jc w:val="left"/>
        <w:rPr>
          <w:rFonts w:ascii="宋体" w:hAnsi="宋体"/>
          <w:color w:val="000000" w:themeColor="text1"/>
          <w:sz w:val="21"/>
          <w:szCs w:val="21"/>
          <w:highlight w:val="none"/>
          <w14:textFill>
            <w14:solidFill>
              <w14:schemeClr w14:val="tx1"/>
            </w14:solidFill>
          </w14:textFill>
        </w:rPr>
      </w:pPr>
    </w:p>
    <w:p w14:paraId="2486E69B">
      <w:pPr>
        <w:spacing w:line="360" w:lineRule="auto"/>
        <w:jc w:val="left"/>
        <w:rPr>
          <w:rFonts w:ascii="宋体" w:hAnsi="宋体"/>
          <w:color w:val="000000" w:themeColor="text1"/>
          <w:sz w:val="21"/>
          <w:szCs w:val="21"/>
          <w:highlight w:val="none"/>
          <w14:textFill>
            <w14:solidFill>
              <w14:schemeClr w14:val="tx1"/>
            </w14:solidFill>
          </w14:textFill>
        </w:rPr>
      </w:pPr>
    </w:p>
    <w:p w14:paraId="178C388D">
      <w:pPr>
        <w:spacing w:line="360" w:lineRule="auto"/>
        <w:jc w:val="left"/>
        <w:rPr>
          <w:rFonts w:ascii="宋体" w:hAnsi="宋体"/>
          <w:color w:val="000000" w:themeColor="text1"/>
          <w:sz w:val="21"/>
          <w:szCs w:val="21"/>
          <w:highlight w:val="none"/>
          <w14:textFill>
            <w14:solidFill>
              <w14:schemeClr w14:val="tx1"/>
            </w14:solidFill>
          </w14:textFill>
        </w:rPr>
      </w:pPr>
    </w:p>
    <w:p w14:paraId="21167032">
      <w:pPr>
        <w:spacing w:line="360" w:lineRule="auto"/>
        <w:jc w:val="left"/>
        <w:rPr>
          <w:rFonts w:ascii="宋体" w:hAnsi="宋体"/>
          <w:color w:val="000000" w:themeColor="text1"/>
          <w:sz w:val="21"/>
          <w:szCs w:val="21"/>
          <w:highlight w:val="none"/>
          <w14:textFill>
            <w14:solidFill>
              <w14:schemeClr w14:val="tx1"/>
            </w14:solidFill>
          </w14:textFill>
        </w:rPr>
      </w:pPr>
    </w:p>
    <w:p w14:paraId="65D2E31B">
      <w:pPr>
        <w:spacing w:line="360" w:lineRule="auto"/>
        <w:jc w:val="left"/>
        <w:rPr>
          <w:rFonts w:ascii="宋体" w:hAnsi="宋体"/>
          <w:color w:val="000000" w:themeColor="text1"/>
          <w:sz w:val="21"/>
          <w:szCs w:val="21"/>
          <w:highlight w:val="none"/>
          <w14:textFill>
            <w14:solidFill>
              <w14:schemeClr w14:val="tx1"/>
            </w14:solidFill>
          </w14:textFill>
        </w:rPr>
      </w:pPr>
    </w:p>
    <w:p w14:paraId="1C6E6530">
      <w:pPr>
        <w:spacing w:line="360" w:lineRule="auto"/>
        <w:jc w:val="left"/>
        <w:rPr>
          <w:rFonts w:ascii="宋体" w:hAnsi="宋体"/>
          <w:color w:val="000000" w:themeColor="text1"/>
          <w:sz w:val="21"/>
          <w:szCs w:val="21"/>
          <w:highlight w:val="none"/>
          <w14:textFill>
            <w14:solidFill>
              <w14:schemeClr w14:val="tx1"/>
            </w14:solidFill>
          </w14:textFill>
        </w:rPr>
      </w:pPr>
    </w:p>
    <w:p w14:paraId="75E6A610">
      <w:pPr>
        <w:spacing w:line="360" w:lineRule="auto"/>
        <w:jc w:val="left"/>
        <w:rPr>
          <w:rFonts w:ascii="宋体" w:hAnsi="宋体"/>
          <w:color w:val="000000" w:themeColor="text1"/>
          <w:sz w:val="21"/>
          <w:szCs w:val="21"/>
          <w:highlight w:val="none"/>
          <w14:textFill>
            <w14:solidFill>
              <w14:schemeClr w14:val="tx1"/>
            </w14:solidFill>
          </w14:textFill>
        </w:rPr>
      </w:pPr>
    </w:p>
    <w:p w14:paraId="755467AA">
      <w:pPr>
        <w:spacing w:line="360" w:lineRule="auto"/>
        <w:jc w:val="left"/>
        <w:rPr>
          <w:rFonts w:ascii="宋体" w:hAnsi="宋体"/>
          <w:color w:val="000000" w:themeColor="text1"/>
          <w:sz w:val="21"/>
          <w:szCs w:val="21"/>
          <w:highlight w:val="none"/>
          <w14:textFill>
            <w14:solidFill>
              <w14:schemeClr w14:val="tx1"/>
            </w14:solidFill>
          </w14:textFill>
        </w:rPr>
      </w:pPr>
    </w:p>
    <w:p w14:paraId="26F50EF7">
      <w:pPr>
        <w:spacing w:line="360" w:lineRule="auto"/>
        <w:jc w:val="left"/>
        <w:rPr>
          <w:rFonts w:ascii="宋体" w:hAnsi="宋体"/>
          <w:color w:val="000000" w:themeColor="text1"/>
          <w:sz w:val="21"/>
          <w:szCs w:val="21"/>
          <w:highlight w:val="none"/>
          <w14:textFill>
            <w14:solidFill>
              <w14:schemeClr w14:val="tx1"/>
            </w14:solidFill>
          </w14:textFill>
        </w:rPr>
      </w:pPr>
    </w:p>
    <w:p w14:paraId="6D422045">
      <w:pPr>
        <w:spacing w:line="360" w:lineRule="auto"/>
        <w:jc w:val="center"/>
        <w:rPr>
          <w:rFonts w:ascii="宋体" w:hAnsi="宋体"/>
          <w:b/>
          <w:color w:val="000000" w:themeColor="text1"/>
          <w:sz w:val="32"/>
          <w:szCs w:val="32"/>
          <w:highlight w:val="none"/>
          <w14:textFill>
            <w14:solidFill>
              <w14:schemeClr w14:val="tx1"/>
            </w14:solidFill>
          </w14:textFill>
        </w:rPr>
      </w:pPr>
      <w:bookmarkStart w:id="409" w:name="_Toc17344"/>
      <w:bookmarkStart w:id="410" w:name="_Toc393637021"/>
      <w:bookmarkStart w:id="411" w:name="_Toc8415"/>
      <w:bookmarkStart w:id="412" w:name="_Toc516753524"/>
    </w:p>
    <w:bookmarkEnd w:id="409"/>
    <w:bookmarkEnd w:id="410"/>
    <w:bookmarkEnd w:id="411"/>
    <w:bookmarkEnd w:id="412"/>
    <w:p w14:paraId="629A442C">
      <w:pPr>
        <w:pStyle w:val="4"/>
        <w:jc w:val="center"/>
        <w:rPr>
          <w:rFonts w:ascii="黑体" w:hAnsi="黑体" w:eastAsia="黑体"/>
          <w:b w:val="0"/>
          <w:color w:val="000000" w:themeColor="text1"/>
          <w:sz w:val="28"/>
          <w:szCs w:val="28"/>
          <w:highlight w:val="none"/>
          <w14:textFill>
            <w14:solidFill>
              <w14:schemeClr w14:val="tx1"/>
            </w14:solidFill>
          </w14:textFill>
        </w:rPr>
      </w:pPr>
      <w:bookmarkStart w:id="413" w:name="_Toc5259"/>
      <w:bookmarkStart w:id="414" w:name="_Toc393637026"/>
      <w:bookmarkStart w:id="415" w:name="_Toc745"/>
      <w:bookmarkStart w:id="416" w:name="_Toc516753529"/>
      <w:bookmarkStart w:id="417" w:name="_Toc2979"/>
      <w:bookmarkStart w:id="418" w:name="_Toc18948"/>
      <w:bookmarkStart w:id="419" w:name="_Toc32411"/>
      <w:r>
        <w:rPr>
          <w:rFonts w:hint="eastAsia" w:ascii="黑体" w:hAnsi="黑体" w:eastAsia="黑体"/>
          <w:b w:val="0"/>
          <w:color w:val="000000" w:themeColor="text1"/>
          <w:sz w:val="28"/>
          <w:szCs w:val="28"/>
          <w:highlight w:val="none"/>
          <w14:textFill>
            <w14:solidFill>
              <w14:schemeClr w14:val="tx1"/>
            </w14:solidFill>
          </w14:textFill>
        </w:rPr>
        <w:t>评标办法</w:t>
      </w:r>
      <w:bookmarkEnd w:id="413"/>
      <w:bookmarkEnd w:id="414"/>
      <w:bookmarkEnd w:id="415"/>
      <w:bookmarkEnd w:id="416"/>
      <w:r>
        <w:rPr>
          <w:rFonts w:hint="eastAsia" w:ascii="黑体" w:hAnsi="黑体" w:eastAsia="黑体"/>
          <w:b w:val="0"/>
          <w:color w:val="000000" w:themeColor="text1"/>
          <w:sz w:val="28"/>
          <w:szCs w:val="28"/>
          <w:highlight w:val="none"/>
          <w14:textFill>
            <w14:solidFill>
              <w14:schemeClr w14:val="tx1"/>
            </w14:solidFill>
          </w14:textFill>
        </w:rPr>
        <w:t>（</w:t>
      </w:r>
      <w:bookmarkStart w:id="420" w:name="_Toc6519"/>
      <w:bookmarkStart w:id="421" w:name="_Toc15739"/>
      <w:bookmarkStart w:id="422" w:name="_Toc300038974"/>
      <w:bookmarkStart w:id="423" w:name="_Toc516753535"/>
      <w:r>
        <w:rPr>
          <w:rFonts w:hint="eastAsia" w:ascii="黑体" w:hAnsi="黑体" w:eastAsia="黑体"/>
          <w:b w:val="0"/>
          <w:color w:val="000000" w:themeColor="text1"/>
          <w:sz w:val="28"/>
          <w:szCs w:val="28"/>
          <w:highlight w:val="none"/>
          <w14:textFill>
            <w14:solidFill>
              <w14:schemeClr w14:val="tx1"/>
            </w14:solidFill>
          </w14:textFill>
        </w:rPr>
        <w:t>适用</w:t>
      </w:r>
      <w:r>
        <w:rPr>
          <w:rFonts w:hint="eastAsia" w:ascii="黑体" w:hAnsi="黑体" w:eastAsia="黑体"/>
          <w:b w:val="0"/>
          <w:color w:val="000000" w:themeColor="text1"/>
          <w:sz w:val="28"/>
          <w:szCs w:val="28"/>
          <w:highlight w:val="none"/>
          <w:lang w:val="en-US" w:eastAsia="zh-CN"/>
          <w14:textFill>
            <w14:solidFill>
              <w14:schemeClr w14:val="tx1"/>
            </w14:solidFill>
          </w14:textFill>
        </w:rPr>
        <w:t>于</w:t>
      </w:r>
      <w:r>
        <w:rPr>
          <w:rFonts w:hint="eastAsia" w:ascii="黑体" w:hAnsi="黑体" w:eastAsia="黑体"/>
          <w:b w:val="0"/>
          <w:color w:val="000000" w:themeColor="text1"/>
          <w:sz w:val="28"/>
          <w:szCs w:val="28"/>
          <w:highlight w:val="none"/>
          <w14:textFill>
            <w14:solidFill>
              <w14:schemeClr w14:val="tx1"/>
            </w14:solidFill>
          </w14:textFill>
        </w:rPr>
        <w:t>记名投票法</w:t>
      </w:r>
      <w:bookmarkEnd w:id="420"/>
      <w:bookmarkEnd w:id="421"/>
      <w:bookmarkEnd w:id="422"/>
      <w:bookmarkEnd w:id="423"/>
      <w:r>
        <w:rPr>
          <w:rFonts w:hint="eastAsia" w:ascii="黑体" w:hAnsi="黑体" w:eastAsia="黑体"/>
          <w:b w:val="0"/>
          <w:color w:val="000000" w:themeColor="text1"/>
          <w:sz w:val="28"/>
          <w:szCs w:val="28"/>
          <w:highlight w:val="none"/>
          <w14:textFill>
            <w14:solidFill>
              <w14:schemeClr w14:val="tx1"/>
            </w14:solidFill>
          </w14:textFill>
        </w:rPr>
        <w:t>）</w:t>
      </w:r>
      <w:bookmarkEnd w:id="417"/>
      <w:bookmarkEnd w:id="418"/>
      <w:bookmarkEnd w:id="419"/>
    </w:p>
    <w:p w14:paraId="566154EE">
      <w:pPr>
        <w:pStyle w:val="4"/>
        <w:keepNext/>
        <w:keepLines/>
        <w:pageBreakBefore w:val="0"/>
        <w:widowControl w:val="0"/>
        <w:kinsoku/>
        <w:wordWrap/>
        <w:overflowPunct/>
        <w:topLinePunct w:val="0"/>
        <w:autoSpaceDE/>
        <w:autoSpaceDN/>
        <w:bidi w:val="0"/>
        <w:adjustRightInd w:val="0"/>
        <w:snapToGrid/>
        <w:spacing w:before="0" w:after="0" w:line="360" w:lineRule="auto"/>
        <w:textAlignment w:val="baseline"/>
        <w:rPr>
          <w:rFonts w:ascii="黑体" w:hAnsi="黑体" w:eastAsia="黑体"/>
          <w:b w:val="0"/>
          <w:color w:val="000000" w:themeColor="text1"/>
          <w:sz w:val="21"/>
          <w:szCs w:val="21"/>
          <w:highlight w:val="none"/>
          <w14:textFill>
            <w14:solidFill>
              <w14:schemeClr w14:val="tx1"/>
            </w14:solidFill>
          </w14:textFill>
        </w:rPr>
      </w:pPr>
      <w:bookmarkStart w:id="424" w:name="_Toc845"/>
      <w:bookmarkStart w:id="425" w:name="_Toc12098"/>
      <w:bookmarkStart w:id="426" w:name="_Toc3989"/>
      <w:r>
        <w:rPr>
          <w:rFonts w:hint="eastAsia" w:ascii="黑体" w:hAnsi="黑体" w:eastAsia="黑体"/>
          <w:b w:val="0"/>
          <w:color w:val="000000" w:themeColor="text1"/>
          <w:sz w:val="21"/>
          <w:szCs w:val="21"/>
          <w:highlight w:val="none"/>
          <w14:textFill>
            <w14:solidFill>
              <w14:schemeClr w14:val="tx1"/>
            </w14:solidFill>
          </w14:textFill>
        </w:rPr>
        <w:t>评标办法前附表</w:t>
      </w:r>
      <w:bookmarkEnd w:id="424"/>
      <w:bookmarkEnd w:id="425"/>
      <w:bookmarkEnd w:id="426"/>
    </w:p>
    <w:tbl>
      <w:tblPr>
        <w:tblStyle w:val="41"/>
        <w:tblW w:w="9640"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276"/>
        <w:gridCol w:w="6804"/>
      </w:tblGrid>
      <w:tr w14:paraId="14E7E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10" w:type="dxa"/>
            <w:tcBorders>
              <w:tl2br w:val="nil"/>
              <w:tr2bl w:val="nil"/>
            </w:tcBorders>
            <w:vAlign w:val="center"/>
          </w:tcPr>
          <w:p w14:paraId="6EE617ED">
            <w:pPr>
              <w:pStyle w:val="13"/>
              <w:snapToGrid w:val="0"/>
              <w:spacing w:line="380" w:lineRule="exact"/>
              <w:ind w:firstLine="0"/>
              <w:jc w:val="center"/>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项号</w:t>
            </w:r>
          </w:p>
        </w:tc>
        <w:tc>
          <w:tcPr>
            <w:tcW w:w="850" w:type="dxa"/>
            <w:tcBorders>
              <w:tl2br w:val="nil"/>
              <w:tr2bl w:val="nil"/>
            </w:tcBorders>
            <w:vAlign w:val="center"/>
          </w:tcPr>
          <w:p w14:paraId="6CD7A025">
            <w:pPr>
              <w:pStyle w:val="13"/>
              <w:snapToGrid w:val="0"/>
              <w:spacing w:line="380" w:lineRule="exact"/>
              <w:ind w:firstLine="0"/>
              <w:jc w:val="center"/>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条款号</w:t>
            </w:r>
          </w:p>
        </w:tc>
        <w:tc>
          <w:tcPr>
            <w:tcW w:w="1276" w:type="dxa"/>
            <w:tcBorders>
              <w:tl2br w:val="nil"/>
              <w:tr2bl w:val="nil"/>
            </w:tcBorders>
            <w:vAlign w:val="center"/>
          </w:tcPr>
          <w:p w14:paraId="787E487E">
            <w:pPr>
              <w:pStyle w:val="13"/>
              <w:snapToGrid w:val="0"/>
              <w:spacing w:line="380" w:lineRule="exact"/>
              <w:ind w:firstLine="0"/>
              <w:jc w:val="center"/>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条款名称</w:t>
            </w:r>
          </w:p>
        </w:tc>
        <w:tc>
          <w:tcPr>
            <w:tcW w:w="6804" w:type="dxa"/>
            <w:tcBorders>
              <w:tl2br w:val="nil"/>
              <w:tr2bl w:val="nil"/>
            </w:tcBorders>
            <w:vAlign w:val="center"/>
          </w:tcPr>
          <w:p w14:paraId="3A30AA66">
            <w:pPr>
              <w:pStyle w:val="13"/>
              <w:snapToGrid w:val="0"/>
              <w:spacing w:line="380" w:lineRule="exact"/>
              <w:jc w:val="center"/>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编列内容</w:t>
            </w:r>
          </w:p>
        </w:tc>
      </w:tr>
      <w:tr w14:paraId="1413E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tcBorders>
              <w:tl2br w:val="nil"/>
              <w:tr2bl w:val="nil"/>
            </w:tcBorders>
            <w:vAlign w:val="center"/>
          </w:tcPr>
          <w:p w14:paraId="01E89ED2">
            <w:pPr>
              <w:pStyle w:val="13"/>
              <w:snapToGrid w:val="0"/>
              <w:spacing w:line="380" w:lineRule="exact"/>
              <w:ind w:firstLine="0"/>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w:t>
            </w:r>
          </w:p>
        </w:tc>
        <w:tc>
          <w:tcPr>
            <w:tcW w:w="850" w:type="dxa"/>
            <w:tcBorders>
              <w:tl2br w:val="nil"/>
              <w:tr2bl w:val="nil"/>
            </w:tcBorders>
            <w:vAlign w:val="center"/>
          </w:tcPr>
          <w:p w14:paraId="5446A044">
            <w:pPr>
              <w:pStyle w:val="13"/>
              <w:snapToGrid w:val="0"/>
              <w:spacing w:line="380" w:lineRule="exact"/>
              <w:ind w:firstLine="0"/>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3.1</w:t>
            </w:r>
          </w:p>
        </w:tc>
        <w:tc>
          <w:tcPr>
            <w:tcW w:w="1276" w:type="dxa"/>
            <w:tcBorders>
              <w:tl2br w:val="nil"/>
              <w:tr2bl w:val="nil"/>
            </w:tcBorders>
            <w:vAlign w:val="center"/>
          </w:tcPr>
          <w:p w14:paraId="224D12DE">
            <w:pPr>
              <w:pStyle w:val="13"/>
              <w:snapToGrid w:val="0"/>
              <w:spacing w:line="380" w:lineRule="exact"/>
              <w:ind w:firstLine="0"/>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组建评标委员会</w:t>
            </w:r>
          </w:p>
        </w:tc>
        <w:tc>
          <w:tcPr>
            <w:tcW w:w="6804" w:type="dxa"/>
            <w:tcBorders>
              <w:tl2br w:val="nil"/>
              <w:tr2bl w:val="nil"/>
            </w:tcBorders>
            <w:vAlign w:val="top"/>
          </w:tcPr>
          <w:p w14:paraId="282EAFBA">
            <w:pPr>
              <w:pStyle w:val="69"/>
              <w:keepNext w:val="0"/>
              <w:keepLines w:val="0"/>
              <w:pageBreakBefore w:val="0"/>
              <w:widowControl w:val="0"/>
              <w:kinsoku/>
              <w:wordWrap/>
              <w:overflowPunct/>
              <w:topLinePunct w:val="0"/>
              <w:autoSpaceDE/>
              <w:autoSpaceDN/>
              <w:bidi w:val="0"/>
              <w:spacing w:line="400" w:lineRule="exact"/>
              <w:ind w:firstLine="0" w:firstLineChars="0"/>
              <w:jc w:val="left"/>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w:t>
            </w:r>
            <w:r>
              <w:rPr>
                <w:rFonts w:hint="eastAsia" w:ascii="宋体" w:hAnsi="宋体" w:eastAsia="宋体" w:cs="宋体"/>
                <w:color w:val="000000" w:themeColor="text1"/>
                <w:szCs w:val="20"/>
                <w:highlight w:val="none"/>
                <w:lang w:val="en-US" w:eastAsia="zh-CN"/>
                <w14:textFill>
                  <w14:solidFill>
                    <w14:schemeClr w14:val="tx1"/>
                  </w14:solidFill>
                </w14:textFill>
              </w:rPr>
              <w:t>.</w:t>
            </w:r>
            <w:r>
              <w:rPr>
                <w:rFonts w:hint="eastAsia" w:ascii="宋体" w:hAnsi="宋体" w:eastAsia="宋体" w:cs="宋体"/>
                <w:color w:val="000000" w:themeColor="text1"/>
                <w:szCs w:val="20"/>
                <w:highlight w:val="none"/>
                <w14:textFill>
                  <w14:solidFill>
                    <w14:schemeClr w14:val="tx1"/>
                  </w14:solidFill>
                </w14:textFill>
              </w:rPr>
              <w:t>评标委员会</w:t>
            </w:r>
            <w:r>
              <w:rPr>
                <w:rFonts w:hint="eastAsia" w:ascii="宋体" w:hAnsi="宋体" w:eastAsia="宋体" w:cs="宋体"/>
                <w:color w:val="000000" w:themeColor="text1"/>
                <w:szCs w:val="20"/>
                <w:highlight w:val="none"/>
                <w:lang w:val="en-US" w:eastAsia="zh-CN"/>
                <w14:textFill>
                  <w14:solidFill>
                    <w14:schemeClr w14:val="tx1"/>
                  </w14:solidFill>
                </w14:textFill>
              </w:rPr>
              <w:t>由</w:t>
            </w:r>
            <w:r>
              <w:rPr>
                <w:rFonts w:hint="eastAsia" w:ascii="宋体" w:hAnsi="宋体" w:eastAsia="宋体" w:cs="宋体"/>
                <w:color w:val="000000" w:themeColor="text1"/>
                <w:szCs w:val="20"/>
                <w:highlight w:val="none"/>
                <w:u w:val="single"/>
                <w14:textFill>
                  <w14:solidFill>
                    <w14:schemeClr w14:val="tx1"/>
                  </w14:solidFill>
                </w14:textFill>
              </w:rPr>
              <w:t xml:space="preserve">      </w:t>
            </w:r>
            <w:r>
              <w:rPr>
                <w:rFonts w:hint="eastAsia" w:ascii="宋体" w:hAnsi="宋体" w:eastAsia="宋体" w:cs="宋体"/>
                <w:color w:val="000000" w:themeColor="text1"/>
                <w:szCs w:val="20"/>
                <w:highlight w:val="none"/>
                <w14:textFill>
                  <w14:solidFill>
                    <w14:schemeClr w14:val="tx1"/>
                  </w14:solidFill>
                </w14:textFill>
              </w:rPr>
              <w:t>人</w:t>
            </w:r>
            <w:r>
              <w:rPr>
                <w:rFonts w:hint="eastAsia" w:ascii="宋体" w:hAnsi="宋体" w:eastAsia="宋体" w:cs="宋体"/>
                <w:color w:val="000000" w:themeColor="text1"/>
                <w:szCs w:val="20"/>
                <w:highlight w:val="none"/>
                <w:lang w:val="en-US" w:eastAsia="zh-CN"/>
                <w14:textFill>
                  <w14:solidFill>
                    <w14:schemeClr w14:val="tx1"/>
                  </w14:solidFill>
                </w14:textFill>
              </w:rPr>
              <w:t>组成</w:t>
            </w:r>
            <w:r>
              <w:rPr>
                <w:rFonts w:hint="eastAsia" w:ascii="宋体" w:hAnsi="宋体" w:eastAsia="宋体" w:cs="宋体"/>
                <w:color w:val="000000" w:themeColor="text1"/>
                <w:szCs w:val="20"/>
                <w:highlight w:val="none"/>
                <w14:textFill>
                  <w14:solidFill>
                    <w14:schemeClr w14:val="tx1"/>
                  </w14:solidFill>
                </w14:textFill>
              </w:rPr>
              <w:t>，其中技术类专家</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sz w:val="21"/>
                <w:szCs w:val="2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w:t>
            </w:r>
            <w:r>
              <w:rPr>
                <w:rFonts w:hint="eastAsia" w:ascii="宋体" w:hAnsi="宋体" w:eastAsia="宋体" w:cs="宋体"/>
                <w:color w:val="000000" w:themeColor="text1"/>
                <w:szCs w:val="20"/>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szCs w:val="20"/>
                <w:highlight w:val="none"/>
                <w14:textFill>
                  <w14:solidFill>
                    <w14:schemeClr w14:val="tx1"/>
                  </w14:solidFill>
                </w14:textFill>
              </w:rPr>
              <w:t>。</w:t>
            </w:r>
          </w:p>
          <w:p w14:paraId="0CDF0E51">
            <w:pPr>
              <w:pStyle w:val="69"/>
              <w:keepNext w:val="0"/>
              <w:keepLines w:val="0"/>
              <w:pageBreakBefore w:val="0"/>
              <w:widowControl w:val="0"/>
              <w:kinsoku/>
              <w:wordWrap/>
              <w:overflowPunct/>
              <w:topLinePunct w:val="0"/>
              <w:autoSpaceDE/>
              <w:autoSpaceDN/>
              <w:bidi w:val="0"/>
              <w:spacing w:line="400" w:lineRule="exact"/>
              <w:ind w:firstLine="420" w:firstLineChars="200"/>
              <w:jc w:val="left"/>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注：</w:t>
            </w:r>
            <w:r>
              <w:rPr>
                <w:rFonts w:hint="eastAsia" w:ascii="宋体" w:hAnsi="宋体" w:eastAsia="宋体"/>
                <w:color w:val="000000" w:themeColor="text1"/>
                <w:highlight w:val="none"/>
                <w14:textFill>
                  <w14:solidFill>
                    <w14:schemeClr w14:val="tx1"/>
                  </w14:solidFill>
                </w14:textFill>
              </w:rPr>
              <w:t>评标委员会由与建设项目相关的技术方面的专家和</w:t>
            </w:r>
            <w:r>
              <w:rPr>
                <w:rFonts w:hint="eastAsia" w:ascii="宋体" w:hAnsi="宋体" w:eastAsia="宋体" w:cs="宋体"/>
                <w:color w:val="000000" w:themeColor="text1"/>
                <w:sz w:val="21"/>
                <w:szCs w:val="21"/>
                <w:highlight w:val="none"/>
                <w:lang w:eastAsia="zh-CN"/>
                <w14:textFill>
                  <w14:solidFill>
                    <w14:schemeClr w14:val="tx1"/>
                  </w14:solidFill>
                </w14:textFill>
              </w:rPr>
              <w:t>建设（代建）单位</w:t>
            </w:r>
            <w:r>
              <w:rPr>
                <w:rFonts w:hint="eastAsia" w:ascii="宋体" w:hAnsi="宋体" w:eastAsia="宋体"/>
                <w:color w:val="000000" w:themeColor="text1"/>
                <w:highlight w:val="none"/>
                <w14:textFill>
                  <w14:solidFill>
                    <w14:schemeClr w14:val="tx1"/>
                  </w14:solidFill>
                </w14:textFill>
              </w:rPr>
              <w:t>代表组成，成员人数为5人（含）以上单数</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其中</w:t>
            </w:r>
            <w:r>
              <w:rPr>
                <w:rFonts w:hint="eastAsia" w:ascii="宋体" w:hAnsi="宋体" w:eastAsia="宋体"/>
                <w:color w:val="000000" w:themeColor="text1"/>
                <w:highlight w:val="none"/>
                <w:lang w:eastAsia="zh-CN"/>
                <w14:textFill>
                  <w14:solidFill>
                    <w14:schemeClr w14:val="tx1"/>
                  </w14:solidFill>
                </w14:textFill>
              </w:rPr>
              <w:t>大型公共建筑工程项目的评标委员会人数应不少于9人（含）（其中应包含1名一级注册结构工程师），</w:t>
            </w:r>
            <w:r>
              <w:rPr>
                <w:rFonts w:hint="eastAsia" w:ascii="宋体" w:hAnsi="宋体" w:eastAsia="宋体"/>
                <w:color w:val="000000" w:themeColor="text1"/>
                <w:sz w:val="21"/>
                <w:highlight w:val="none"/>
                <w14:textFill>
                  <w14:solidFill>
                    <w14:schemeClr w14:val="tx1"/>
                  </w14:solidFill>
                </w14:textFill>
              </w:rPr>
              <w:t>大型市政基础设施工程项目的评标委员会人数应不少于9人（含）</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工程项目招标含勘察、设计的，评标委员会人数应不少于9人（含）（其中应包含不超过2名勘察专业专家）。凡带建筑工程设计方案的评标，建筑专业专家不得少于专家总数的2/3。</w:t>
            </w:r>
          </w:p>
          <w:p w14:paraId="0E22B150">
            <w:pPr>
              <w:pStyle w:val="13"/>
              <w:snapToGrid w:val="0"/>
              <w:spacing w:line="400" w:lineRule="exact"/>
              <w:ind w:firstLine="0"/>
              <w:jc w:val="left"/>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评标专家确定方式：</w:t>
            </w:r>
          </w:p>
          <w:p w14:paraId="44683734">
            <w:pPr>
              <w:pStyle w:val="13"/>
              <w:keepNext w:val="0"/>
              <w:keepLines w:val="0"/>
              <w:pageBreakBefore w:val="0"/>
              <w:widowControl w:val="0"/>
              <w:kinsoku/>
              <w:wordWrap/>
              <w:overflowPunct/>
              <w:topLinePunct w:val="0"/>
              <w:autoSpaceDE/>
              <w:autoSpaceDN/>
              <w:bidi w:val="0"/>
              <w:snapToGrid w:val="0"/>
              <w:spacing w:line="400" w:lineRule="exact"/>
              <w:ind w:firstLine="457" w:firstLineChars="218"/>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1</w:t>
            </w:r>
            <w:r>
              <w:rPr>
                <w:rFonts w:hint="eastAsia" w:ascii="宋体" w:hAnsi="宋体" w:eastAsia="宋体"/>
                <w:color w:val="000000" w:themeColor="text1"/>
                <w:highlight w:val="none"/>
                <w14:textFill>
                  <w14:solidFill>
                    <w14:schemeClr w14:val="tx1"/>
                  </w14:solidFill>
                </w14:textFill>
              </w:rPr>
              <w:t>）房屋建筑工程评标专家应以一级注册建筑师为主，评标专家应从福建省综合评标专家库工程设计类建筑（总平面规划）专业中具备一级注册建筑师或规划师执业资格的专家</w:t>
            </w:r>
            <w:bookmarkStart w:id="427" w:name="OLE_LINK3"/>
            <w:r>
              <w:rPr>
                <w:rFonts w:hint="eastAsia" w:ascii="宋体" w:hAnsi="宋体" w:eastAsia="宋体"/>
                <w:color w:val="000000" w:themeColor="text1"/>
                <w:highlight w:val="none"/>
                <w14:textFill>
                  <w14:solidFill>
                    <w14:schemeClr w14:val="tx1"/>
                  </w14:solidFill>
                </w14:textFill>
              </w:rPr>
              <w:t>（</w:t>
            </w:r>
            <w:bookmarkStart w:id="428" w:name="OLE_LINK4"/>
            <w:r>
              <w:rPr>
                <w:rFonts w:hint="eastAsia" w:ascii="宋体" w:hAnsi="宋体" w:eastAsia="宋体"/>
                <w:color w:val="000000" w:themeColor="text1"/>
                <w:highlight w:val="none"/>
                <w:lang w:eastAsia="zh-CN"/>
                <w14:textFill>
                  <w14:solidFill>
                    <w14:schemeClr w14:val="tx1"/>
                  </w14:solidFill>
                </w14:textFill>
              </w:rPr>
              <w:t>除</w:t>
            </w:r>
            <w:r>
              <w:rPr>
                <w:rFonts w:hint="eastAsia" w:ascii="宋体" w:hAnsi="宋体" w:eastAsia="宋体"/>
                <w:color w:val="000000" w:themeColor="text1"/>
                <w:highlight w:val="none"/>
                <w14:textFill>
                  <w14:solidFill>
                    <w14:schemeClr w14:val="tx1"/>
                  </w14:solidFill>
                </w14:textFill>
              </w:rPr>
              <w:t>要求</w:t>
            </w:r>
            <w:r>
              <w:rPr>
                <w:rFonts w:hint="eastAsia" w:ascii="宋体" w:hAnsi="宋体" w:eastAsia="宋体"/>
                <w:color w:val="000000" w:themeColor="text1"/>
                <w:highlight w:val="none"/>
                <w:lang w:val="en-US" w:eastAsia="zh-CN"/>
                <w14:textFill>
                  <w14:solidFill>
                    <w14:schemeClr w14:val="tx1"/>
                  </w14:solidFill>
                </w14:textFill>
              </w:rPr>
              <w:t>的</w:t>
            </w:r>
            <w:r>
              <w:rPr>
                <w:rFonts w:hint="eastAsia" w:ascii="宋体" w:hAnsi="宋体" w:eastAsia="宋体"/>
                <w:color w:val="000000" w:themeColor="text1"/>
                <w:highlight w:val="none"/>
                <w14:textFill>
                  <w14:solidFill>
                    <w14:schemeClr w14:val="tx1"/>
                  </w14:solidFill>
                </w14:textFill>
              </w:rPr>
              <w:t>结构专业专家外</w:t>
            </w:r>
            <w:bookmarkEnd w:id="428"/>
            <w:r>
              <w:rPr>
                <w:rFonts w:hint="eastAsia" w:ascii="宋体" w:hAnsi="宋体" w:eastAsia="宋体"/>
                <w:color w:val="000000" w:themeColor="text1"/>
                <w:highlight w:val="none"/>
                <w14:textFill>
                  <w14:solidFill>
                    <w14:schemeClr w14:val="tx1"/>
                  </w14:solidFill>
                </w14:textFill>
              </w:rPr>
              <w:t>）</w:t>
            </w:r>
            <w:bookmarkEnd w:id="427"/>
            <w:r>
              <w:rPr>
                <w:rFonts w:hint="eastAsia" w:ascii="宋体" w:hAnsi="宋体" w:eastAsia="宋体"/>
                <w:color w:val="000000" w:themeColor="text1"/>
                <w:highlight w:val="none"/>
                <w14:textFill>
                  <w14:solidFill>
                    <w14:schemeClr w14:val="tx1"/>
                  </w14:solidFill>
                </w14:textFill>
              </w:rPr>
              <w:t>中随机抽取产生，评标委员会主任应由一级注册建筑师担任；市政基础设施工程评标专家应在福建省综合评标专家库工程设计类与招标工程项目相应的主导专业专家中随机抽取产生；勘察专业专家应从福建省综合评标专家库勘察专业中具备注册土木工程师（岩土）执业资格的专家随机抽取产生。已实施注册执业资格制度的，评标委员会主任应由随机抽取产生的具有相应主导专业注册资格的专家担任。</w:t>
            </w:r>
          </w:p>
          <w:p w14:paraId="1AA9A929">
            <w:pPr>
              <w:pStyle w:val="13"/>
              <w:keepNext w:val="0"/>
              <w:keepLines w:val="0"/>
              <w:pageBreakBefore w:val="0"/>
              <w:widowControl w:val="0"/>
              <w:kinsoku/>
              <w:wordWrap/>
              <w:overflowPunct/>
              <w:topLinePunct w:val="0"/>
              <w:autoSpaceDE/>
              <w:autoSpaceDN/>
              <w:bidi w:val="0"/>
              <w:snapToGrid w:val="0"/>
              <w:spacing w:line="400" w:lineRule="exact"/>
              <w:ind w:firstLine="457" w:firstLineChars="218"/>
              <w:jc w:val="left"/>
              <w:rPr>
                <w:rFonts w:ascii="宋体" w:hAnsi="宋体" w:eastAsia="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可以委派</w:t>
            </w:r>
            <w:r>
              <w:rPr>
                <w:rFonts w:hint="eastAsia" w:ascii="宋体" w:hAnsi="宋体" w:eastAsia="宋体" w:cs="宋体"/>
                <w:color w:val="000000" w:themeColor="text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代表作为评委</w:t>
            </w:r>
            <w:r>
              <w:rPr>
                <w:rFonts w:hint="eastAsia" w:ascii="宋体" w:hAnsi="宋体" w:eastAsia="宋体" w:cs="宋体"/>
                <w:color w:val="000000" w:themeColor="text1"/>
                <w:highlight w:val="none"/>
                <w:lang w:eastAsia="zh-CN"/>
                <w14:textFill>
                  <w14:solidFill>
                    <w14:schemeClr w14:val="tx1"/>
                  </w14:solidFill>
                </w14:textFill>
              </w:rPr>
              <w:t>，人数不得多于评委总人数的三分之一</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代表作为评委</w:t>
            </w:r>
            <w:r>
              <w:rPr>
                <w:rFonts w:hint="eastAsia" w:ascii="宋体" w:hAnsi="宋体" w:eastAsia="宋体" w:cs="宋体"/>
                <w:color w:val="000000" w:themeColor="text1"/>
                <w:highlight w:val="none"/>
                <w:lang w:eastAsia="zh-CN"/>
                <w14:textFill>
                  <w14:solidFill>
                    <w14:schemeClr w14:val="tx1"/>
                  </w14:solidFill>
                </w14:textFill>
              </w:rPr>
              <w:t>的，不得参加后续的清标和定标工作。建设（代建）单位</w:t>
            </w:r>
            <w:r>
              <w:rPr>
                <w:rFonts w:hint="eastAsia" w:ascii="宋体" w:hAnsi="宋体" w:eastAsia="宋体" w:cs="宋体"/>
                <w:color w:val="000000" w:themeColor="text1"/>
                <w:highlight w:val="none"/>
                <w14:textFill>
                  <w14:solidFill>
                    <w14:schemeClr w14:val="tx1"/>
                  </w14:solidFill>
                </w14:textFill>
              </w:rPr>
              <w:t>代表应</w:t>
            </w:r>
            <w:r>
              <w:rPr>
                <w:rFonts w:hint="eastAsia" w:ascii="宋体" w:hAnsi="宋体" w:eastAsia="宋体" w:cs="宋体"/>
                <w:color w:val="000000" w:themeColor="text1"/>
                <w:szCs w:val="32"/>
                <w:highlight w:val="none"/>
                <w14:textFill>
                  <w14:solidFill>
                    <w14:schemeClr w14:val="tx1"/>
                  </w14:solidFill>
                </w14:textFill>
              </w:rPr>
              <w:t>具有工程建设类中级及以上技术职称或注册执业资格，并能熟悉电子评标系统操作</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w:t>
            </w:r>
            <w:r>
              <w:rPr>
                <w:rFonts w:hint="eastAsia" w:ascii="宋体" w:hAnsi="宋体" w:eastAsia="宋体" w:cs="宋体"/>
                <w:color w:val="000000" w:themeColor="text1"/>
                <w:szCs w:val="32"/>
                <w:highlight w:val="none"/>
                <w14:textFill>
                  <w14:solidFill>
                    <w14:schemeClr w14:val="tx1"/>
                  </w14:solidFill>
                </w14:textFill>
              </w:rPr>
              <w:t>在进入评标室评标时，应当将</w:t>
            </w:r>
            <w:r>
              <w:rPr>
                <w:rFonts w:hint="eastAsia" w:ascii="宋体" w:hAnsi="宋体" w:eastAsia="宋体" w:cs="宋体"/>
                <w:color w:val="000000" w:themeColor="text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w:t>
            </w:r>
            <w:r>
              <w:rPr>
                <w:rFonts w:hint="eastAsia" w:ascii="宋体" w:hAnsi="宋体" w:eastAsia="宋体" w:cs="宋体"/>
                <w:color w:val="000000" w:themeColor="text1"/>
                <w:szCs w:val="32"/>
                <w:highlight w:val="none"/>
                <w14:textFill>
                  <w14:solidFill>
                    <w14:schemeClr w14:val="tx1"/>
                  </w14:solidFill>
                </w14:textFill>
              </w:rPr>
              <w:t>的</w:t>
            </w:r>
            <w:r>
              <w:rPr>
                <w:rFonts w:hint="eastAsia" w:ascii="宋体" w:hAnsi="宋体" w:eastAsia="宋体" w:cs="宋体"/>
                <w:i w:val="0"/>
                <w:caps w:val="0"/>
                <w:color w:val="000000" w:themeColor="text1"/>
                <w:spacing w:val="0"/>
                <w:sz w:val="21"/>
                <w:szCs w:val="21"/>
                <w:highlight w:val="none"/>
                <w:shd w:val="clear" w:color="auto" w:fill="FFFFFF"/>
                <w14:textFill>
                  <w14:solidFill>
                    <w14:schemeClr w14:val="tx1"/>
                  </w14:solidFill>
                </w14:textFill>
              </w:rPr>
              <w:t>授权委托书、职称（资格）证书、身份证明及近三个月社保缴交证明</w:t>
            </w:r>
            <w:r>
              <w:rPr>
                <w:rFonts w:hint="eastAsia" w:ascii="宋体" w:hAnsi="宋体" w:eastAsia="宋体" w:cs="宋体"/>
                <w:color w:val="000000" w:themeColor="text1"/>
                <w:szCs w:val="32"/>
                <w:highlight w:val="none"/>
                <w14:textFill>
                  <w14:solidFill>
                    <w14:schemeClr w14:val="tx1"/>
                  </w14:solidFill>
                </w14:textFill>
              </w:rPr>
              <w:t>复印件（需加盖招标人单位公章）提交给公共资源交易</w:t>
            </w:r>
            <w:r>
              <w:rPr>
                <w:rFonts w:hint="eastAsia" w:ascii="宋体" w:hAnsi="宋体" w:eastAsia="宋体" w:cs="宋体"/>
                <w:color w:val="000000" w:themeColor="text1"/>
                <w:szCs w:val="32"/>
                <w:highlight w:val="none"/>
                <w:lang w:eastAsia="zh-CN"/>
                <w14:textFill>
                  <w14:solidFill>
                    <w14:schemeClr w14:val="tx1"/>
                  </w14:solidFill>
                </w14:textFill>
              </w:rPr>
              <w:t>中心</w:t>
            </w:r>
            <w:r>
              <w:rPr>
                <w:rFonts w:hint="eastAsia" w:ascii="宋体" w:hAnsi="宋体" w:eastAsia="宋体" w:cs="宋体"/>
                <w:color w:val="000000" w:themeColor="text1"/>
                <w:szCs w:val="32"/>
                <w:highlight w:val="none"/>
                <w14:textFill>
                  <w14:solidFill>
                    <w14:schemeClr w14:val="tx1"/>
                  </w14:solidFill>
                </w14:textFill>
              </w:rPr>
              <w:t>。</w:t>
            </w:r>
            <w:r>
              <w:rPr>
                <w:rFonts w:hint="eastAsia" w:ascii="宋体" w:hAnsi="宋体" w:eastAsia="宋体" w:cs="宋体"/>
                <w:color w:val="000000" w:themeColor="text1"/>
                <w:szCs w:val="32"/>
                <w:highlight w:val="none"/>
                <w:lang w:val="en-US" w:eastAsia="zh-CN"/>
                <w14:textFill>
                  <w14:solidFill>
                    <w14:schemeClr w14:val="tx1"/>
                  </w14:solidFill>
                </w14:textFill>
              </w:rPr>
              <w:t>当</w:t>
            </w:r>
            <w:r>
              <w:rPr>
                <w:rFonts w:hint="eastAsia" w:ascii="宋体" w:hAnsi="宋体" w:eastAsia="宋体" w:cs="宋体"/>
                <w:color w:val="000000" w:themeColor="text1"/>
                <w:szCs w:val="32"/>
                <w:highlight w:val="none"/>
                <w14:textFill>
                  <w14:solidFill>
                    <w14:schemeClr w14:val="tx1"/>
                  </w14:solidFill>
                </w14:textFill>
              </w:rPr>
              <w:t>没有符合前款规定条件的代表，应当全部从</w:t>
            </w:r>
            <w:r>
              <w:rPr>
                <w:rFonts w:hint="eastAsia" w:ascii="宋体" w:hAnsi="宋体" w:eastAsia="宋体" w:cs="宋体"/>
                <w:color w:val="000000" w:themeColor="text1"/>
                <w:szCs w:val="32"/>
                <w:highlight w:val="none"/>
                <w:lang w:val="en-US" w:eastAsia="zh-CN"/>
                <w14:textFill>
                  <w14:solidFill>
                    <w14:schemeClr w14:val="tx1"/>
                  </w14:solidFill>
                </w14:textFill>
              </w:rPr>
              <w:t>福建</w:t>
            </w:r>
            <w:r>
              <w:rPr>
                <w:rFonts w:hint="eastAsia" w:ascii="宋体" w:hAnsi="宋体" w:eastAsia="宋体" w:cs="宋体"/>
                <w:color w:val="000000" w:themeColor="text1"/>
                <w:szCs w:val="32"/>
                <w:highlight w:val="none"/>
                <w14:textFill>
                  <w14:solidFill>
                    <w14:schemeClr w14:val="tx1"/>
                  </w14:solidFill>
                </w14:textFill>
              </w:rPr>
              <w:t>省综合评标专家库中抽取相应的专家。</w:t>
            </w:r>
          </w:p>
        </w:tc>
      </w:tr>
      <w:tr w14:paraId="7E0B8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710" w:type="dxa"/>
            <w:tcBorders>
              <w:tl2br w:val="nil"/>
              <w:tr2bl w:val="nil"/>
            </w:tcBorders>
            <w:vAlign w:val="center"/>
          </w:tcPr>
          <w:p w14:paraId="090173DB">
            <w:pPr>
              <w:pStyle w:val="13"/>
              <w:snapToGrid w:val="0"/>
              <w:spacing w:line="380" w:lineRule="exact"/>
              <w:ind w:firstLine="0" w:firstLineChars="0"/>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2</w:t>
            </w:r>
          </w:p>
        </w:tc>
        <w:tc>
          <w:tcPr>
            <w:tcW w:w="850" w:type="dxa"/>
            <w:tcBorders>
              <w:tl2br w:val="nil"/>
              <w:tr2bl w:val="nil"/>
            </w:tcBorders>
            <w:vAlign w:val="center"/>
          </w:tcPr>
          <w:p w14:paraId="35C630D6">
            <w:pPr>
              <w:pStyle w:val="13"/>
              <w:snapToGrid w:val="0"/>
              <w:spacing w:line="380" w:lineRule="exact"/>
              <w:ind w:firstLine="0" w:firstLineChars="0"/>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5.1.2</w:t>
            </w:r>
          </w:p>
        </w:tc>
        <w:tc>
          <w:tcPr>
            <w:tcW w:w="1276" w:type="dxa"/>
            <w:tcBorders>
              <w:tl2br w:val="nil"/>
              <w:tr2bl w:val="nil"/>
            </w:tcBorders>
            <w:vAlign w:val="center"/>
          </w:tcPr>
          <w:p w14:paraId="43782BBB">
            <w:pPr>
              <w:pStyle w:val="13"/>
              <w:snapToGrid w:val="0"/>
              <w:spacing w:line="380" w:lineRule="exact"/>
              <w:ind w:firstLine="0" w:firstLineChars="0"/>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资格审查标准</w:t>
            </w:r>
          </w:p>
        </w:tc>
        <w:tc>
          <w:tcPr>
            <w:tcW w:w="6804" w:type="dxa"/>
            <w:tcBorders>
              <w:tl2br w:val="nil"/>
              <w:tr2bl w:val="nil"/>
            </w:tcBorders>
            <w:vAlign w:val="top"/>
          </w:tcPr>
          <w:p w14:paraId="12888AD2">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（1）资格审查文件按照招标文件规定的格式填写，内容完整，关键字迹清晰可辨认</w:t>
            </w:r>
            <w:r>
              <w:rPr>
                <w:rStyle w:val="49"/>
                <w:rFonts w:ascii="宋体" w:hAnsi="宋体"/>
                <w:color w:val="000000" w:themeColor="text1"/>
                <w:sz w:val="21"/>
                <w:szCs w:val="21"/>
                <w:highlight w:val="none"/>
                <w14:textFill>
                  <w14:solidFill>
                    <w14:schemeClr w14:val="tx1"/>
                  </w14:solidFill>
                </w14:textFill>
              </w:rPr>
              <w:footnoteReference w:id="56"/>
            </w:r>
            <w:r>
              <w:rPr>
                <w:rFonts w:hint="eastAsia" w:ascii="宋体" w:hAnsi="宋体"/>
                <w:color w:val="000000" w:themeColor="text1"/>
                <w:sz w:val="21"/>
                <w:szCs w:val="21"/>
                <w:highlight w:val="none"/>
                <w14:textFill>
                  <w14:solidFill>
                    <w14:schemeClr w14:val="tx1"/>
                  </w14:solidFill>
                </w14:textFill>
              </w:rPr>
              <w:t>；</w:t>
            </w:r>
          </w:p>
          <w:p w14:paraId="54CD894E">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（2）资格审查文件按规定盖章（签字）和签署；</w:t>
            </w:r>
          </w:p>
          <w:p w14:paraId="7531C6CF">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（3）由投标人法定代表人委托代理人签署的，随资格审查文件提供了合法、有效的授权委托书；</w:t>
            </w:r>
          </w:p>
          <w:p w14:paraId="26A55174">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（4）投标人具备合格有效营业执照、设计资质证书、勘察资质证书（如有）；投标人名称与营业执照、设计资质证书、勘察资质证书（如有）一致；</w:t>
            </w:r>
          </w:p>
          <w:p w14:paraId="1E4CAAF5">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（5）投标人的资质等级符合第二章投标人须知前附表第11项规定；</w:t>
            </w:r>
          </w:p>
          <w:p w14:paraId="4D476505">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（6）投标人拟派项目人员配置的类型、数量和条件符合第二章投标人须知前附表第11项的最低标准；</w:t>
            </w:r>
          </w:p>
          <w:p w14:paraId="63CA42FE">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（7）投标人的类似项目设计业绩满足第二章投标人须知前附表第11项规定；</w:t>
            </w:r>
          </w:p>
          <w:p w14:paraId="741CE259">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（8）投标人的信用满足第二章投标人须知前附表第11项规定；</w:t>
            </w:r>
          </w:p>
          <w:p w14:paraId="4BD2F940">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（9）投标人以联合体形式申请投标，符合第二章投标人须知正文第</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5.3</w:t>
            </w:r>
            <w:r>
              <w:rPr>
                <w:rFonts w:hint="eastAsia" w:ascii="宋体" w:hAnsi="宋体"/>
                <w:color w:val="000000" w:themeColor="text1"/>
                <w:sz w:val="21"/>
                <w:szCs w:val="21"/>
                <w:highlight w:val="none"/>
                <w14:textFill>
                  <w14:solidFill>
                    <w14:schemeClr w14:val="tx1"/>
                  </w14:solidFill>
                </w14:textFill>
              </w:rPr>
              <w:t>款规定，并附上联合体协议书，联合体协议书符合招标文件规定；</w:t>
            </w:r>
          </w:p>
          <w:p w14:paraId="403D53F4">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（10）投标人未存在第二章投标人须知正文第1.</w:t>
            </w:r>
            <w:r>
              <w:rPr>
                <w:rFonts w:hint="eastAsia" w:ascii="宋体" w:hAnsi="宋体"/>
                <w:color w:val="000000" w:themeColor="text1"/>
                <w:sz w:val="21"/>
                <w:szCs w:val="21"/>
                <w:highlight w:val="none"/>
                <w:lang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4款规定的任一情形；</w:t>
            </w:r>
          </w:p>
          <w:p w14:paraId="2C38E065">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（11）投标人设立的土工试验室满足第二章投标人须知前附表第11项规定；</w:t>
            </w:r>
          </w:p>
          <w:p w14:paraId="3CD380E4">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（12）采用邀请招标方式的，投标人是招标人确定邀请参加投标的被邀请者； </w:t>
            </w:r>
          </w:p>
          <w:p w14:paraId="6FD0F46E">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（13）投标人未出现以他人的名义投标、串通投标、以行贿手段谋取中标或者以其他弄虚作假方式投标的；未出现反映资格审查文件个性特征的内容出现明显雷同的（若出现，相关投标均无效）；</w:t>
            </w:r>
          </w:p>
          <w:p w14:paraId="756C54ED">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w:t>
            </w:r>
            <w:r>
              <w:rPr>
                <w:rFonts w:hint="eastAsia" w:ascii="宋体" w:hAnsi="宋体"/>
                <w:color w:val="000000" w:themeColor="text1"/>
                <w:sz w:val="21"/>
                <w:szCs w:val="21"/>
                <w:highlight w:val="none"/>
                <w:lang w:eastAsia="zh-CN"/>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要求投标人对资格审查文件进行澄清或说明的，投标人的澄清或说明符合正文第</w:t>
            </w:r>
            <w:r>
              <w:rPr>
                <w:rFonts w:hint="eastAsia" w:ascii="宋体" w:hAnsi="宋体"/>
                <w:color w:val="000000" w:themeColor="text1"/>
                <w:sz w:val="21"/>
                <w:szCs w:val="21"/>
                <w:highlight w:val="none"/>
                <w:lang w:eastAsia="zh-CN"/>
                <w14:textFill>
                  <w14:solidFill>
                    <w14:schemeClr w14:val="tx1"/>
                  </w14:solidFill>
                </w14:textFill>
              </w:rPr>
              <w:t>5</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条规定；</w:t>
            </w:r>
          </w:p>
          <w:p w14:paraId="30EB47A1">
            <w:pPr>
              <w:snapToGrid w:val="0"/>
              <w:spacing w:line="3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（15）未存在投标人须知第4.1.4款第（1）目或第（2）目规定的情形；</w:t>
            </w:r>
          </w:p>
          <w:p w14:paraId="74297EE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（16）未采用除本单位企业</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以外的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（如本单位法定代表人或其他单位的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）加密资格审查文件；</w:t>
            </w:r>
          </w:p>
          <w:p w14:paraId="3C9FFF4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（17）资格审查文件记录的计算机硬件信息中，未存在一条及以上的计算机的网卡MAC地址、CPU序列号、数据存储设备序列号空值；</w:t>
            </w:r>
          </w:p>
          <w:p w14:paraId="294D0D85">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hint="eastAsia" w:ascii="宋体" w:hAnsi="宋体" w:eastAsia="宋体"/>
                <w:color w:val="000000" w:themeColor="text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（18）资格审查文件未附有</w:t>
            </w:r>
            <w:r>
              <w:rPr>
                <w:rFonts w:hint="eastAsia" w:ascii="宋体" w:hAnsi="宋体"/>
                <w:color w:val="000000" w:themeColor="text1"/>
                <w:sz w:val="21"/>
                <w:szCs w:val="21"/>
                <w:highlight w:val="none"/>
                <w:lang w:eastAsia="zh-CN"/>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不能接受的条件或资料。</w:t>
            </w:r>
          </w:p>
        </w:tc>
      </w:tr>
      <w:tr w14:paraId="35F90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710" w:type="dxa"/>
            <w:tcBorders>
              <w:tl2br w:val="nil"/>
              <w:tr2bl w:val="nil"/>
            </w:tcBorders>
            <w:vAlign w:val="center"/>
          </w:tcPr>
          <w:p w14:paraId="6F198D4B">
            <w:pPr>
              <w:pStyle w:val="13"/>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850" w:type="dxa"/>
            <w:tcBorders>
              <w:tl2br w:val="nil"/>
              <w:tr2bl w:val="nil"/>
            </w:tcBorders>
            <w:vAlign w:val="center"/>
          </w:tcPr>
          <w:p w14:paraId="25CC16D8">
            <w:pPr>
              <w:pStyle w:val="13"/>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5.2.1</w:t>
            </w:r>
          </w:p>
          <w:p w14:paraId="0B131E10">
            <w:pPr>
              <w:pStyle w:val="13"/>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6.3.1</w:t>
            </w:r>
          </w:p>
        </w:tc>
        <w:tc>
          <w:tcPr>
            <w:tcW w:w="1276" w:type="dxa"/>
            <w:tcBorders>
              <w:tl2br w:val="nil"/>
              <w:tr2bl w:val="nil"/>
            </w:tcBorders>
            <w:vAlign w:val="center"/>
          </w:tcPr>
          <w:p w14:paraId="5624382A">
            <w:pPr>
              <w:pStyle w:val="13"/>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投标文件（含资格</w:t>
            </w:r>
            <w:r>
              <w:rPr>
                <w:rFonts w:hint="eastAsia" w:ascii="宋体" w:hAnsi="宋体" w:eastAsia="宋体" w:cs="宋体"/>
                <w:color w:val="000000" w:themeColor="text1"/>
                <w:kern w:val="1"/>
                <w:sz w:val="21"/>
                <w:szCs w:val="21"/>
                <w:highlight w:val="none"/>
                <w14:textFill>
                  <w14:solidFill>
                    <w14:schemeClr w14:val="tx1"/>
                  </w14:solidFill>
                </w14:textFill>
              </w:rPr>
              <w:t>文件</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澄清、说明和补正</w:t>
            </w:r>
          </w:p>
        </w:tc>
        <w:tc>
          <w:tcPr>
            <w:tcW w:w="6804" w:type="dxa"/>
            <w:tcBorders>
              <w:tl2br w:val="nil"/>
              <w:tr2bl w:val="nil"/>
            </w:tcBorders>
            <w:vAlign w:val="center"/>
          </w:tcPr>
          <w:p w14:paraId="10A6F5F7">
            <w:pPr>
              <w:keepNext w:val="0"/>
              <w:keepLines w:val="0"/>
              <w:pageBreakBefore w:val="0"/>
              <w:widowControl w:val="0"/>
              <w:kinsoku/>
              <w:wordWrap/>
              <w:overflowPunct/>
              <w:topLinePunct w:val="0"/>
              <w:autoSpaceDE/>
              <w:autoSpaceDN/>
              <w:bidi w:val="0"/>
              <w:adjustRightInd w:val="0"/>
              <w:spacing w:line="340" w:lineRule="exact"/>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评标委员会通过电子交易平台发出通</w:t>
            </w:r>
            <w:r>
              <w:rPr>
                <w:rFonts w:hint="eastAsia" w:ascii="宋体" w:hAnsi="宋体" w:eastAsia="宋体" w:cs="宋体"/>
                <w:color w:val="000000" w:themeColor="text1"/>
                <w:sz w:val="21"/>
                <w:szCs w:val="21"/>
                <w:highlight w:val="none"/>
                <w:lang w:val="en-US" w:eastAsia="zh-CN"/>
                <w14:textFill>
                  <w14:solidFill>
                    <w14:schemeClr w14:val="tx1"/>
                  </w14:solidFill>
                </w14:textFill>
              </w:rPr>
              <w:t>知</w:t>
            </w:r>
            <w:r>
              <w:rPr>
                <w:rFonts w:hint="eastAsia" w:ascii="宋体" w:hAnsi="宋体" w:eastAsia="宋体" w:cs="宋体"/>
                <w:color w:val="000000" w:themeColor="text1"/>
                <w:sz w:val="21"/>
                <w:szCs w:val="21"/>
                <w:highlight w:val="none"/>
                <w14:textFill>
                  <w14:solidFill>
                    <w14:schemeClr w14:val="tx1"/>
                  </w14:solidFill>
                </w14:textFill>
              </w:rPr>
              <w:t>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分钟内。</w:t>
            </w:r>
          </w:p>
        </w:tc>
      </w:tr>
      <w:tr w14:paraId="0AD85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36" w:hRule="atLeast"/>
        </w:trPr>
        <w:tc>
          <w:tcPr>
            <w:tcW w:w="710" w:type="dxa"/>
            <w:tcBorders>
              <w:tl2br w:val="nil"/>
              <w:tr2bl w:val="nil"/>
            </w:tcBorders>
            <w:vAlign w:val="center"/>
          </w:tcPr>
          <w:p w14:paraId="1C7FC701">
            <w:pPr>
              <w:pStyle w:val="13"/>
              <w:snapToGrid w:val="0"/>
              <w:spacing w:line="380" w:lineRule="exact"/>
              <w:ind w:firstLine="0"/>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4</w:t>
            </w:r>
          </w:p>
        </w:tc>
        <w:tc>
          <w:tcPr>
            <w:tcW w:w="850" w:type="dxa"/>
            <w:tcBorders>
              <w:tl2br w:val="nil"/>
              <w:tr2bl w:val="nil"/>
            </w:tcBorders>
            <w:vAlign w:val="center"/>
          </w:tcPr>
          <w:p w14:paraId="0DFA3956">
            <w:pPr>
              <w:pStyle w:val="13"/>
              <w:snapToGrid w:val="0"/>
              <w:spacing w:line="380" w:lineRule="exact"/>
              <w:ind w:firstLine="0"/>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6.1</w:t>
            </w:r>
          </w:p>
        </w:tc>
        <w:tc>
          <w:tcPr>
            <w:tcW w:w="1276" w:type="dxa"/>
            <w:tcBorders>
              <w:tl2br w:val="nil"/>
              <w:tr2bl w:val="nil"/>
            </w:tcBorders>
            <w:vAlign w:val="center"/>
          </w:tcPr>
          <w:p w14:paraId="3DAAE0F6">
            <w:pPr>
              <w:pStyle w:val="13"/>
              <w:snapToGrid w:val="0"/>
              <w:spacing w:line="380" w:lineRule="exact"/>
              <w:ind w:firstLine="0"/>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符合性检查和响应性评审</w:t>
            </w:r>
          </w:p>
        </w:tc>
        <w:tc>
          <w:tcPr>
            <w:tcW w:w="6804" w:type="dxa"/>
            <w:tcBorders>
              <w:tl2br w:val="nil"/>
              <w:tr2bl w:val="nil"/>
            </w:tcBorders>
          </w:tcPr>
          <w:p w14:paraId="224ADB41">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（1）投标文件按照招标文件规定的格式填写，内容完整，关键字迹清晰可辨认</w:t>
            </w:r>
            <w:r>
              <w:rPr>
                <w:rStyle w:val="49"/>
                <w:rFonts w:ascii="宋体" w:hAnsi="宋体"/>
                <w:color w:val="000000" w:themeColor="text1"/>
                <w:sz w:val="21"/>
                <w:szCs w:val="21"/>
                <w:highlight w:val="none"/>
                <w14:textFill>
                  <w14:solidFill>
                    <w14:schemeClr w14:val="tx1"/>
                  </w14:solidFill>
                </w14:textFill>
              </w:rPr>
              <w:footnoteReference w:id="57"/>
            </w:r>
            <w:r>
              <w:rPr>
                <w:rFonts w:hint="eastAsia" w:ascii="宋体" w:hAnsi="宋体"/>
                <w:color w:val="000000" w:themeColor="text1"/>
                <w:sz w:val="21"/>
                <w:szCs w:val="21"/>
                <w:highlight w:val="none"/>
                <w14:textFill>
                  <w14:solidFill>
                    <w14:schemeClr w14:val="tx1"/>
                  </w14:solidFill>
                </w14:textFill>
              </w:rPr>
              <w:t>；</w:t>
            </w:r>
          </w:p>
          <w:p w14:paraId="390F7FAC">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（2）投标文件按规定盖章（签字）和签署；</w:t>
            </w:r>
          </w:p>
          <w:p w14:paraId="0B5A2555">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（3）由投标人法定代表人委托代理人签署的，随投标文件提供了合法、有效的授权委托书（与资格审查文件一致的可以不再提交）；</w:t>
            </w:r>
          </w:p>
          <w:p w14:paraId="0F456FDB">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（4）投标保证金符合招标文件规定；</w:t>
            </w:r>
          </w:p>
          <w:p w14:paraId="0140303F">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（5）投标文件中标明的投标人名称或者组织结构与资格审查时一致，拟担任本设计项目负责人与资格审查时一致；</w:t>
            </w:r>
          </w:p>
          <w:p w14:paraId="1B2DA5C3">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（6）设计（勘察）服务期限未超过招标文件规定的期限；</w:t>
            </w:r>
          </w:p>
          <w:p w14:paraId="56EE4822">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（7）设计（勘察）质量标准符合招标文件规定的标准；</w:t>
            </w:r>
          </w:p>
          <w:p w14:paraId="7EA76F58">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设计费报价金额（允许的浮动幅度值范围）未超过招标人公布的设计费最高投标报价限价（允许的浮动幅度值范围）；招标内容包含勘察的，其勘察费的投标报价金额（允许的浮动幅度值范围）未超过招标人公布的勘察费最高投标报价限价（允许的浮动幅度值范围）；投标人按招标文件要求对设计费和勘察费（如有时）的全部费用做出完整报价；</w:t>
            </w:r>
          </w:p>
          <w:p w14:paraId="7A1FDC10">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（9）投标有效期满足招标文件要求；</w:t>
            </w:r>
          </w:p>
          <w:p w14:paraId="18D42855">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（10）采用暗标形式的，投标文件中不得体现投标人名称、具体人名，不得体现投标人承担过的工程项目名称，不得体现其他可以判定投标人的标识或文字；</w:t>
            </w:r>
          </w:p>
          <w:p w14:paraId="6F25EAAD">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（11）投标人不得递交两份或者多份内容不同的投标文件，但按照招标文件规定</w:t>
            </w:r>
            <w:r>
              <w:rPr>
                <w:rFonts w:hint="eastAsia" w:ascii="宋体" w:hAnsi="宋体"/>
                <w:color w:val="000000" w:themeColor="text1"/>
                <w:sz w:val="21"/>
                <w:szCs w:val="21"/>
                <w:highlight w:val="none"/>
                <w:lang w:eastAsia="zh-CN"/>
                <w14:textFill>
                  <w14:solidFill>
                    <w14:schemeClr w14:val="tx1"/>
                  </w14:solidFill>
                </w14:textFill>
              </w:rPr>
              <w:t>递交备选</w:t>
            </w:r>
            <w:r>
              <w:rPr>
                <w:rFonts w:hint="eastAsia" w:ascii="宋体" w:hAnsi="宋体"/>
                <w:color w:val="000000" w:themeColor="text1"/>
                <w:sz w:val="21"/>
                <w:szCs w:val="21"/>
                <w:highlight w:val="none"/>
                <w14:textFill>
                  <w14:solidFill>
                    <w14:schemeClr w14:val="tx1"/>
                  </w14:solidFill>
                </w14:textFill>
              </w:rPr>
              <w:t>投标方案的除外；</w:t>
            </w:r>
          </w:p>
          <w:p w14:paraId="06DFC363">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（12）投标人未出现以他人的名义投标、串通投标、以行贿手段谋取中标或者以其他弄虚作假方式投标的；未出现反映投标文件个性特征的内容出现明显雷同的（若出现，相关投标均无效）；</w:t>
            </w:r>
          </w:p>
          <w:p w14:paraId="5CA828A9">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（13）评标委员会要求投标人对投标文件进行澄清和补正的，投标人的澄清和补正符合正文第</w:t>
            </w:r>
            <w:r>
              <w:rPr>
                <w:rFonts w:hint="eastAsia" w:ascii="宋体" w:hAnsi="宋体"/>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条规定；</w:t>
            </w:r>
          </w:p>
          <w:p w14:paraId="70F5BD35">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（14）未存在投标人须知第4.1.4款第（1）目或第（2）目或第（3）目规定的情形；</w:t>
            </w:r>
          </w:p>
          <w:p w14:paraId="11DBE06A">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（15）未采用除本单位企业</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以外的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（如本单位法定代表人或其他单位的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）加密投标文件；</w:t>
            </w:r>
          </w:p>
          <w:p w14:paraId="5404F73D">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（16）投标文件记录的计算机硬件信息中，未存在一条及以上的计算机的网卡MAC地址、CPU序列号、数据存储设备序列号空值；</w:t>
            </w:r>
          </w:p>
          <w:p w14:paraId="35F76316">
            <w:pPr>
              <w:keepNext w:val="0"/>
              <w:keepLines w:val="0"/>
              <w:pageBreakBefore w:val="0"/>
              <w:widowControl w:val="0"/>
              <w:kinsoku/>
              <w:wordWrap/>
              <w:overflowPunct/>
              <w:topLinePunct w:val="0"/>
              <w:autoSpaceDE/>
              <w:autoSpaceDN/>
              <w:bidi w:val="0"/>
              <w:adjustRightInd w:val="0"/>
              <w:snapToGrid w:val="0"/>
              <w:spacing w:line="380" w:lineRule="exact"/>
              <w:ind w:firstLine="457" w:firstLineChars="218"/>
              <w:jc w:val="left"/>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（17）投标文件未附有评标委员会不能接受的条件或资料。</w:t>
            </w:r>
          </w:p>
        </w:tc>
      </w:tr>
    </w:tbl>
    <w:p w14:paraId="70A86F3B">
      <w:pPr>
        <w:pStyle w:val="4"/>
        <w:rPr>
          <w:rFonts w:ascii="黑体" w:hAnsi="黑体" w:eastAsia="黑体"/>
          <w:b w:val="0"/>
          <w:color w:val="000000" w:themeColor="text1"/>
          <w:sz w:val="28"/>
          <w:szCs w:val="28"/>
          <w:highlight w:val="none"/>
          <w14:textFill>
            <w14:solidFill>
              <w14:schemeClr w14:val="tx1"/>
            </w14:solidFill>
          </w14:textFill>
        </w:rPr>
      </w:pPr>
      <w:bookmarkStart w:id="429" w:name="_Toc18722"/>
      <w:bookmarkStart w:id="430" w:name="_Toc10306"/>
      <w:bookmarkStart w:id="431" w:name="_Toc13973"/>
      <w:r>
        <w:rPr>
          <w:rFonts w:hint="eastAsia" w:ascii="黑体" w:hAnsi="黑体" w:eastAsia="黑体"/>
          <w:b w:val="0"/>
          <w:color w:val="000000" w:themeColor="text1"/>
          <w:sz w:val="28"/>
          <w:szCs w:val="28"/>
          <w:highlight w:val="none"/>
          <w14:textFill>
            <w14:solidFill>
              <w14:schemeClr w14:val="tx1"/>
            </w14:solidFill>
          </w14:textFill>
        </w:rPr>
        <w:t>评标办法正文</w:t>
      </w:r>
      <w:bookmarkEnd w:id="429"/>
      <w:bookmarkEnd w:id="430"/>
      <w:bookmarkEnd w:id="431"/>
    </w:p>
    <w:p w14:paraId="3A88B564">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32" w:name="_Toc1937"/>
      <w:bookmarkStart w:id="433" w:name="_Toc24813"/>
      <w:bookmarkStart w:id="434" w:name="_Toc30420"/>
      <w:r>
        <w:rPr>
          <w:rFonts w:hint="eastAsia" w:ascii="黑体" w:hAnsi="黑体" w:eastAsia="黑体"/>
          <w:b w:val="0"/>
          <w:color w:val="000000" w:themeColor="text1"/>
          <w:sz w:val="28"/>
          <w:szCs w:val="28"/>
          <w:highlight w:val="none"/>
          <w14:textFill>
            <w14:solidFill>
              <w14:schemeClr w14:val="tx1"/>
            </w14:solidFill>
          </w14:textFill>
        </w:rPr>
        <w:t>1.评标方法</w:t>
      </w:r>
      <w:bookmarkEnd w:id="432"/>
      <w:bookmarkEnd w:id="433"/>
      <w:bookmarkEnd w:id="434"/>
    </w:p>
    <w:p w14:paraId="51882BDE">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1.1.</w:t>
      </w:r>
      <w:r>
        <w:rPr>
          <w:rFonts w:hint="eastAsia" w:ascii="宋体" w:hAnsi="宋体" w:eastAsia="宋体" w:cs="Times New Roman"/>
          <w:color w:val="000000" w:themeColor="text1"/>
          <w:sz w:val="21"/>
          <w:szCs w:val="21"/>
          <w:highlight w:val="none"/>
          <w14:textFill>
            <w14:solidFill>
              <w14:schemeClr w14:val="tx1"/>
            </w14:solidFill>
          </w14:textFill>
        </w:rPr>
        <w:t>本次评标采用“记名投票法”。</w:t>
      </w:r>
      <w:r>
        <w:rPr>
          <w:rFonts w:hint="eastAsia" w:ascii="宋体" w:hAnsi="宋体" w:eastAsia="宋体" w:cs="宋体"/>
          <w:color w:val="000000" w:themeColor="text1"/>
          <w:sz w:val="21"/>
          <w:szCs w:val="21"/>
          <w:highlight w:val="none"/>
          <w14:textFill>
            <w14:solidFill>
              <w14:schemeClr w14:val="tx1"/>
            </w14:solidFill>
          </w14:textFill>
        </w:rPr>
        <w:t>评标委员会对通过资格审查的投标人的投标文件进行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定性</w:t>
      </w:r>
      <w:r>
        <w:rPr>
          <w:rFonts w:hint="eastAsia" w:ascii="宋体" w:hAnsi="宋体" w:eastAsia="宋体" w:cs="宋体"/>
          <w:color w:val="000000" w:themeColor="text1"/>
          <w:sz w:val="21"/>
          <w:szCs w:val="21"/>
          <w:highlight w:val="none"/>
          <w14:textFill>
            <w14:solidFill>
              <w14:schemeClr w14:val="tx1"/>
            </w14:solidFill>
          </w14:textFill>
        </w:rPr>
        <w:t>评审</w:t>
      </w:r>
      <w:r>
        <w:rPr>
          <w:rFonts w:hint="eastAsia" w:ascii="宋体" w:hAnsi="宋体" w:cs="宋体"/>
          <w:color w:val="000000" w:themeColor="text1"/>
          <w:sz w:val="21"/>
          <w:szCs w:val="21"/>
          <w:highlight w:val="none"/>
          <w:lang w:val="en-US" w:eastAsia="zh-CN"/>
          <w14:textFill>
            <w14:solidFill>
              <w14:schemeClr w14:val="tx1"/>
            </w14:solidFill>
          </w14:textFill>
        </w:rPr>
        <w:t>后</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以</w:t>
      </w:r>
      <w:r>
        <w:rPr>
          <w:rFonts w:hint="eastAsia" w:ascii="宋体" w:hAnsi="宋体" w:eastAsia="宋体" w:cs="宋体"/>
          <w:color w:val="000000" w:themeColor="text1"/>
          <w:sz w:val="21"/>
          <w:szCs w:val="21"/>
          <w:highlight w:val="none"/>
          <w14:textFill>
            <w14:solidFill>
              <w14:schemeClr w14:val="tx1"/>
            </w14:solidFill>
          </w14:textFill>
        </w:rPr>
        <w:t>记</w:t>
      </w:r>
      <w:r>
        <w:rPr>
          <w:rFonts w:hint="eastAsia" w:ascii="宋体" w:hAnsi="宋体" w:eastAsia="宋体" w:cs="Times New Roman"/>
          <w:color w:val="000000" w:themeColor="text1"/>
          <w:sz w:val="21"/>
          <w:szCs w:val="21"/>
          <w:highlight w:val="none"/>
          <w14:textFill>
            <w14:solidFill>
              <w14:schemeClr w14:val="tx1"/>
            </w14:solidFill>
          </w14:textFill>
        </w:rPr>
        <w:t>名方式投票推荐得票数最多5家的投</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ascii="宋体" w:hAnsi="宋体" w:eastAsia="宋体" w:cs="Times New Roman"/>
          <w:color w:val="000000" w:themeColor="text1"/>
          <w:sz w:val="21"/>
          <w:szCs w:val="21"/>
          <w:highlight w:val="none"/>
          <w14:textFill>
            <w14:solidFill>
              <w14:schemeClr w14:val="tx1"/>
            </w14:solidFill>
          </w14:textFill>
        </w:rPr>
        <w:t>人</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以不排序方式</w:t>
      </w:r>
      <w:r>
        <w:rPr>
          <w:rFonts w:hint="eastAsia" w:ascii="宋体" w:hAnsi="宋体" w:cs="Times New Roman"/>
          <w:color w:val="000000" w:themeColor="text1"/>
          <w:sz w:val="21"/>
          <w:szCs w:val="21"/>
          <w:highlight w:val="none"/>
          <w:lang w:val="en-US" w:eastAsia="zh-CN"/>
          <w14:textFill>
            <w14:solidFill>
              <w14:schemeClr w14:val="tx1"/>
            </w14:solidFill>
          </w14:textFill>
        </w:rPr>
        <w:t>将</w:t>
      </w:r>
      <w:r>
        <w:rPr>
          <w:rFonts w:hint="eastAsia" w:cs="宋体"/>
          <w:color w:val="000000" w:themeColor="text1"/>
          <w:sz w:val="21"/>
          <w:szCs w:val="21"/>
          <w:highlight w:val="none"/>
          <w:lang w:val="en-US" w:eastAsia="zh-CN"/>
          <w14:textFill>
            <w14:solidFill>
              <w14:schemeClr w14:val="tx1"/>
            </w14:solidFill>
          </w14:textFill>
        </w:rPr>
        <w:t>注册人员满足其所持资质证书对应的资质标准要求</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ascii="宋体" w:hAnsi="宋体" w:eastAsia="宋体" w:cs="Times New Roman"/>
          <w:color w:val="000000" w:themeColor="text1"/>
          <w:sz w:val="21"/>
          <w:szCs w:val="21"/>
          <w:highlight w:val="none"/>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ascii="宋体" w:hAnsi="宋体" w:eastAsia="宋体" w:cs="Times New Roman"/>
          <w:color w:val="000000" w:themeColor="text1"/>
          <w:sz w:val="21"/>
          <w:szCs w:val="21"/>
          <w:highlight w:val="none"/>
          <w14:textFill>
            <w14:solidFill>
              <w14:schemeClr w14:val="tx1"/>
            </w14:solidFill>
          </w14:textFill>
        </w:rPr>
        <w:t>人</w:t>
      </w:r>
      <w:r>
        <w:rPr>
          <w:rFonts w:hint="eastAsia" w:ascii="宋体" w:hAnsi="宋体" w:cs="Times New Roman"/>
          <w:color w:val="000000" w:themeColor="text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sz w:val="21"/>
          <w:szCs w:val="21"/>
          <w:highlight w:val="none"/>
          <w14:textFill>
            <w14:solidFill>
              <w14:schemeClr w14:val="tx1"/>
            </w14:solidFill>
          </w14:textFill>
        </w:rPr>
        <w:t>为</w:t>
      </w:r>
      <w:r>
        <w:rPr>
          <w:rFonts w:hint="eastAsia" w:ascii="宋体" w:hAnsi="宋体" w:eastAsia="宋体" w:cs="Times New Roman"/>
          <w:color w:val="000000" w:themeColor="text1"/>
          <w:sz w:val="21"/>
          <w:szCs w:val="21"/>
          <w:highlight w:val="none"/>
          <w14:textFill>
            <w14:solidFill>
              <w14:schemeClr w14:val="tx1"/>
            </w14:solidFill>
          </w14:textFill>
        </w:rPr>
        <w:t>定标候选人</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并</w:t>
      </w:r>
      <w:r>
        <w:rPr>
          <w:rFonts w:hint="eastAsia" w:ascii="宋体" w:hAnsi="宋体" w:cs="宋体"/>
          <w:color w:val="000000" w:themeColor="text1"/>
          <w:sz w:val="21"/>
          <w:szCs w:val="21"/>
          <w:highlight w:val="none"/>
          <w:lang w:eastAsia="zh-CN"/>
          <w14:textFill>
            <w14:solidFill>
              <w14:schemeClr w14:val="tx1"/>
            </w14:solidFill>
          </w14:textFill>
        </w:rPr>
        <w:t>阐述</w:t>
      </w:r>
      <w:r>
        <w:rPr>
          <w:rFonts w:hint="eastAsia" w:ascii="宋体" w:hAnsi="宋体" w:eastAsia="宋体" w:cs="宋体"/>
          <w:color w:val="000000" w:themeColor="text1"/>
          <w:sz w:val="21"/>
          <w:szCs w:val="21"/>
          <w:highlight w:val="none"/>
          <w14:textFill>
            <w14:solidFill>
              <w14:schemeClr w14:val="tx1"/>
            </w14:solidFill>
          </w14:textFill>
        </w:rPr>
        <w:t>推荐定标候选方案理由</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参考</w:t>
      </w:r>
      <w:r>
        <w:rPr>
          <w:rFonts w:hint="eastAsia" w:cs="宋体"/>
          <w:color w:val="000000" w:themeColor="text1"/>
          <w:sz w:val="21"/>
          <w:szCs w:val="21"/>
          <w:highlight w:val="none"/>
          <w14:textFill>
            <w14:solidFill>
              <w14:schemeClr w14:val="tx1"/>
            </w14:solidFill>
          </w14:textFill>
        </w:rPr>
        <w:t>意见</w:t>
      </w:r>
      <w:r>
        <w:rPr>
          <w:rFonts w:hint="eastAsia" w:ascii="宋体" w:hAnsi="宋体" w:eastAsia="宋体" w:cs="Times New Roman"/>
          <w:color w:val="000000" w:themeColor="text1"/>
          <w:sz w:val="21"/>
          <w:szCs w:val="21"/>
          <w:highlight w:val="none"/>
          <w14:textFill>
            <w14:solidFill>
              <w14:schemeClr w14:val="tx1"/>
            </w14:solidFill>
          </w14:textFill>
        </w:rPr>
        <w:t>。</w:t>
      </w:r>
    </w:p>
    <w:p w14:paraId="5EB5AD39">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1.2.</w:t>
      </w:r>
      <w:r>
        <w:rPr>
          <w:rFonts w:hint="eastAsia" w:cs="宋体"/>
          <w:color w:val="000000" w:themeColor="text1"/>
          <w:kern w:val="1"/>
          <w:sz w:val="21"/>
          <w:szCs w:val="21"/>
          <w:highlight w:val="none"/>
          <w14:textFill>
            <w14:solidFill>
              <w14:schemeClr w14:val="tx1"/>
            </w14:solidFill>
          </w14:textFill>
        </w:rPr>
        <w:t>评</w:t>
      </w:r>
      <w:r>
        <w:rPr>
          <w:rFonts w:hint="eastAsia" w:cs="宋体"/>
          <w:color w:val="000000" w:themeColor="text1"/>
          <w:kern w:val="1"/>
          <w:sz w:val="21"/>
          <w:szCs w:val="21"/>
          <w:highlight w:val="none"/>
          <w:lang w:val="en-US" w:eastAsia="zh-CN"/>
          <w14:textFill>
            <w14:solidFill>
              <w14:schemeClr w14:val="tx1"/>
            </w14:solidFill>
          </w14:textFill>
        </w:rPr>
        <w:t>标</w:t>
      </w:r>
      <w:r>
        <w:rPr>
          <w:rFonts w:hint="eastAsia" w:cs="宋体"/>
          <w:color w:val="000000" w:themeColor="text1"/>
          <w:kern w:val="1"/>
          <w:sz w:val="21"/>
          <w:szCs w:val="21"/>
          <w:highlight w:val="none"/>
          <w14:textFill>
            <w14:solidFill>
              <w14:schemeClr w14:val="tx1"/>
            </w14:solidFill>
          </w14:textFill>
        </w:rPr>
        <w:t>工作规则</w:t>
      </w:r>
    </w:p>
    <w:p w14:paraId="4D7EBBDC">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采用保密方式进行。公开开标后，凡属于对投标文件的审查、澄清、评价和比较的有关资料及有关定标候选人的推荐情况、与评标有关的其他任何情况均应严格保密，都不应向投标人或与该过程无公务关系的其他人泄露。</w:t>
      </w:r>
    </w:p>
    <w:p w14:paraId="6087DEF6">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在投标文件的评审和比较、定标候选人推荐过程中，投标人任何试图影响或干扰招标人和评标委员会的评标活动，都可能导致其投标被拒绝。</w:t>
      </w:r>
    </w:p>
    <w:p w14:paraId="7B3B583A">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对技术文件的评审采用暗标式评审，即电子评标系统对各投标人的技术文件进行匿名编号后，交给评标委员会进行评审，技术文件评审汇总意见提交后电子评标系统自动解密对应各编号的投标人。</w:t>
      </w:r>
    </w:p>
    <w:p w14:paraId="34852F95">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评标应严格按照招标文件中规定的评标办法进行，除了有关法律、法规以及国家标准中规定的强制性条文外，不得引用招标文件规定以外的办法进行评审。</w:t>
      </w:r>
    </w:p>
    <w:p w14:paraId="23D9F6AC">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招标文件条款存在含义不清或者相互矛盾的，评标委员会应当针对相应条款作出有利于相应投标人的结论。</w:t>
      </w:r>
    </w:p>
    <w:p w14:paraId="6C38E9DB">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.评标报告应当由评标委员会全体成员签字（电子签名）。</w:t>
      </w:r>
      <w:r>
        <w:rPr>
          <w:rFonts w:hint="eastAsia" w:ascii="宋体" w:hAnsi="宋体" w:eastAsia="宋体" w:cs="宋体"/>
          <w:color w:val="000000" w:themeColor="text1"/>
          <w:sz w:val="21"/>
          <w:szCs w:val="21"/>
          <w:highlight w:val="none"/>
          <w14:textFill>
            <w14:solidFill>
              <w14:schemeClr w14:val="tx1"/>
            </w14:solidFill>
          </w14:textFill>
        </w:rPr>
        <w:t>评委的评审意见不一致时，应以投票形式进行表决，并按照少数服从多数的原则处理。评审结束后，评标委员会应当对否决投标或不采信投标人说明的情况在评标报告中作详细说明。</w:t>
      </w:r>
    </w:p>
    <w:p w14:paraId="6DEAF055">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评标过程中，评标委员会成员有回避事由、擅离职守或者因健康等原因不能继续评标的，招标人有权更换。被更换的评标委员会成员作出的评审结论无效，由更换后的评标委员会成员重新进行评审。</w:t>
      </w:r>
    </w:p>
    <w:p w14:paraId="144B4F46">
      <w:pPr>
        <w:pStyle w:val="4"/>
        <w:adjustRightInd/>
        <w:spacing w:beforeLines="50" w:afterLines="50" w:line="360" w:lineRule="auto"/>
        <w:ind w:firstLineChars="201"/>
        <w:jc w:val="left"/>
        <w:textAlignment w:val="auto"/>
        <w:rPr>
          <w:rFonts w:hint="eastAsia" w:ascii="黑体" w:hAnsi="黑体" w:eastAsia="黑体"/>
          <w:b w:val="0"/>
          <w:color w:val="000000" w:themeColor="text1"/>
          <w:sz w:val="28"/>
          <w:szCs w:val="28"/>
          <w:highlight w:val="none"/>
          <w14:textFill>
            <w14:solidFill>
              <w14:schemeClr w14:val="tx1"/>
            </w14:solidFill>
          </w14:textFill>
        </w:rPr>
      </w:pPr>
      <w:bookmarkStart w:id="435" w:name="_Toc11969"/>
      <w:bookmarkStart w:id="436" w:name="_Toc7261"/>
      <w:bookmarkStart w:id="437" w:name="_Toc2303"/>
      <w:bookmarkStart w:id="438" w:name="_Toc28506"/>
      <w:bookmarkStart w:id="439" w:name="_Toc25252"/>
      <w:bookmarkStart w:id="440" w:name="_Toc12604"/>
      <w:bookmarkStart w:id="441" w:name="_Toc10055"/>
      <w:r>
        <w:rPr>
          <w:rFonts w:hint="eastAsia" w:ascii="黑体" w:hAnsi="黑体" w:eastAsia="黑体"/>
          <w:b w:val="0"/>
          <w:color w:val="000000" w:themeColor="text1"/>
          <w:sz w:val="28"/>
          <w:szCs w:val="28"/>
          <w:highlight w:val="none"/>
          <w:lang w:val="en-US" w:eastAsia="zh-CN"/>
          <w14:textFill>
            <w14:solidFill>
              <w14:schemeClr w14:val="tx1"/>
            </w14:solidFill>
          </w14:textFill>
        </w:rPr>
        <w:t>2</w:t>
      </w:r>
      <w:r>
        <w:rPr>
          <w:rFonts w:hint="eastAsia" w:ascii="黑体" w:hAnsi="黑体" w:eastAsia="黑体"/>
          <w:b w:val="0"/>
          <w:color w:val="000000" w:themeColor="text1"/>
          <w:sz w:val="28"/>
          <w:szCs w:val="28"/>
          <w:highlight w:val="none"/>
          <w14:textFill>
            <w14:solidFill>
              <w14:schemeClr w14:val="tx1"/>
            </w14:solidFill>
          </w14:textFill>
        </w:rPr>
        <w:t>.评标程序</w:t>
      </w:r>
      <w:bookmarkEnd w:id="435"/>
      <w:bookmarkEnd w:id="436"/>
      <w:bookmarkEnd w:id="437"/>
      <w:bookmarkEnd w:id="438"/>
      <w:bookmarkEnd w:id="439"/>
      <w:bookmarkEnd w:id="440"/>
      <w:bookmarkEnd w:id="441"/>
    </w:p>
    <w:p w14:paraId="2EF44548">
      <w:pPr>
        <w:keepNext w:val="0"/>
        <w:keepLines w:val="0"/>
        <w:pageBreakBefore w:val="0"/>
        <w:widowControl w:val="0"/>
        <w:tabs>
          <w:tab w:val="left" w:pos="510"/>
          <w:tab w:val="left" w:pos="2800"/>
        </w:tabs>
        <w:kinsoku/>
        <w:wordWrap/>
        <w:overflowPunct/>
        <w:topLinePunct w:val="0"/>
        <w:autoSpaceDE/>
        <w:autoSpaceDN/>
        <w:bidi w:val="0"/>
        <w:adjustRightInd/>
        <w:snapToGrid/>
        <w:spacing w:line="360" w:lineRule="auto"/>
        <w:ind w:firstLine="422" w:firstLineChars="201"/>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本招标项目评标将按以下程序进行：</w:t>
      </w:r>
    </w:p>
    <w:p w14:paraId="0EB3FCC5">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bidi="ar-SA"/>
          <w14:textFill>
            <w14:solidFill>
              <w14:schemeClr w14:val="tx1"/>
            </w14:solidFill>
          </w14:textFill>
        </w:rPr>
        <w:t>2.1.</w:t>
      </w:r>
      <w:r>
        <w:rPr>
          <w:rFonts w:hint="eastAsia" w:ascii="宋体" w:hAnsi="宋体" w:eastAsia="宋体" w:cs="Times New Roman"/>
          <w:color w:val="000000" w:themeColor="text1"/>
          <w:sz w:val="21"/>
          <w:szCs w:val="21"/>
          <w:highlight w:val="none"/>
          <w14:textFill>
            <w14:solidFill>
              <w14:schemeClr w14:val="tx1"/>
            </w14:solidFill>
          </w14:textFill>
        </w:rPr>
        <w:t>组建评标委员会</w:t>
      </w:r>
    </w:p>
    <w:p w14:paraId="5BE8B95E">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bidi="ar-SA"/>
          <w14:textFill>
            <w14:solidFill>
              <w14:schemeClr w14:val="tx1"/>
            </w14:solidFill>
          </w14:textFill>
        </w:rPr>
        <w:t>2.2.</w:t>
      </w:r>
      <w:r>
        <w:rPr>
          <w:rFonts w:hint="eastAsia" w:ascii="宋体" w:hAnsi="宋体" w:eastAsia="宋体" w:cs="Times New Roman"/>
          <w:color w:val="000000" w:themeColor="text1"/>
          <w:sz w:val="21"/>
          <w:szCs w:val="21"/>
          <w:highlight w:val="none"/>
          <w14:textFill>
            <w14:solidFill>
              <w14:schemeClr w14:val="tx1"/>
            </w14:solidFill>
          </w14:textFill>
        </w:rPr>
        <w:t>评标前准备工作</w:t>
      </w:r>
    </w:p>
    <w:p w14:paraId="028CC6F6">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14:textFill>
            <w14:solidFill>
              <w14:schemeClr w14:val="tx1"/>
            </w14:solidFill>
          </w14:textFill>
        </w:rPr>
        <w:t>2.3.</w:t>
      </w:r>
      <w:r>
        <w:rPr>
          <w:rFonts w:hint="eastAsia" w:ascii="宋体" w:hAnsi="宋体" w:eastAsia="宋体" w:cs="Times New Roman"/>
          <w:color w:val="000000" w:themeColor="text1"/>
          <w:sz w:val="21"/>
          <w:szCs w:val="21"/>
          <w:highlight w:val="none"/>
          <w14:textFill>
            <w14:solidFill>
              <w14:schemeClr w14:val="tx1"/>
            </w14:solidFill>
          </w14:textFill>
        </w:rPr>
        <w:t>资格审查及确定入围投标人</w:t>
      </w:r>
    </w:p>
    <w:p w14:paraId="051FAABE">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（1）</w:t>
      </w:r>
      <w:r>
        <w:rPr>
          <w:rFonts w:hint="eastAsia" w:ascii="宋体" w:hAnsi="宋体" w:cs="Times New Roman"/>
          <w:color w:val="000000" w:themeColor="text1"/>
          <w:sz w:val="21"/>
          <w:szCs w:val="21"/>
          <w:highlight w:val="none"/>
          <w:lang w:val="en-US" w:eastAsia="zh-CN"/>
          <w14:textFill>
            <w14:solidFill>
              <w14:schemeClr w14:val="tx1"/>
            </w14:solidFill>
          </w14:textFill>
        </w:rPr>
        <w:t>资格审查</w:t>
      </w:r>
    </w:p>
    <w:p w14:paraId="2670A426">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kern w:val="0"/>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2</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kern w:val="0"/>
          <w:sz w:val="21"/>
          <w:szCs w:val="21"/>
          <w:highlight w:val="none"/>
          <w:lang w:val="en-US" w:eastAsia="zh-CN"/>
          <w14:textFill>
            <w14:solidFill>
              <w14:schemeClr w14:val="tx1"/>
            </w14:solidFill>
          </w14:textFill>
        </w:rPr>
        <w:t>资格审查</w:t>
      </w:r>
      <w:r>
        <w:rPr>
          <w:rFonts w:hint="eastAsia" w:ascii="宋体" w:hAnsi="宋体" w:cs="Times New Roman"/>
          <w:color w:val="000000" w:themeColor="text1"/>
          <w:kern w:val="0"/>
          <w:sz w:val="21"/>
          <w:szCs w:val="21"/>
          <w:highlight w:val="none"/>
          <w14:textFill>
            <w14:solidFill>
              <w14:schemeClr w14:val="tx1"/>
            </w14:solidFill>
          </w14:textFill>
        </w:rPr>
        <w:t>文件的澄清、说明和补正</w:t>
      </w:r>
    </w:p>
    <w:p w14:paraId="4C42A5CB">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3</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14:textFill>
            <w14:solidFill>
              <w14:schemeClr w14:val="tx1"/>
            </w14:solidFill>
          </w14:textFill>
        </w:rPr>
        <w:t>确定入围投标人</w:t>
      </w:r>
    </w:p>
    <w:p w14:paraId="0261B016">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14:textFill>
            <w14:solidFill>
              <w14:schemeClr w14:val="tx1"/>
            </w14:solidFill>
          </w14:textFill>
        </w:rPr>
        <w:t>2.4.定性评审</w:t>
      </w:r>
    </w:p>
    <w:p w14:paraId="3B3A7269">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1</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符合性和响应性评审</w:t>
      </w:r>
    </w:p>
    <w:p w14:paraId="70FFFE74">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2</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详细评审</w:t>
      </w:r>
    </w:p>
    <w:p w14:paraId="6323A53C">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3</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投标文件的澄清</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澄清</w:t>
      </w:r>
      <w:r>
        <w:rPr>
          <w:rFonts w:hint="eastAsia" w:ascii="宋体" w:hAnsi="宋体" w:cs="宋体"/>
          <w:b w:val="0"/>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b w:val="0"/>
          <w:color w:val="000000" w:themeColor="text1"/>
          <w:sz w:val="21"/>
          <w:szCs w:val="21"/>
          <w:highlight w:val="none"/>
          <w14:textFill>
            <w14:solidFill>
              <w14:schemeClr w14:val="tx1"/>
            </w14:solidFill>
          </w14:textFill>
        </w:rPr>
        <w:t>和补正</w:t>
      </w:r>
    </w:p>
    <w:p w14:paraId="3BE9E04E">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4</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推荐定标候选人</w:t>
      </w:r>
    </w:p>
    <w:p w14:paraId="01CF515E">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442" w:name="_Toc16680"/>
      <w:bookmarkStart w:id="443" w:name="_Toc1876"/>
      <w:bookmarkStart w:id="444" w:name="_Toc32488"/>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3.组建评标委员会</w:t>
      </w:r>
      <w:bookmarkEnd w:id="442"/>
      <w:bookmarkEnd w:id="443"/>
      <w:bookmarkEnd w:id="444"/>
    </w:p>
    <w:p w14:paraId="2415F9BC">
      <w:pPr>
        <w:tabs>
          <w:tab w:val="left" w:pos="567"/>
        </w:tabs>
        <w:adjustRightInd/>
        <w:spacing w:line="360" w:lineRule="auto"/>
        <w:ind w:firstLine="422" w:firstLineChars="201"/>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招标人依法组建的评标委员会负责评标，具体确定方式见评标办法前附表第1项。</w:t>
      </w:r>
    </w:p>
    <w:p w14:paraId="461CDD0C">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3.2.</w:t>
      </w: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评标委员会成员有下列情形之一的，应当回避：</w:t>
      </w:r>
    </w:p>
    <w:p w14:paraId="7CF6703C">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（1）投标人或投标人主要负责人的近亲属；</w:t>
      </w:r>
    </w:p>
    <w:p w14:paraId="33B2A9AE">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（2）项目主管部门或者行政监督部门的人员；</w:t>
      </w:r>
    </w:p>
    <w:p w14:paraId="129FAEE4">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（3）与投标人有经济利益关系，可能影响对投标公正评审的；</w:t>
      </w:r>
    </w:p>
    <w:p w14:paraId="6E9530DC">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（4）曾因在招标、评标以及其他与招标投标有关活动中从事违法行为而受过行政处罚或刑事处罚的；</w:t>
      </w:r>
    </w:p>
    <w:p w14:paraId="652BE39A">
      <w:pPr>
        <w:tabs>
          <w:tab w:val="left" w:pos="567"/>
        </w:tabs>
        <w:adjustRightInd/>
        <w:spacing w:line="360" w:lineRule="auto"/>
        <w:ind w:firstLine="422" w:firstLineChars="201"/>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（5）与投标人有其他利害关系。</w:t>
      </w:r>
    </w:p>
    <w:p w14:paraId="7D8B6980">
      <w:pPr>
        <w:tabs>
          <w:tab w:val="left" w:pos="567"/>
        </w:tabs>
        <w:adjustRightInd/>
        <w:spacing w:line="360" w:lineRule="auto"/>
        <w:ind w:firstLine="422" w:firstLineChars="201"/>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Times New Roman"/>
          <w:color w:val="000000" w:themeColor="text1"/>
          <w:sz w:val="21"/>
          <w:szCs w:val="21"/>
          <w:highlight w:val="none"/>
          <w14:textFill>
            <w14:solidFill>
              <w14:schemeClr w14:val="tx1"/>
            </w14:solidFill>
          </w14:textFill>
        </w:rPr>
        <w:t>评标委员会采用推举或者随机抽取方式确定1名专家评委担任</w:t>
      </w:r>
      <w:r>
        <w:rPr>
          <w:rFonts w:hint="eastAsia" w:ascii="宋体" w:hAnsi="宋体" w:cs="Times New Roman"/>
          <w:color w:val="000000" w:themeColor="text1"/>
          <w:sz w:val="21"/>
          <w:szCs w:val="21"/>
          <w:highlight w:val="none"/>
          <w:lang w:eastAsia="zh-CN"/>
          <w14:textFill>
            <w14:solidFill>
              <w14:schemeClr w14:val="tx1"/>
            </w14:solidFill>
          </w14:textFill>
        </w:rPr>
        <w:t>评标委员会负责人</w:t>
      </w:r>
      <w:r>
        <w:rPr>
          <w:rFonts w:hint="eastAsia" w:ascii="宋体" w:hAnsi="宋体" w:eastAsia="宋体" w:cs="Times New Roman"/>
          <w:color w:val="000000" w:themeColor="text1"/>
          <w:sz w:val="21"/>
          <w:szCs w:val="21"/>
          <w:highlight w:val="none"/>
          <w14:textFill>
            <w14:solidFill>
              <w14:schemeClr w14:val="tx1"/>
            </w14:solidFill>
          </w14:textFill>
        </w:rPr>
        <w:t>，负责组织、协调评标工作。</w:t>
      </w:r>
      <w:r>
        <w:rPr>
          <w:rFonts w:hint="eastAsia" w:ascii="宋体" w:hAnsi="宋体" w:eastAsia="宋体" w:cs="宋体"/>
          <w:color w:val="000000" w:themeColor="text1"/>
          <w:sz w:val="21"/>
          <w:szCs w:val="21"/>
          <w:highlight w:val="none"/>
          <w14:textFill>
            <w14:solidFill>
              <w14:schemeClr w14:val="tx1"/>
            </w14:solidFill>
          </w14:textFill>
        </w:rPr>
        <w:t>评标</w:t>
      </w:r>
      <w:r>
        <w:rPr>
          <w:rFonts w:hint="eastAsia" w:ascii="宋体" w:hAnsi="宋体" w:eastAsia="宋体" w:cs="Times New Roman"/>
          <w:color w:val="000000" w:themeColor="text1"/>
          <w:sz w:val="21"/>
          <w:szCs w:val="21"/>
          <w:highlight w:val="none"/>
          <w14:textFill>
            <w14:solidFill>
              <w14:schemeClr w14:val="tx1"/>
            </w14:solidFill>
          </w14:textFill>
        </w:rPr>
        <w:t>委</w:t>
      </w:r>
      <w:r>
        <w:rPr>
          <w:rFonts w:hint="eastAsia" w:ascii="宋体" w:hAnsi="宋体" w:eastAsia="宋体" w:cs="宋体"/>
          <w:color w:val="000000" w:themeColor="text1"/>
          <w:sz w:val="21"/>
          <w:szCs w:val="21"/>
          <w:highlight w:val="none"/>
          <w14:textFill>
            <w14:solidFill>
              <w14:schemeClr w14:val="tx1"/>
            </w14:solidFill>
          </w14:textFill>
        </w:rPr>
        <w:t>员</w:t>
      </w:r>
      <w:r>
        <w:rPr>
          <w:rFonts w:hint="eastAsia" w:ascii="宋体" w:hAnsi="宋体" w:eastAsia="宋体" w:cs="Times New Roman"/>
          <w:color w:val="000000" w:themeColor="text1"/>
          <w:sz w:val="21"/>
          <w:szCs w:val="21"/>
          <w:highlight w:val="none"/>
          <w14:textFill>
            <w14:solidFill>
              <w14:schemeClr w14:val="tx1"/>
            </w14:solidFill>
          </w14:textFill>
        </w:rPr>
        <w:t>会应根据招标文件规定的评标办法，对投标文件进行评审。</w:t>
      </w:r>
    </w:p>
    <w:p w14:paraId="31FB8E6B">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445" w:name="_Toc5569"/>
      <w:bookmarkStart w:id="446" w:name="_Toc22104"/>
      <w:bookmarkStart w:id="447" w:name="_Toc4049"/>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4.评标前准备工作</w:t>
      </w:r>
      <w:bookmarkEnd w:id="445"/>
      <w:bookmarkEnd w:id="446"/>
      <w:bookmarkEnd w:id="447"/>
    </w:p>
    <w:p w14:paraId="4FA69FF8">
      <w:pPr>
        <w:tabs>
          <w:tab w:val="left" w:pos="567"/>
        </w:tabs>
        <w:adjustRightInd/>
        <w:spacing w:line="360" w:lineRule="auto"/>
        <w:ind w:firstLine="422" w:firstLineChars="201"/>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4.</w:t>
      </w:r>
      <w:r>
        <w:rPr>
          <w:rFonts w:hint="eastAsia" w:ascii="宋体" w:hAnsi="宋体" w:eastAsia="宋体" w:cs="Times New Roman"/>
          <w:color w:val="000000" w:themeColor="text1"/>
          <w:sz w:val="21"/>
          <w:szCs w:val="21"/>
          <w:highlight w:val="none"/>
          <w14:textFill>
            <w14:solidFill>
              <w14:schemeClr w14:val="tx1"/>
            </w14:solidFill>
          </w14:textFill>
        </w:rPr>
        <w:t>1.评标委员会成员在评标前应当认真研究招标文件，至少应了解和熟悉本招标的目标、招标范围、性质、主要技术要求、标准、商务条款以及评标程序、方法和在评标过程中考虑的相关因素。</w:t>
      </w:r>
    </w:p>
    <w:p w14:paraId="7598C8D2">
      <w:pPr>
        <w:tabs>
          <w:tab w:val="left" w:pos="567"/>
        </w:tabs>
        <w:adjustRightInd/>
        <w:spacing w:line="360" w:lineRule="auto"/>
        <w:ind w:firstLine="422" w:firstLineChars="201"/>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4.</w:t>
      </w:r>
      <w:r>
        <w:rPr>
          <w:rFonts w:hint="eastAsia" w:ascii="宋体" w:hAnsi="宋体" w:eastAsia="宋体" w:cs="Times New Roman"/>
          <w:color w:val="000000" w:themeColor="text1"/>
          <w:sz w:val="21"/>
          <w:szCs w:val="21"/>
          <w:highlight w:val="none"/>
          <w14:textFill>
            <w14:solidFill>
              <w14:schemeClr w14:val="tx1"/>
            </w14:solidFill>
          </w14:textFill>
        </w:rPr>
        <w:t>2.评标委员会应当对电子交易平台提供的各项数据、分析结果进行审查、确认，核对电子交易平台按照招标文件设置的评标参数是否与招标文件（含招标文件的澄清、修改）规定的评标办法一致。如有不一致，应要求招标人修正评标参数，经评标委员会核实无误后方可评标。</w:t>
      </w:r>
    </w:p>
    <w:p w14:paraId="3935A14E">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448" w:name="_Toc19225"/>
      <w:bookmarkStart w:id="449" w:name="_Toc1398"/>
      <w:bookmarkStart w:id="450" w:name="_Toc3630"/>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5.资格审查及确定入围投标人</w:t>
      </w:r>
      <w:bookmarkEnd w:id="448"/>
      <w:bookmarkEnd w:id="449"/>
      <w:bookmarkEnd w:id="450"/>
    </w:p>
    <w:p w14:paraId="239CDE02">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资格审查</w:t>
      </w:r>
    </w:p>
    <w:p w14:paraId="1258F903">
      <w:pPr>
        <w:keepNext w:val="0"/>
        <w:keepLines w:val="0"/>
        <w:pageBreakBefore w:val="0"/>
        <w:widowControl w:val="0"/>
        <w:tabs>
          <w:tab w:val="left" w:pos="567"/>
        </w:tabs>
        <w:kinsoku/>
        <w:wordWrap/>
        <w:overflowPunct/>
        <w:topLinePunct w:val="0"/>
        <w:autoSpaceDE/>
        <w:autoSpaceDN/>
        <w:bidi w:val="0"/>
        <w:snapToGrid/>
        <w:spacing w:line="360" w:lineRule="auto"/>
        <w:ind w:firstLine="422" w:firstLineChars="201"/>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.1.1.评标委员会按照评标办法前附表第2项的规定对投标人进行资格审查，</w:t>
      </w:r>
      <w:r>
        <w:rPr>
          <w:rFonts w:hint="eastAsia" w:ascii="宋体" w:hAnsi="宋体" w:cs="宋体"/>
          <w:color w:val="000000" w:themeColor="text1"/>
          <w:sz w:val="21"/>
          <w:szCs w:val="21"/>
          <w:highlight w:val="none"/>
          <w14:textFill>
            <w14:solidFill>
              <w14:schemeClr w14:val="tx1"/>
            </w14:solidFill>
          </w14:textFill>
        </w:rPr>
        <w:t>有一项不符合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“资格审查标准”</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kern w:val="1"/>
          <w:sz w:val="21"/>
          <w:szCs w:val="21"/>
          <w:highlight w:val="none"/>
          <w14:textFill>
            <w14:solidFill>
              <w14:schemeClr w14:val="tx1"/>
            </w14:solidFill>
          </w14:textFill>
        </w:rPr>
        <w:t>资格审查不合格</w:t>
      </w:r>
      <w:r>
        <w:rPr>
          <w:rFonts w:hint="eastAsia" w:ascii="宋体" w:hAnsi="宋体" w:cs="宋体"/>
          <w:color w:val="000000" w:themeColor="text1"/>
          <w:kern w:val="1"/>
          <w:sz w:val="21"/>
          <w:szCs w:val="21"/>
          <w:highlight w:val="none"/>
          <w:lang w:eastAsia="zh-CN"/>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作</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否决投标</w:t>
      </w:r>
      <w:r>
        <w:rPr>
          <w:rFonts w:hint="eastAsia" w:ascii="宋体" w:hAnsi="宋体" w:cs="宋体"/>
          <w:color w:val="000000" w:themeColor="text1"/>
          <w:kern w:val="0"/>
          <w:sz w:val="21"/>
          <w:szCs w:val="21"/>
          <w:highlight w:val="none"/>
          <w:lang w:val="en-US" w:eastAsia="zh-CN"/>
          <w14:textFill>
            <w14:solidFill>
              <w14:schemeClr w14:val="tx1"/>
            </w14:solidFill>
          </w14:textFill>
        </w:rPr>
        <w:t>处理</w:t>
      </w:r>
      <w:r>
        <w:rPr>
          <w:rFonts w:hint="eastAsia" w:ascii="宋体" w:hAnsi="宋体" w:cs="宋体"/>
          <w:color w:val="000000" w:themeColor="text1"/>
          <w:kern w:val="1"/>
          <w:sz w:val="21"/>
          <w:szCs w:val="21"/>
          <w:highlight w:val="none"/>
          <w14:textFill>
            <w14:solidFill>
              <w14:schemeClr w14:val="tx1"/>
            </w14:solidFill>
          </w14:textFill>
        </w:rPr>
        <w:t>，不得进入确定入围投标人程序</w:t>
      </w:r>
      <w:r>
        <w:rPr>
          <w:rFonts w:hint="eastAsia" w:ascii="宋体" w:hAnsi="宋体" w:cs="宋体"/>
          <w:color w:val="000000" w:themeColor="text1"/>
          <w:sz w:val="21"/>
          <w:szCs w:val="21"/>
          <w:highlight w:val="none"/>
          <w14:textFill>
            <w14:solidFill>
              <w14:schemeClr w14:val="tx1"/>
            </w14:solidFill>
          </w14:textFill>
        </w:rPr>
        <w:t>。</w:t>
      </w:r>
    </w:p>
    <w:p w14:paraId="6F168CE4">
      <w:pPr>
        <w:keepNext w:val="0"/>
        <w:keepLines w:val="0"/>
        <w:pageBreakBefore w:val="0"/>
        <w:widowControl w:val="0"/>
        <w:tabs>
          <w:tab w:val="left" w:pos="567"/>
        </w:tabs>
        <w:kinsoku/>
        <w:wordWrap/>
        <w:overflowPunct/>
        <w:topLinePunct w:val="0"/>
        <w:autoSpaceDE/>
        <w:autoSpaceDN/>
        <w:bidi w:val="0"/>
        <w:snapToGrid/>
        <w:spacing w:line="360" w:lineRule="auto"/>
        <w:ind w:firstLine="422" w:firstLineChars="201"/>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5.1.2.</w:t>
      </w:r>
      <w:r>
        <w:rPr>
          <w:rFonts w:hint="eastAsia" w:ascii="宋体" w:hAnsi="宋体" w:cs="宋体"/>
          <w:color w:val="000000" w:themeColor="text1"/>
          <w:kern w:val="0"/>
          <w:sz w:val="21"/>
          <w:szCs w:val="21"/>
          <w:highlight w:val="none"/>
          <w:lang w:val="en-US" w:eastAsia="zh-CN"/>
          <w14:textFill>
            <w14:solidFill>
              <w14:schemeClr w14:val="tx1"/>
            </w14:solidFill>
          </w14:textFill>
        </w:rPr>
        <w:t>评标委员会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未按照招标文件规定的程序或审查办法进行评审且影响入围投标人结果的，应当按照招标文件规定的程序或审查办法进行纠正。</w:t>
      </w:r>
    </w:p>
    <w:p w14:paraId="619E8711">
      <w:pPr>
        <w:keepNext w:val="0"/>
        <w:keepLines w:val="0"/>
        <w:pageBreakBefore w:val="0"/>
        <w:widowControl w:val="0"/>
        <w:tabs>
          <w:tab w:val="left" w:pos="567"/>
        </w:tabs>
        <w:kinsoku/>
        <w:wordWrap/>
        <w:overflowPunct/>
        <w:topLinePunct w:val="0"/>
        <w:autoSpaceDE/>
        <w:autoSpaceDN/>
        <w:bidi w:val="0"/>
        <w:snapToGrid/>
        <w:spacing w:line="360" w:lineRule="auto"/>
        <w:ind w:firstLine="422" w:firstLineChars="201"/>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5.1.3.</w:t>
      </w:r>
      <w:r>
        <w:rPr>
          <w:rFonts w:hint="eastAsia" w:ascii="宋体" w:hAnsi="宋体" w:cs="宋体"/>
          <w:color w:val="000000" w:themeColor="text1"/>
          <w:sz w:val="21"/>
          <w:szCs w:val="21"/>
          <w:highlight w:val="none"/>
          <w14:textFill>
            <w14:solidFill>
              <w14:schemeClr w14:val="tx1"/>
            </w14:solidFill>
          </w14:textFill>
        </w:rPr>
        <w:t>资格审查合格的投标人数量少于3家的，招标人应当重新招标。</w:t>
      </w:r>
    </w:p>
    <w:p w14:paraId="29253DB7">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5.2.资格</w:t>
      </w:r>
      <w:r>
        <w:rPr>
          <w:rFonts w:hint="eastAsia" w:ascii="宋体" w:hAnsi="宋体" w:eastAsia="宋体" w:cs="宋体"/>
          <w:color w:val="000000" w:themeColor="text1"/>
          <w:kern w:val="0"/>
          <w:sz w:val="21"/>
          <w:szCs w:val="21"/>
          <w:highlight w:val="none"/>
          <w14:textFill>
            <w14:solidFill>
              <w14:schemeClr w14:val="tx1"/>
            </w14:solidFill>
          </w14:textFill>
        </w:rPr>
        <w:t>文件的澄清、说明和补正</w:t>
      </w:r>
    </w:p>
    <w:p w14:paraId="1B3A6850">
      <w:pPr>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5.2.1.</w:t>
      </w:r>
      <w:r>
        <w:rPr>
          <w:rFonts w:hint="eastAsia" w:ascii="宋体" w:hAnsi="宋体" w:cs="宋体"/>
          <w:color w:val="000000" w:themeColor="text1"/>
          <w:kern w:val="1"/>
          <w:sz w:val="21"/>
          <w:szCs w:val="21"/>
          <w:highlight w:val="none"/>
          <w14:textFill>
            <w14:solidFill>
              <w14:schemeClr w14:val="tx1"/>
            </w14:solidFill>
          </w14:textFill>
        </w:rPr>
        <w:t>在</w:t>
      </w:r>
      <w:r>
        <w:rPr>
          <w:rFonts w:hint="eastAsia" w:ascii="宋体" w:hAnsi="宋体" w:cs="宋体"/>
          <w:color w:val="000000" w:themeColor="text1"/>
          <w:kern w:val="1"/>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1"/>
          <w:sz w:val="21"/>
          <w:szCs w:val="21"/>
          <w:highlight w:val="none"/>
          <w14:textFill>
            <w14:solidFill>
              <w14:schemeClr w14:val="tx1"/>
            </w14:solidFill>
          </w14:textFill>
        </w:rPr>
        <w:t>过程中，评标委员会可以通过电子交易平台要求投标人对所提交的</w:t>
      </w:r>
      <w:r>
        <w:rPr>
          <w:rFonts w:hint="eastAsia" w:ascii="宋体" w:hAnsi="宋体" w:cs="宋体"/>
          <w:color w:val="000000" w:themeColor="text1"/>
          <w:kern w:val="1"/>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1"/>
          <w:sz w:val="21"/>
          <w:szCs w:val="21"/>
          <w:highlight w:val="none"/>
          <w14:textFill>
            <w14:solidFill>
              <w14:schemeClr w14:val="tx1"/>
            </w14:solidFill>
          </w14:textFill>
        </w:rPr>
        <w:t>文件中不明确的内容进行书面澄清或说明，或者对细微偏差进行补正。</w:t>
      </w:r>
      <w:r>
        <w:rPr>
          <w:rFonts w:hint="eastAsia" w:ascii="宋体" w:hAnsi="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kern w:val="1"/>
          <w:sz w:val="21"/>
          <w:szCs w:val="21"/>
          <w:highlight w:val="none"/>
          <w14:textFill>
            <w14:solidFill>
              <w14:schemeClr w14:val="tx1"/>
            </w14:solidFill>
          </w14:textFill>
        </w:rPr>
        <w:t>通过电子交易平台</w:t>
      </w:r>
      <w:r>
        <w:rPr>
          <w:rFonts w:hint="eastAsia" w:ascii="宋体" w:hAnsi="宋体" w:cs="宋体"/>
          <w:color w:val="000000" w:themeColor="text1"/>
          <w:sz w:val="21"/>
          <w:szCs w:val="21"/>
          <w:highlight w:val="none"/>
          <w14:textFill>
            <w14:solidFill>
              <w14:schemeClr w14:val="tx1"/>
            </w14:solidFill>
          </w14:textFill>
        </w:rPr>
        <w:t>回复澄清、说明、补正，时限要求详见评标办法前附表第</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kern w:val="1"/>
          <w:sz w:val="21"/>
          <w:szCs w:val="21"/>
          <w:highlight w:val="none"/>
          <w14:textFill>
            <w14:solidFill>
              <w14:schemeClr w14:val="tx1"/>
            </w14:solidFill>
          </w14:textFill>
        </w:rPr>
        <w:t>评标委员会不接受投标人主动提出的澄清、说明或补正。</w:t>
      </w:r>
      <w:r>
        <w:rPr>
          <w:rFonts w:hint="eastAsia" w:ascii="宋体" w:hAnsi="宋体" w:eastAsia="宋体" w:cs="宋体"/>
          <w:color w:val="000000" w:themeColor="text1"/>
          <w:kern w:val="0"/>
          <w:sz w:val="21"/>
          <w:szCs w:val="21"/>
          <w:highlight w:val="none"/>
          <w14:textFill>
            <w14:solidFill>
              <w14:schemeClr w14:val="tx1"/>
            </w14:solidFill>
          </w14:textFill>
        </w:rPr>
        <w:t>澄清、说明和补正</w:t>
      </w:r>
      <w:r>
        <w:rPr>
          <w:rFonts w:hint="eastAsia" w:ascii="宋体" w:hAnsi="宋体" w:cs="宋体"/>
          <w:color w:val="000000" w:themeColor="text1"/>
          <w:kern w:val="1"/>
          <w:sz w:val="21"/>
          <w:szCs w:val="21"/>
          <w:highlight w:val="none"/>
          <w14:textFill>
            <w14:solidFill>
              <w14:schemeClr w14:val="tx1"/>
            </w14:solidFill>
          </w14:textFill>
        </w:rPr>
        <w:t>格式见附件3-</w:t>
      </w:r>
      <w:r>
        <w:rPr>
          <w:rFonts w:hint="eastAsia" w:ascii="宋体" w:hAnsi="宋体" w:cs="宋体"/>
          <w:color w:val="000000" w:themeColor="text1"/>
          <w:kern w:val="1"/>
          <w:sz w:val="21"/>
          <w:szCs w:val="21"/>
          <w:highlight w:val="none"/>
          <w:lang w:eastAsia="zh-CN"/>
          <w14:textFill>
            <w14:solidFill>
              <w14:schemeClr w14:val="tx1"/>
            </w14:solidFill>
          </w14:textFill>
        </w:rPr>
        <w:t>2</w:t>
      </w:r>
      <w:r>
        <w:rPr>
          <w:rFonts w:hint="eastAsia" w:ascii="宋体" w:hAnsi="宋体" w:cs="宋体"/>
          <w:color w:val="000000" w:themeColor="text1"/>
          <w:kern w:val="1"/>
          <w:sz w:val="21"/>
          <w:szCs w:val="21"/>
          <w:highlight w:val="none"/>
          <w14:textFill>
            <w14:solidFill>
              <w14:schemeClr w14:val="tx1"/>
            </w14:solidFill>
          </w14:textFill>
        </w:rPr>
        <w:t>、3-</w:t>
      </w:r>
      <w:r>
        <w:rPr>
          <w:rFonts w:hint="eastAsia" w:ascii="宋体" w:hAnsi="宋体" w:cs="宋体"/>
          <w:color w:val="000000" w:themeColor="text1"/>
          <w:kern w:val="1"/>
          <w:sz w:val="21"/>
          <w:szCs w:val="21"/>
          <w:highlight w:val="none"/>
          <w:lang w:eastAsia="zh-CN"/>
          <w14:textFill>
            <w14:solidFill>
              <w14:schemeClr w14:val="tx1"/>
            </w14:solidFill>
          </w14:textFill>
        </w:rPr>
        <w:t>3</w:t>
      </w:r>
      <w:r>
        <w:rPr>
          <w:rFonts w:hint="eastAsia" w:ascii="宋体" w:hAnsi="宋体" w:cs="宋体"/>
          <w:color w:val="000000" w:themeColor="text1"/>
          <w:kern w:val="1"/>
          <w:sz w:val="21"/>
          <w:szCs w:val="21"/>
          <w:highlight w:val="none"/>
          <w14:textFill>
            <w14:solidFill>
              <w14:schemeClr w14:val="tx1"/>
            </w14:solidFill>
          </w14:textFill>
        </w:rPr>
        <w:t>。</w:t>
      </w:r>
    </w:p>
    <w:p w14:paraId="10F4BF01">
      <w:pPr>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5.2.2.</w:t>
      </w:r>
      <w:r>
        <w:rPr>
          <w:rFonts w:hint="eastAsia" w:ascii="宋体" w:hAnsi="宋体" w:cs="宋体"/>
          <w:color w:val="000000" w:themeColor="text1"/>
          <w:kern w:val="1"/>
          <w:sz w:val="21"/>
          <w:szCs w:val="21"/>
          <w:highlight w:val="none"/>
          <w14:textFill>
            <w14:solidFill>
              <w14:schemeClr w14:val="tx1"/>
            </w14:solidFill>
          </w14:textFill>
        </w:rPr>
        <w:t>澄清、说明和补正不得改变投标文件的实质性内容。投标人的书面澄清、说明和补正属于</w:t>
      </w:r>
      <w:r>
        <w:rPr>
          <w:rFonts w:hint="eastAsia" w:ascii="宋体" w:hAnsi="宋体" w:cs="宋体"/>
          <w:color w:val="000000" w:themeColor="text1"/>
          <w:kern w:val="1"/>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1"/>
          <w:sz w:val="21"/>
          <w:szCs w:val="21"/>
          <w:highlight w:val="none"/>
          <w14:textFill>
            <w14:solidFill>
              <w14:schemeClr w14:val="tx1"/>
            </w14:solidFill>
          </w14:textFill>
        </w:rPr>
        <w:t>文件的组成部分。</w:t>
      </w:r>
    </w:p>
    <w:p w14:paraId="2DE60E43">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5.2.3.</w:t>
      </w:r>
      <w:r>
        <w:rPr>
          <w:rFonts w:hint="eastAsia" w:ascii="宋体" w:hAnsi="宋体" w:cs="宋体"/>
          <w:color w:val="000000" w:themeColor="text1"/>
          <w:kern w:val="1"/>
          <w:sz w:val="2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14:paraId="0E1D7582">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5.2.4.投标人</w:t>
      </w:r>
      <w:r>
        <w:rPr>
          <w:rFonts w:hint="eastAsia" w:ascii="宋体" w:hAnsi="宋体" w:cs="宋体"/>
          <w:color w:val="000000" w:themeColor="text1"/>
          <w:kern w:val="1"/>
          <w:sz w:val="21"/>
          <w:szCs w:val="21"/>
          <w:highlight w:val="none"/>
          <w14:textFill>
            <w14:solidFill>
              <w14:schemeClr w14:val="tx1"/>
            </w14:solidFill>
          </w14:textFill>
        </w:rPr>
        <w:t>不按评标委员会要求</w:t>
      </w:r>
      <w:r>
        <w:rPr>
          <w:rFonts w:hint="eastAsia" w:ascii="宋体" w:hAnsi="宋体" w:cs="宋体"/>
          <w:color w:val="000000" w:themeColor="text1"/>
          <w:kern w:val="1"/>
          <w:sz w:val="21"/>
          <w:szCs w:val="21"/>
          <w:highlight w:val="none"/>
          <w:lang w:val="en-US" w:eastAsia="zh-CN"/>
          <w14:textFill>
            <w14:solidFill>
              <w14:schemeClr w14:val="tx1"/>
            </w14:solidFill>
          </w14:textFill>
        </w:rPr>
        <w:t>对资格文件</w:t>
      </w:r>
      <w:r>
        <w:rPr>
          <w:rFonts w:hint="eastAsia" w:ascii="宋体" w:hAnsi="宋体" w:cs="宋体"/>
          <w:color w:val="000000" w:themeColor="text1"/>
          <w:kern w:val="1"/>
          <w:sz w:val="21"/>
          <w:szCs w:val="21"/>
          <w:highlight w:val="none"/>
          <w14:textFill>
            <w14:solidFill>
              <w14:schemeClr w14:val="tx1"/>
            </w14:solidFill>
          </w14:textFill>
        </w:rPr>
        <w:t>澄清、说明或</w:t>
      </w:r>
      <w:r>
        <w:rPr>
          <w:rFonts w:hint="eastAsia" w:ascii="宋体" w:hAnsi="宋体" w:cs="宋体"/>
          <w:color w:val="000000" w:themeColor="text1"/>
          <w:kern w:val="1"/>
          <w:sz w:val="21"/>
          <w:szCs w:val="21"/>
          <w:highlight w:val="none"/>
          <w:lang w:val="en-US" w:eastAsia="zh-CN"/>
          <w14:textFill>
            <w14:solidFill>
              <w14:schemeClr w14:val="tx1"/>
            </w14:solidFill>
          </w14:textFill>
        </w:rPr>
        <w:t>补正的，</w:t>
      </w:r>
      <w:r>
        <w:rPr>
          <w:rFonts w:hint="default" w:ascii="宋体" w:hAnsi="宋体" w:cs="宋体"/>
          <w:color w:val="000000" w:themeColor="text1"/>
          <w:kern w:val="1"/>
          <w:sz w:val="21"/>
          <w:szCs w:val="21"/>
          <w:highlight w:val="none"/>
          <w:lang w:val="en-US" w:eastAsia="zh-CN"/>
          <w14:textFill>
            <w14:solidFill>
              <w14:schemeClr w14:val="tx1"/>
            </w14:solidFill>
          </w14:textFill>
        </w:rPr>
        <w:t>或无法作出合理说明</w:t>
      </w:r>
      <w:r>
        <w:rPr>
          <w:rFonts w:hint="eastAsia" w:ascii="宋体" w:hAnsi="宋体" w:cs="宋体"/>
          <w:color w:val="000000" w:themeColor="text1"/>
          <w:kern w:val="1"/>
          <w:sz w:val="21"/>
          <w:szCs w:val="21"/>
          <w:highlight w:val="none"/>
          <w:lang w:val="en-US" w:eastAsia="zh-CN"/>
          <w14:textFill>
            <w14:solidFill>
              <w14:schemeClr w14:val="tx1"/>
            </w14:solidFill>
          </w14:textFill>
        </w:rPr>
        <w:t>的，评标委员会应当作出资格审查不合格的审查</w:t>
      </w:r>
      <w:r>
        <w:rPr>
          <w:rFonts w:hint="eastAsia" w:ascii="宋体" w:hAnsi="宋体" w:cs="宋体"/>
          <w:color w:val="000000" w:themeColor="text1"/>
          <w:sz w:val="21"/>
          <w:szCs w:val="21"/>
          <w:highlight w:val="none"/>
          <w:lang w:val="en-US" w:eastAsia="zh-CN"/>
          <w14:textFill>
            <w14:solidFill>
              <w14:schemeClr w14:val="tx1"/>
            </w14:solidFill>
          </w14:textFill>
        </w:rPr>
        <w:t>结论</w:t>
      </w:r>
      <w:r>
        <w:rPr>
          <w:rFonts w:hint="eastAsia" w:ascii="宋体" w:hAnsi="宋体" w:cs="宋体"/>
          <w:color w:val="000000" w:themeColor="text1"/>
          <w:sz w:val="21"/>
          <w:szCs w:val="21"/>
          <w:highlight w:val="none"/>
          <w:lang w:eastAsia="zh-CN"/>
          <w14:textFill>
            <w14:solidFill>
              <w14:schemeClr w14:val="tx1"/>
            </w14:solidFill>
          </w14:textFill>
        </w:rPr>
        <w:t>。</w:t>
      </w:r>
    </w:p>
    <w:p w14:paraId="00187167">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5.3.</w:t>
      </w:r>
      <w:r>
        <w:rPr>
          <w:rFonts w:hint="eastAsia" w:ascii="宋体" w:hAnsi="宋体" w:cs="宋体"/>
          <w:color w:val="000000" w:themeColor="text1"/>
          <w:sz w:val="21"/>
          <w:szCs w:val="21"/>
          <w:highlight w:val="none"/>
          <w14:textFill>
            <w14:solidFill>
              <w14:schemeClr w14:val="tx1"/>
            </w14:solidFill>
          </w14:textFill>
        </w:rPr>
        <w:t>确定入围投标人</w:t>
      </w:r>
    </w:p>
    <w:p w14:paraId="5FDEC6F6">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本招标项目采用合格制方式确定入围投标人。评标委员会对投标人是否满足招标文件的资格条件要求进行审查，满足资格条件要求的投标人均</w:t>
      </w:r>
      <w:r>
        <w:rPr>
          <w:rFonts w:hint="eastAsia" w:ascii="宋体" w:hAnsi="宋体" w:cs="宋体"/>
          <w:color w:val="000000" w:themeColor="text1"/>
          <w:kern w:val="0"/>
          <w:sz w:val="21"/>
          <w:szCs w:val="21"/>
          <w:highlight w:val="none"/>
          <w:lang w:val="en-US" w:eastAsia="zh-CN"/>
          <w14:textFill>
            <w14:solidFill>
              <w14:schemeClr w14:val="tx1"/>
            </w14:solidFill>
          </w14:textFill>
        </w:rPr>
        <w:t>确定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为入围投标人。</w:t>
      </w:r>
    </w:p>
    <w:p w14:paraId="2078FA61">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51" w:name="_Toc8541"/>
      <w:bookmarkStart w:id="452" w:name="_Toc2696"/>
      <w:bookmarkStart w:id="453" w:name="_Toc6463"/>
      <w:r>
        <w:rPr>
          <w:rFonts w:hint="eastAsia" w:ascii="黑体" w:hAnsi="黑体" w:eastAsia="黑体"/>
          <w:b w:val="0"/>
          <w:color w:val="000000" w:themeColor="text1"/>
          <w:sz w:val="28"/>
          <w:szCs w:val="28"/>
          <w:highlight w:val="none"/>
          <w:lang w:val="en-US" w:eastAsia="zh-CN"/>
          <w14:textFill>
            <w14:solidFill>
              <w14:schemeClr w14:val="tx1"/>
            </w14:solidFill>
          </w14:textFill>
        </w:rPr>
        <w:t>6</w:t>
      </w:r>
      <w:r>
        <w:rPr>
          <w:rFonts w:hint="eastAsia"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lang w:val="en-US" w:eastAsia="zh-CN"/>
          <w14:textFill>
            <w14:solidFill>
              <w14:schemeClr w14:val="tx1"/>
            </w14:solidFill>
          </w14:textFill>
        </w:rPr>
        <w:t>定性评审</w:t>
      </w:r>
      <w:bookmarkEnd w:id="451"/>
      <w:bookmarkEnd w:id="452"/>
      <w:bookmarkEnd w:id="453"/>
    </w:p>
    <w:p w14:paraId="7615ADEF">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6.1</w:t>
      </w:r>
      <w:r>
        <w:rPr>
          <w:rFonts w:hint="eastAsia" w:ascii="宋体" w:hAnsi="宋体" w:cs="宋体"/>
          <w:b w:val="0"/>
          <w:color w:val="000000" w:themeColor="text1"/>
          <w:sz w:val="21"/>
          <w:szCs w:val="21"/>
          <w:highlight w:val="none"/>
          <w:lang w:val="en-US"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符合性和响应性评审</w:t>
      </w:r>
    </w:p>
    <w:p w14:paraId="4D2F7AA9">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评标委员会按照评标办法前附表第</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项的规定对入围投标人的投标文件进行符合性检查和响应性评审，只有全部通过符合性检查和响应性评审的投标人，才能进入详细评审，否则应否决其投标。</w:t>
      </w:r>
    </w:p>
    <w:p w14:paraId="3968E3C1">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详细评审</w:t>
      </w:r>
    </w:p>
    <w:p w14:paraId="5545CE49">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6.2.1.</w:t>
      </w:r>
      <w:r>
        <w:rPr>
          <w:rFonts w:hint="eastAsia" w:ascii="宋体" w:hAnsi="宋体" w:cs="宋体"/>
          <w:color w:val="000000" w:themeColor="text1"/>
          <w:sz w:val="21"/>
          <w:szCs w:val="21"/>
          <w:highlight w:val="none"/>
          <w14:textFill>
            <w14:solidFill>
              <w14:schemeClr w14:val="tx1"/>
            </w14:solidFill>
          </w14:textFill>
        </w:rPr>
        <w:t>招标项目为房屋建筑工程项目的，评标委员会</w:t>
      </w:r>
      <w:r>
        <w:rPr>
          <w:rFonts w:hint="eastAsia" w:ascii="宋体" w:hAnsi="宋体" w:cs="宋体"/>
          <w:color w:val="000000" w:themeColor="text1"/>
          <w:sz w:val="21"/>
          <w:szCs w:val="21"/>
          <w:highlight w:val="none"/>
          <w:lang w:val="en-US" w:eastAsia="zh-CN"/>
          <w14:textFill>
            <w14:solidFill>
              <w14:schemeClr w14:val="tx1"/>
            </w14:solidFill>
          </w14:textFill>
        </w:rPr>
        <w:t>成员</w:t>
      </w:r>
      <w:r>
        <w:rPr>
          <w:rFonts w:hint="eastAsia" w:ascii="宋体" w:hAnsi="宋体" w:cs="宋体"/>
          <w:color w:val="000000" w:themeColor="text1"/>
          <w:sz w:val="21"/>
          <w:szCs w:val="21"/>
          <w:highlight w:val="none"/>
          <w14:textFill>
            <w14:solidFill>
              <w14:schemeClr w14:val="tx1"/>
            </w14:solidFill>
          </w14:textFill>
        </w:rPr>
        <w:t>从设计方案构思、功能布局、造型风貌、交通流线、技术可行性、经济适宜性、BIM技术应用（如有）、勘察纲要（如有时）等方面对技术文件进行综合评议和比较</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阐述推荐定标候选方案理由</w:t>
      </w:r>
      <w:r>
        <w:rPr>
          <w:rFonts w:hint="eastAsia" w:ascii="宋体" w:hAnsi="宋体" w:cs="宋体"/>
          <w:color w:val="000000" w:themeColor="text1"/>
          <w:sz w:val="21"/>
          <w:szCs w:val="21"/>
          <w:highlight w:val="none"/>
          <w:lang w:val="en-US" w:eastAsia="zh-CN"/>
          <w14:textFill>
            <w14:solidFill>
              <w14:schemeClr w14:val="tx1"/>
            </w14:solidFill>
          </w14:textFill>
        </w:rPr>
        <w:t>且推荐理由</w:t>
      </w:r>
      <w:r>
        <w:rPr>
          <w:rFonts w:hint="eastAsia" w:ascii="宋体" w:hAnsi="宋体" w:eastAsia="宋体" w:cs="宋体"/>
          <w:color w:val="000000" w:themeColor="text1"/>
          <w:sz w:val="21"/>
          <w:szCs w:val="21"/>
          <w:highlight w:val="none"/>
          <w:lang w:eastAsia="zh-CN"/>
          <w14:textFill>
            <w14:solidFill>
              <w14:schemeClr w14:val="tx1"/>
            </w14:solidFill>
          </w14:textFill>
        </w:rPr>
        <w:t>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50个字</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参考</w:t>
      </w:r>
      <w:r>
        <w:rPr>
          <w:rFonts w:hint="eastAsia" w:cs="宋体"/>
          <w:color w:val="000000" w:themeColor="text1"/>
          <w:sz w:val="21"/>
          <w:szCs w:val="21"/>
          <w:highlight w:val="none"/>
          <w14:textFill>
            <w14:solidFill>
              <w14:schemeClr w14:val="tx1"/>
            </w14:solidFill>
          </w14:textFill>
        </w:rPr>
        <w:t>意见</w:t>
      </w:r>
      <w:r>
        <w:rPr>
          <w:rFonts w:hint="eastAsia" w:ascii="宋体" w:hAnsi="宋体" w:cs="宋体"/>
          <w:color w:val="000000" w:themeColor="text1"/>
          <w:sz w:val="21"/>
          <w:szCs w:val="21"/>
          <w:highlight w:val="none"/>
          <w14:textFill>
            <w14:solidFill>
              <w14:schemeClr w14:val="tx1"/>
            </w14:solidFill>
          </w14:textFill>
        </w:rPr>
        <w:t>。</w:t>
      </w:r>
    </w:p>
    <w:p w14:paraId="55A5C46E">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6.2.2.</w:t>
      </w:r>
      <w:r>
        <w:rPr>
          <w:rFonts w:hint="eastAsia" w:ascii="宋体" w:hAnsi="宋体" w:cs="宋体"/>
          <w:color w:val="000000" w:themeColor="text1"/>
          <w:sz w:val="21"/>
          <w:szCs w:val="21"/>
          <w:highlight w:val="none"/>
          <w14:textFill>
            <w14:solidFill>
              <w14:schemeClr w14:val="tx1"/>
            </w14:solidFill>
          </w14:textFill>
        </w:rPr>
        <w:t>招标项目为市政基础设施工程项目的，评标委员会</w:t>
      </w:r>
      <w:r>
        <w:rPr>
          <w:rFonts w:hint="eastAsia" w:ascii="宋体" w:hAnsi="宋体" w:cs="宋体"/>
          <w:color w:val="000000" w:themeColor="text1"/>
          <w:sz w:val="21"/>
          <w:szCs w:val="21"/>
          <w:highlight w:val="none"/>
          <w:lang w:val="en-US" w:eastAsia="zh-CN"/>
          <w14:textFill>
            <w14:solidFill>
              <w14:schemeClr w14:val="tx1"/>
            </w14:solidFill>
          </w14:textFill>
        </w:rPr>
        <w:t>成员</w:t>
      </w:r>
      <w:r>
        <w:rPr>
          <w:rFonts w:hint="eastAsia" w:ascii="宋体" w:hAnsi="宋体" w:cs="宋体"/>
          <w:color w:val="000000" w:themeColor="text1"/>
          <w:sz w:val="21"/>
          <w:szCs w:val="21"/>
          <w:highlight w:val="none"/>
          <w14:textFill>
            <w14:solidFill>
              <w14:schemeClr w14:val="tx1"/>
            </w14:solidFill>
          </w14:textFill>
        </w:rPr>
        <w:t>从设计方案、工程投资控制、设计质量保证措施、设计进度安排和特殊施工方案或技术、BIM技术应用（如有）、勘察纲要（如有时）等方面对技术文件进行综合评议和比较</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阐述推荐定标候选方案理由</w:t>
      </w:r>
      <w:r>
        <w:rPr>
          <w:rFonts w:hint="eastAsia" w:ascii="宋体" w:hAnsi="宋体" w:cs="宋体"/>
          <w:color w:val="000000" w:themeColor="text1"/>
          <w:sz w:val="21"/>
          <w:szCs w:val="21"/>
          <w:highlight w:val="none"/>
          <w:lang w:val="en-US" w:eastAsia="zh-CN"/>
          <w14:textFill>
            <w14:solidFill>
              <w14:schemeClr w14:val="tx1"/>
            </w14:solidFill>
          </w14:textFill>
        </w:rPr>
        <w:t>且推荐理由</w:t>
      </w:r>
      <w:r>
        <w:rPr>
          <w:rFonts w:hint="eastAsia" w:ascii="宋体" w:hAnsi="宋体" w:eastAsia="宋体" w:cs="宋体"/>
          <w:color w:val="000000" w:themeColor="text1"/>
          <w:sz w:val="21"/>
          <w:szCs w:val="21"/>
          <w:highlight w:val="none"/>
          <w:lang w:eastAsia="zh-CN"/>
          <w14:textFill>
            <w14:solidFill>
              <w14:schemeClr w14:val="tx1"/>
            </w14:solidFill>
          </w14:textFill>
        </w:rPr>
        <w:t>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50个字</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参考</w:t>
      </w:r>
      <w:r>
        <w:rPr>
          <w:rFonts w:hint="eastAsia" w:cs="宋体"/>
          <w:color w:val="000000" w:themeColor="text1"/>
          <w:sz w:val="21"/>
          <w:szCs w:val="21"/>
          <w:highlight w:val="none"/>
          <w14:textFill>
            <w14:solidFill>
              <w14:schemeClr w14:val="tx1"/>
            </w14:solidFill>
          </w14:textFill>
        </w:rPr>
        <w:t>意见</w:t>
      </w:r>
      <w:r>
        <w:rPr>
          <w:rFonts w:hint="eastAsia" w:ascii="宋体" w:hAnsi="宋体" w:cs="宋体"/>
          <w:color w:val="000000" w:themeColor="text1"/>
          <w:sz w:val="21"/>
          <w:szCs w:val="21"/>
          <w:highlight w:val="none"/>
          <w14:textFill>
            <w14:solidFill>
              <w14:schemeClr w14:val="tx1"/>
            </w14:solidFill>
          </w14:textFill>
        </w:rPr>
        <w:t>。</w:t>
      </w:r>
    </w:p>
    <w:p w14:paraId="3D5E007C">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6.2.3.</w:t>
      </w:r>
      <w:r>
        <w:rPr>
          <w:rFonts w:hint="eastAsia" w:ascii="宋体" w:hAnsi="宋体" w:cs="宋体"/>
          <w:color w:val="000000" w:themeColor="text1"/>
          <w:sz w:val="21"/>
          <w:szCs w:val="21"/>
          <w:highlight w:val="none"/>
          <w14:textFill>
            <w14:solidFill>
              <w14:schemeClr w14:val="tx1"/>
            </w14:solidFill>
          </w14:textFill>
        </w:rPr>
        <w:t>评标委员会在认真研究投标文件、充分比较的基础上，采用记名方式进行投票，投票应符合以下规定：</w:t>
      </w:r>
    </w:p>
    <w:p w14:paraId="29EE1752">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（1）每一轮投票，评标委员会成员每人一票，每一选票所选的方案，不得多于规定应选方案总数，方案编号不得重复，等于或者少于规定应选方案总数的有效，投票方法及格式见附件</w:t>
      </w:r>
      <w:r>
        <w:rPr>
          <w:rFonts w:hint="eastAsia" w:ascii="宋体" w:hAnsi="宋体" w:cs="宋体"/>
          <w:color w:val="000000" w:themeColor="text1"/>
          <w:sz w:val="21"/>
          <w:szCs w:val="21"/>
          <w:highlight w:val="none"/>
          <w:lang w:val="en-US" w:eastAsia="zh-CN"/>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w:t>
      </w:r>
    </w:p>
    <w:p w14:paraId="37E806C4">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每一轮投票，以得票多的方案当选为下一轮投票的候选方案，本轮应选总数即下一轮候选总数。当遇票数相等不能确定入围候选方案时，评标委员会应当就票数相等的候选方案进行附加投票，得票多的候选方案当选为下一轮投票的候选方案。</w:t>
      </w:r>
    </w:p>
    <w:p w14:paraId="141AF5B9">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最后一轮评标委员会按照得票数由多到少排序（该排序不作为定标依据），依序推荐5家定标候选人。当排序在第5家的定标候选人得票数出现2家或以上相等时，则以上一轮得票数多的候选方案推荐为定标候选人，得票多的候选方案推荐为定标候选人。</w:t>
      </w:r>
    </w:p>
    <w:p w14:paraId="4DF47577">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（4）每一轮投票结束后，评标系统对投票人数、票数和每票应选方案总数进行自动统计和汇总，得出投票结果，</w:t>
      </w:r>
      <w:r>
        <w:rPr>
          <w:rFonts w:hint="eastAsia" w:ascii="宋体" w:hAnsi="宋体" w:cs="宋体"/>
          <w:color w:val="000000" w:themeColor="text1"/>
          <w:sz w:val="21"/>
          <w:szCs w:val="21"/>
          <w:highlight w:val="none"/>
          <w:lang w:eastAsia="zh-CN"/>
          <w14:textFill>
            <w14:solidFill>
              <w14:schemeClr w14:val="tx1"/>
            </w14:solidFill>
          </w14:textFill>
        </w:rPr>
        <w:t>评标委员会负责人</w:t>
      </w:r>
      <w:r>
        <w:rPr>
          <w:rFonts w:hint="eastAsia" w:ascii="宋体" w:hAnsi="宋体" w:cs="宋体"/>
          <w:color w:val="000000" w:themeColor="text1"/>
          <w:sz w:val="21"/>
          <w:szCs w:val="21"/>
          <w:highlight w:val="none"/>
          <w14:textFill>
            <w14:solidFill>
              <w14:schemeClr w14:val="tx1"/>
            </w14:solidFill>
          </w14:textFill>
        </w:rPr>
        <w:t>负责整理、汇总</w:t>
      </w:r>
      <w:r>
        <w:rPr>
          <w:rFonts w:hint="eastAsia" w:ascii="宋体" w:hAnsi="宋体"/>
          <w:color w:val="000000" w:themeColor="text1"/>
          <w:sz w:val="21"/>
          <w:szCs w:val="21"/>
          <w:highlight w:val="none"/>
          <w:lang w:eastAsia="zh-CN"/>
          <w14:textFill>
            <w14:solidFill>
              <w14:schemeClr w14:val="tx1"/>
            </w14:solidFill>
          </w14:textFill>
        </w:rPr>
        <w:t>推荐理由</w:t>
      </w:r>
      <w:r>
        <w:rPr>
          <w:rFonts w:hint="eastAsia" w:ascii="宋体" w:hAnsi="宋体" w:cs="宋体"/>
          <w:color w:val="000000" w:themeColor="text1"/>
          <w:sz w:val="21"/>
          <w:szCs w:val="21"/>
          <w:highlight w:val="none"/>
          <w14:textFill>
            <w14:solidFill>
              <w14:schemeClr w14:val="tx1"/>
            </w14:solidFill>
          </w14:textFill>
        </w:rPr>
        <w:t>。</w:t>
      </w:r>
    </w:p>
    <w:p w14:paraId="717E8A57">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推荐理由</w:t>
      </w:r>
      <w:r>
        <w:rPr>
          <w:rFonts w:hint="eastAsia" w:ascii="宋体" w:hAnsi="宋体" w:cs="宋体"/>
          <w:color w:val="000000" w:themeColor="text1"/>
          <w:sz w:val="21"/>
          <w:szCs w:val="21"/>
          <w:highlight w:val="none"/>
          <w14:textFill>
            <w14:solidFill>
              <w14:schemeClr w14:val="tx1"/>
            </w14:solidFill>
          </w14:textFill>
        </w:rPr>
        <w:t>汇总提交后电子评标系统自动解密对应各编号的投标人</w:t>
      </w:r>
      <w:r>
        <w:rPr>
          <w:rFonts w:hint="eastAsia" w:ascii="宋体" w:hAnsi="宋体" w:cs="宋体"/>
          <w:color w:val="000000" w:themeColor="text1"/>
          <w:sz w:val="21"/>
          <w:szCs w:val="21"/>
          <w:highlight w:val="none"/>
          <w:lang w:eastAsia="zh-CN"/>
          <w14:textFill>
            <w14:solidFill>
              <w14:schemeClr w14:val="tx1"/>
            </w14:solidFill>
          </w14:textFill>
        </w:rPr>
        <w:t>，评标委员会负责人</w:t>
      </w:r>
      <w:r>
        <w:rPr>
          <w:rFonts w:hint="eastAsia" w:ascii="宋体" w:hAnsi="宋体" w:cs="宋体"/>
          <w:color w:val="000000" w:themeColor="text1"/>
          <w:sz w:val="21"/>
          <w:szCs w:val="21"/>
          <w:highlight w:val="none"/>
          <w14:textFill>
            <w14:solidFill>
              <w14:schemeClr w14:val="tx1"/>
            </w14:solidFill>
          </w14:textFill>
        </w:rPr>
        <w:t>向评标委员会报告推荐定标候选人结果</w:t>
      </w:r>
      <w:r>
        <w:rPr>
          <w:rFonts w:hint="eastAsia" w:ascii="宋体" w:hAnsi="宋体" w:cs="宋体"/>
          <w:color w:val="000000" w:themeColor="text1"/>
          <w:sz w:val="21"/>
          <w:szCs w:val="21"/>
          <w:highlight w:val="none"/>
          <w:lang w:eastAsia="zh-CN"/>
          <w14:textFill>
            <w14:solidFill>
              <w14:schemeClr w14:val="tx1"/>
            </w14:solidFill>
          </w14:textFill>
        </w:rPr>
        <w:t>。</w:t>
      </w:r>
    </w:p>
    <w:p w14:paraId="61D53892">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）评标委员会成员应当独立投票，自投票开始至最终统计结果公布期间，任何人不得非法干预、影响投票过程，不得透露、协商、改变投票结果。</w:t>
      </w:r>
    </w:p>
    <w:p w14:paraId="768691A6">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eastAsia="宋体" w:cs="Times New Roman"/>
          <w:color w:val="000000" w:themeColor="text1"/>
          <w:sz w:val="21"/>
          <w:szCs w:val="21"/>
          <w:highlight w:val="none"/>
          <w14:textFill>
            <w14:solidFill>
              <w14:schemeClr w14:val="tx1"/>
            </w14:solidFill>
          </w14:textFill>
        </w:rPr>
        <w:t>投标文件的澄清</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澄清</w:t>
      </w:r>
      <w:r>
        <w:rPr>
          <w:rFonts w:hint="eastAsia" w:ascii="宋体" w:hAnsi="宋体" w:cs="宋体"/>
          <w:b w:val="0"/>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b w:val="0"/>
          <w:color w:val="000000" w:themeColor="text1"/>
          <w:sz w:val="21"/>
          <w:szCs w:val="21"/>
          <w:highlight w:val="none"/>
          <w14:textFill>
            <w14:solidFill>
              <w14:schemeClr w14:val="tx1"/>
            </w14:solidFill>
          </w14:textFill>
        </w:rPr>
        <w:t>和补正</w:t>
      </w:r>
    </w:p>
    <w:p w14:paraId="5F51F186">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kern w:val="1"/>
          <w:sz w:val="21"/>
          <w:szCs w:val="21"/>
          <w:highlight w:val="none"/>
          <w14:textFill>
            <w14:solidFill>
              <w14:schemeClr w14:val="tx1"/>
            </w14:solidFill>
          </w14:textFill>
        </w:rPr>
        <w:t>在评标过程中，评标委员会可以通过电子交易平台要求投标人对所提交的投标文件中不明确的内容进行书面澄清或说明，或者对细微偏差进行补正</w:t>
      </w:r>
      <w:r>
        <w:rPr>
          <w:rFonts w:hint="eastAsia" w:ascii="宋体" w:hAnsi="宋体" w:cs="宋体"/>
          <w:color w:val="000000" w:themeColor="text1"/>
          <w:sz w:val="21"/>
          <w:szCs w:val="21"/>
          <w:highlight w:val="none"/>
          <w14:textFill>
            <w14:solidFill>
              <w14:schemeClr w14:val="tx1"/>
            </w14:solidFill>
          </w14:textFill>
        </w:rPr>
        <w:t>，但不应寻求、提出或允许更改投标价格或投标文件的实质性内容</w:t>
      </w:r>
      <w:r>
        <w:rPr>
          <w:rFonts w:hint="eastAsia" w:ascii="宋体" w:hAnsi="宋体" w:cs="宋体"/>
          <w:color w:val="000000" w:themeColor="text1"/>
          <w:kern w:val="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kern w:val="1"/>
          <w:sz w:val="21"/>
          <w:szCs w:val="21"/>
          <w:highlight w:val="none"/>
          <w14:textFill>
            <w14:solidFill>
              <w14:schemeClr w14:val="tx1"/>
            </w14:solidFill>
          </w14:textFill>
        </w:rPr>
        <w:t>通过电子交易平台</w:t>
      </w:r>
      <w:r>
        <w:rPr>
          <w:rFonts w:hint="eastAsia" w:ascii="宋体" w:hAnsi="宋体" w:cs="宋体"/>
          <w:color w:val="000000" w:themeColor="text1"/>
          <w:sz w:val="21"/>
          <w:szCs w:val="21"/>
          <w:highlight w:val="none"/>
          <w14:textFill>
            <w14:solidFill>
              <w14:schemeClr w14:val="tx1"/>
            </w14:solidFill>
          </w14:textFill>
        </w:rPr>
        <w:t>回复澄清、说明、补正，时限要求详见评标办法前附表第</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kern w:val="1"/>
          <w:sz w:val="21"/>
          <w:szCs w:val="21"/>
          <w:highlight w:val="none"/>
          <w14:textFill>
            <w14:solidFill>
              <w14:schemeClr w14:val="tx1"/>
            </w14:solidFill>
          </w14:textFill>
        </w:rPr>
        <w:t>评标委员会不接受投标人主动提出的澄清、说明或补正。</w:t>
      </w:r>
      <w:r>
        <w:rPr>
          <w:rFonts w:hint="eastAsia" w:ascii="宋体" w:hAnsi="宋体" w:eastAsia="宋体" w:cs="宋体"/>
          <w:color w:val="000000" w:themeColor="text1"/>
          <w:kern w:val="0"/>
          <w:sz w:val="21"/>
          <w:szCs w:val="21"/>
          <w:highlight w:val="none"/>
          <w14:textFill>
            <w14:solidFill>
              <w14:schemeClr w14:val="tx1"/>
            </w14:solidFill>
          </w14:textFill>
        </w:rPr>
        <w:t>澄清、说明和补正</w:t>
      </w:r>
      <w:r>
        <w:rPr>
          <w:rFonts w:hint="eastAsia" w:ascii="宋体" w:hAnsi="宋体" w:eastAsia="宋体" w:cs="宋体"/>
          <w:color w:val="000000" w:themeColor="text1"/>
          <w:kern w:val="1"/>
          <w:sz w:val="21"/>
          <w:szCs w:val="21"/>
          <w:highlight w:val="none"/>
          <w14:textFill>
            <w14:solidFill>
              <w14:schemeClr w14:val="tx1"/>
            </w14:solidFill>
          </w14:textFill>
        </w:rPr>
        <w:t>格式见附件3-</w:t>
      </w:r>
      <w:r>
        <w:rPr>
          <w:rFonts w:hint="eastAsia" w:ascii="宋体" w:hAnsi="宋体"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14:textFill>
            <w14:solidFill>
              <w14:schemeClr w14:val="tx1"/>
            </w14:solidFill>
          </w14:textFill>
        </w:rPr>
        <w:t>、3-</w:t>
      </w:r>
      <w:r>
        <w:rPr>
          <w:rFonts w:hint="eastAsia" w:ascii="宋体" w:hAnsi="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1"/>
          <w:sz w:val="21"/>
          <w:szCs w:val="21"/>
          <w:highlight w:val="none"/>
          <w14:textFill>
            <w14:solidFill>
              <w14:schemeClr w14:val="tx1"/>
            </w14:solidFill>
          </w14:textFill>
        </w:rPr>
        <w:t>。</w:t>
      </w:r>
    </w:p>
    <w:p w14:paraId="096C6090">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default" w:ascii="宋体" w:hAnsi="宋体"/>
          <w:color w:val="000000" w:themeColor="text1"/>
          <w:sz w:val="21"/>
          <w:szCs w:val="21"/>
          <w:highlight w:val="none"/>
          <w:lang w:val="en-US" w:eastAsia="zh-CN"/>
          <w14:textFill>
            <w14:solidFill>
              <w14:schemeClr w14:val="tx1"/>
            </w14:solidFill>
          </w14:textFill>
        </w:rPr>
        <w:t>6.3</w:t>
      </w:r>
      <w:r>
        <w:rPr>
          <w:rFonts w:hint="default" w:ascii="宋体" w:hAnsi="宋体"/>
          <w:color w:val="000000" w:themeColor="text1"/>
          <w:sz w:val="21"/>
          <w:szCs w:val="21"/>
          <w:highlight w:val="none"/>
          <w:lang w:val="en-US"/>
          <w14:textFill>
            <w14:solidFill>
              <w14:schemeClr w14:val="tx1"/>
            </w14:solidFill>
          </w14:textFill>
        </w:rPr>
        <w:t>.</w:t>
      </w:r>
      <w:r>
        <w:rPr>
          <w:rFonts w:hint="default"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拒不补正的，在详细评审时可以对细微偏差作不利于该投标人的量化，量化标准按照下列约定：</w:t>
      </w:r>
    </w:p>
    <w:p w14:paraId="14EA4845">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（1）投标文件中填报的</w:t>
      </w:r>
      <w:r>
        <w:rPr>
          <w:rFonts w:hint="eastAsia" w:ascii="宋体" w:hAnsi="宋体"/>
          <w:color w:val="000000" w:themeColor="text1"/>
          <w:kern w:val="2"/>
          <w:sz w:val="21"/>
          <w:szCs w:val="21"/>
          <w:highlight w:val="none"/>
          <w14:textFill>
            <w14:solidFill>
              <w14:schemeClr w14:val="tx1"/>
            </w14:solidFill>
          </w14:textFill>
        </w:rPr>
        <w:t>设计（勘察）费投标金额</w:t>
      </w:r>
      <w:r>
        <w:rPr>
          <w:rFonts w:hint="eastAsia" w:ascii="宋体" w:hAnsi="宋体"/>
          <w:color w:val="000000" w:themeColor="text1"/>
          <w:sz w:val="21"/>
          <w:szCs w:val="21"/>
          <w:highlight w:val="none"/>
          <w14:textFill>
            <w14:solidFill>
              <w14:schemeClr w14:val="tx1"/>
            </w14:solidFill>
          </w14:textFill>
        </w:rPr>
        <w:t>前后不一致时，以投标函数据为准。</w:t>
      </w:r>
    </w:p>
    <w:p w14:paraId="0788963A">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（2）投标文件中填写的工程名称有误时，以招标项目的实际内容为准。</w:t>
      </w:r>
    </w:p>
    <w:p w14:paraId="1C72193A">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（3）投标报价金额大写与小写不一致的，以大写为准。</w:t>
      </w:r>
    </w:p>
    <w:p w14:paraId="32F0DC7F">
      <w:pPr>
        <w:keepNext w:val="0"/>
        <w:keepLines w:val="0"/>
        <w:pageBreakBefore w:val="0"/>
        <w:widowControl w:val="0"/>
        <w:kinsoku/>
        <w:wordWrap/>
        <w:overflowPunct/>
        <w:topLinePunct w:val="0"/>
        <w:autoSpaceDE/>
        <w:autoSpaceDN/>
        <w:bidi w:val="0"/>
        <w:snapToGrid/>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澄清、说明和补正不得改变投标文件的实质性内容。投标人的书面澄清、说明和补正属于投标文件的组成部分。</w:t>
      </w:r>
    </w:p>
    <w:p w14:paraId="031A299E">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14:paraId="6616AD46">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不按评标委员会要求澄清、说明或补正的，</w:t>
      </w:r>
      <w:r>
        <w:rPr>
          <w:rFonts w:hint="eastAsia" w:cs="宋体"/>
          <w:color w:val="000000" w:themeColor="text1"/>
          <w:sz w:val="21"/>
          <w:szCs w:val="21"/>
          <w:highlight w:val="none"/>
          <w14:textFill>
            <w14:solidFill>
              <w14:schemeClr w14:val="tx1"/>
            </w14:solidFill>
          </w14:textFill>
        </w:rPr>
        <w:t>评标委员会应当否决其投标</w:t>
      </w:r>
      <w:r>
        <w:rPr>
          <w:rFonts w:hint="eastAsia" w:ascii="宋体" w:hAnsi="宋体"/>
          <w:color w:val="000000" w:themeColor="text1"/>
          <w:sz w:val="21"/>
          <w:szCs w:val="21"/>
          <w:highlight w:val="none"/>
          <w14:textFill>
            <w14:solidFill>
              <w14:schemeClr w14:val="tx1"/>
            </w14:solidFill>
          </w14:textFill>
        </w:rPr>
        <w:t>。</w:t>
      </w:r>
    </w:p>
    <w:p w14:paraId="6770C6E4">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6.4.</w:t>
      </w:r>
      <w:r>
        <w:rPr>
          <w:rFonts w:hint="eastAsia" w:ascii="宋体" w:hAnsi="宋体" w:eastAsia="宋体" w:cs="宋体"/>
          <w:b w:val="0"/>
          <w:color w:val="000000" w:themeColor="text1"/>
          <w:sz w:val="21"/>
          <w:szCs w:val="21"/>
          <w:highlight w:val="none"/>
          <w14:textFill>
            <w14:solidFill>
              <w14:schemeClr w14:val="tx1"/>
            </w14:solidFill>
          </w14:textFill>
        </w:rPr>
        <w:t>推荐定标候选人</w:t>
      </w:r>
    </w:p>
    <w:p w14:paraId="520F8F01">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6.4</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.1.在推荐定标候选人前，评标委员会应当对拟推荐的定标候选人相关信息进行核对。</w:t>
      </w:r>
    </w:p>
    <w:p w14:paraId="0B8EFE52">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评标委员会通过全国建筑市场监管公共服务平台（四库一平台，网址：jzsc.mohurd.gov.cn）查询拟推荐定标候选人注册人员是否满足其所持资质证书对应的资质标准要求，如不满足的，不得推荐为定标候选人。招标人如有发现投标人注册人员不满足资质标准要求，应在7个工作日内书面函告该投标人资质审批机构。</w:t>
      </w:r>
    </w:p>
    <w:p w14:paraId="5D37E1A7">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6.4</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评标委员会</w:t>
      </w:r>
      <w:r>
        <w:rPr>
          <w:rFonts w:hint="eastAsia" w:ascii="宋体" w:hAnsi="宋体" w:cs="宋体"/>
          <w:color w:val="000000" w:themeColor="text1"/>
          <w:sz w:val="21"/>
          <w:szCs w:val="21"/>
          <w:highlight w:val="none"/>
          <w:lang w:val="en-US" w:eastAsia="zh-CN"/>
          <w14:textFill>
            <w14:solidFill>
              <w14:schemeClr w14:val="tx1"/>
            </w14:solidFill>
          </w14:textFill>
        </w:rPr>
        <w:t>按照第6.2款规定的程序和规则</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采用记名方式进行投票</w:t>
      </w:r>
      <w:r>
        <w:rPr>
          <w:rFonts w:hint="eastAsia" w:ascii="宋体" w:hAnsi="宋体" w:eastAsia="宋体" w:cs="宋体"/>
          <w:color w:val="000000" w:themeColor="text1"/>
          <w:sz w:val="21"/>
          <w:szCs w:val="21"/>
          <w:highlight w:val="none"/>
          <w14:textFill>
            <w14:solidFill>
              <w14:schemeClr w14:val="tx1"/>
            </w14:solidFill>
          </w14:textFill>
        </w:rPr>
        <w:t>推荐得票数最多5家的投标人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以不排序方式</w:t>
      </w:r>
      <w:r>
        <w:rPr>
          <w:rFonts w:hint="eastAsia" w:ascii="宋体" w:hAnsi="宋体" w:cs="宋体"/>
          <w:color w:val="000000" w:themeColor="text1"/>
          <w:sz w:val="21"/>
          <w:szCs w:val="21"/>
          <w:highlight w:val="none"/>
          <w:lang w:val="en-US" w:eastAsia="zh-CN"/>
          <w14:textFill>
            <w14:solidFill>
              <w14:schemeClr w14:val="tx1"/>
            </w14:solidFill>
          </w14:textFill>
        </w:rPr>
        <w:t>将注册人员满足其所持资质证书对应的资质标准要求</w:t>
      </w:r>
      <w:r>
        <w:rPr>
          <w:rFonts w:hint="eastAsia" w:ascii="宋体" w:hAnsi="宋体" w:cs="宋体"/>
          <w:color w:val="000000" w:themeColor="text1"/>
          <w:kern w:val="0"/>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sz w:val="21"/>
          <w:szCs w:val="21"/>
          <w:highlight w:val="none"/>
          <w14:textFill>
            <w14:solidFill>
              <w14:schemeClr w14:val="tx1"/>
            </w14:solidFill>
          </w14:textFill>
        </w:rPr>
        <w:t>为定标候选人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得票数最多5家的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cs="宋体"/>
          <w:color w:val="000000" w:themeColor="text1"/>
          <w:sz w:val="21"/>
          <w:szCs w:val="21"/>
          <w:highlight w:val="none"/>
          <w:lang w:val="en-US" w:eastAsia="zh-CN"/>
          <w14:textFill>
            <w14:solidFill>
              <w14:schemeClr w14:val="tx1"/>
            </w14:solidFill>
          </w14:textFill>
        </w:rPr>
        <w:t>因</w:t>
      </w:r>
      <w:r>
        <w:rPr>
          <w:rFonts w:hint="eastAsia" w:ascii="宋体" w:hAnsi="宋体" w:eastAsia="宋体" w:cs="宋体"/>
          <w:color w:val="000000" w:themeColor="text1"/>
          <w:sz w:val="21"/>
          <w:szCs w:val="21"/>
          <w:highlight w:val="none"/>
          <w:lang w:val="en-US" w:eastAsia="zh-CN"/>
          <w14:textFill>
            <w14:solidFill>
              <w14:schemeClr w14:val="tx1"/>
            </w14:solidFill>
          </w14:textFill>
        </w:rPr>
        <w:t>注册人员不满足资质标准要求不</w:t>
      </w:r>
      <w:r>
        <w:rPr>
          <w:rFonts w:hint="eastAsia" w:ascii="宋体" w:hAnsi="宋体" w:cs="宋体"/>
          <w:color w:val="000000" w:themeColor="text1"/>
          <w:sz w:val="21"/>
          <w:szCs w:val="21"/>
          <w:highlight w:val="none"/>
          <w:lang w:val="en-US" w:eastAsia="zh-CN"/>
          <w14:textFill>
            <w14:solidFill>
              <w14:schemeClr w14:val="tx1"/>
            </w14:solidFill>
          </w14:textFill>
        </w:rPr>
        <w:t>被</w:t>
      </w:r>
      <w:r>
        <w:rPr>
          <w:rFonts w:hint="eastAsia" w:ascii="宋体" w:hAnsi="宋体" w:eastAsia="宋体" w:cs="宋体"/>
          <w:color w:val="000000" w:themeColor="text1"/>
          <w:sz w:val="21"/>
          <w:szCs w:val="21"/>
          <w:highlight w:val="none"/>
          <w:lang w:val="en-US" w:eastAsia="zh-CN"/>
          <w14:textFill>
            <w14:solidFill>
              <w14:schemeClr w14:val="tx1"/>
            </w14:solidFill>
          </w14:textFill>
        </w:rPr>
        <w:t>推荐为定标候选人</w:t>
      </w:r>
      <w:r>
        <w:rPr>
          <w:rFonts w:hint="eastAsia" w:ascii="宋体" w:hAnsi="宋体" w:cs="宋体"/>
          <w:color w:val="000000" w:themeColor="text1"/>
          <w:sz w:val="21"/>
          <w:szCs w:val="21"/>
          <w:highlight w:val="none"/>
          <w:lang w:val="en-US" w:eastAsia="zh-CN"/>
          <w14:textFill>
            <w14:solidFill>
              <w14:schemeClr w14:val="tx1"/>
            </w14:solidFill>
          </w14:textFill>
        </w:rPr>
        <w:t>，则</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不再递补定标候选人</w:t>
      </w:r>
      <w:r>
        <w:rPr>
          <w:rFonts w:hint="eastAsia" w:ascii="宋体" w:hAnsi="宋体" w:eastAsia="宋体" w:cs="Times New Roman"/>
          <w:color w:val="000000" w:themeColor="text1"/>
          <w:sz w:val="21"/>
          <w:szCs w:val="21"/>
          <w:highlight w:val="none"/>
          <w14:textFill>
            <w14:solidFill>
              <w14:schemeClr w14:val="tx1"/>
            </w14:solidFill>
          </w14:textFill>
        </w:rPr>
        <w:t>。</w:t>
      </w:r>
    </w:p>
    <w:p w14:paraId="63D21148">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当通</w:t>
      </w:r>
      <w:r>
        <w:rPr>
          <w:rFonts w:hint="eastAsia" w:ascii="宋体" w:hAnsi="宋体" w:eastAsia="宋体" w:cs="宋体"/>
          <w:color w:val="000000" w:themeColor="text1"/>
          <w:sz w:val="21"/>
          <w:szCs w:val="21"/>
          <w:highlight w:val="none"/>
          <w14:textFill>
            <w14:solidFill>
              <w14:schemeClr w14:val="tx1"/>
            </w14:solidFill>
          </w14:textFill>
        </w:rPr>
        <w:t>过资格审查的投标人</w:t>
      </w:r>
      <w:r>
        <w:rPr>
          <w:rFonts w:hint="eastAsia" w:ascii="宋体" w:hAnsi="宋体" w:eastAsia="宋体" w:cs="Times New Roman"/>
          <w:color w:val="000000" w:themeColor="text1"/>
          <w:sz w:val="21"/>
          <w:szCs w:val="21"/>
          <w:highlight w:val="none"/>
          <w14:textFill>
            <w14:solidFill>
              <w14:schemeClr w14:val="tx1"/>
            </w14:solidFill>
          </w14:textFill>
        </w:rPr>
        <w:t>少于5家（含本数）时，</w:t>
      </w:r>
      <w:r>
        <w:rPr>
          <w:rFonts w:hint="eastAsia" w:ascii="宋体" w:hAnsi="宋体" w:eastAsia="宋体" w:cs="宋体"/>
          <w:color w:val="000000" w:themeColor="text1"/>
          <w:sz w:val="21"/>
          <w:szCs w:val="21"/>
          <w:highlight w:val="none"/>
          <w14:textFill>
            <w14:solidFill>
              <w14:schemeClr w14:val="tx1"/>
            </w14:solidFill>
          </w14:textFill>
        </w:rPr>
        <w:t>评标</w:t>
      </w:r>
      <w:r>
        <w:rPr>
          <w:rFonts w:hint="eastAsia" w:ascii="宋体" w:hAnsi="宋体" w:eastAsia="宋体" w:cs="Times New Roman"/>
          <w:color w:val="000000" w:themeColor="text1"/>
          <w:sz w:val="21"/>
          <w:szCs w:val="21"/>
          <w:highlight w:val="none"/>
          <w14:textFill>
            <w14:solidFill>
              <w14:schemeClr w14:val="tx1"/>
            </w14:solidFill>
          </w14:textFill>
        </w:rPr>
        <w:t>委</w:t>
      </w:r>
      <w:r>
        <w:rPr>
          <w:rFonts w:hint="eastAsia" w:ascii="宋体" w:hAnsi="宋体" w:eastAsia="宋体" w:cs="宋体"/>
          <w:color w:val="000000" w:themeColor="text1"/>
          <w:sz w:val="21"/>
          <w:szCs w:val="21"/>
          <w:highlight w:val="none"/>
          <w14:textFill>
            <w14:solidFill>
              <w14:schemeClr w14:val="tx1"/>
            </w14:solidFill>
          </w14:textFill>
        </w:rPr>
        <w:t>员</w:t>
      </w:r>
      <w:r>
        <w:rPr>
          <w:rFonts w:hint="eastAsia" w:ascii="宋体" w:hAnsi="宋体" w:eastAsia="宋体" w:cs="Times New Roman"/>
          <w:color w:val="000000" w:themeColor="text1"/>
          <w:sz w:val="21"/>
          <w:szCs w:val="21"/>
          <w:highlight w:val="none"/>
          <w14:textFill>
            <w14:solidFill>
              <w14:schemeClr w14:val="tx1"/>
            </w14:solidFill>
          </w14:textFill>
        </w:rPr>
        <w:t>会对通</w:t>
      </w:r>
      <w:r>
        <w:rPr>
          <w:rFonts w:hint="eastAsia" w:ascii="宋体" w:hAnsi="宋体" w:eastAsia="宋体" w:cs="宋体"/>
          <w:color w:val="000000" w:themeColor="text1"/>
          <w:sz w:val="21"/>
          <w:szCs w:val="21"/>
          <w:highlight w:val="none"/>
          <w14:textFill>
            <w14:solidFill>
              <w14:schemeClr w14:val="tx1"/>
            </w14:solidFill>
          </w14:textFill>
        </w:rPr>
        <w:t>过资格审查的投标人</w:t>
      </w:r>
      <w:r>
        <w:rPr>
          <w:rFonts w:hint="eastAsia" w:ascii="宋体" w:hAnsi="宋体" w:eastAsia="宋体" w:cs="Times New Roman"/>
          <w:color w:val="000000" w:themeColor="text1"/>
          <w:sz w:val="21"/>
          <w:szCs w:val="21"/>
          <w:highlight w:val="none"/>
          <w14:textFill>
            <w14:solidFill>
              <w14:schemeClr w14:val="tx1"/>
            </w14:solidFill>
          </w14:textFill>
        </w:rPr>
        <w:t>的投</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ascii="宋体" w:hAnsi="宋体" w:eastAsia="宋体" w:cs="Times New Roman"/>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进</w:t>
      </w:r>
      <w:r>
        <w:rPr>
          <w:rFonts w:hint="eastAsia" w:ascii="宋体" w:hAnsi="宋体" w:eastAsia="宋体" w:cs="Times New Roman"/>
          <w:color w:val="000000" w:themeColor="text1"/>
          <w:sz w:val="21"/>
          <w:szCs w:val="21"/>
          <w:highlight w:val="none"/>
          <w14:textFill>
            <w14:solidFill>
              <w14:schemeClr w14:val="tx1"/>
            </w14:solidFill>
          </w14:textFill>
        </w:rPr>
        <w:t>行</w:t>
      </w:r>
      <w:r>
        <w:rPr>
          <w:rFonts w:hint="eastAsia" w:ascii="宋体" w:hAnsi="宋体" w:cs="宋体"/>
          <w:color w:val="000000" w:themeColor="text1"/>
          <w:sz w:val="21"/>
          <w:szCs w:val="21"/>
          <w:highlight w:val="none"/>
          <w:lang w:val="en-US" w:eastAsia="zh-CN"/>
          <w14:textFill>
            <w14:solidFill>
              <w14:schemeClr w14:val="tx1"/>
            </w14:solidFill>
          </w14:textFill>
        </w:rPr>
        <w:t>定性</w:t>
      </w:r>
      <w:r>
        <w:rPr>
          <w:rFonts w:hint="eastAsia" w:ascii="宋体" w:hAnsi="宋体" w:eastAsia="宋体" w:cs="宋体"/>
          <w:color w:val="000000" w:themeColor="text1"/>
          <w:sz w:val="21"/>
          <w:szCs w:val="21"/>
          <w:highlight w:val="none"/>
          <w14:textFill>
            <w14:solidFill>
              <w14:schemeClr w14:val="tx1"/>
            </w14:solidFill>
          </w14:textFill>
        </w:rPr>
        <w:t>评审</w:t>
      </w:r>
      <w:r>
        <w:rPr>
          <w:rFonts w:hint="eastAsia" w:ascii="宋体" w:hAnsi="宋体" w:cs="宋体"/>
          <w:color w:val="000000" w:themeColor="text1"/>
          <w:sz w:val="21"/>
          <w:szCs w:val="21"/>
          <w:highlight w:val="none"/>
          <w:lang w:val="en-US" w:eastAsia="zh-CN"/>
          <w14:textFill>
            <w14:solidFill>
              <w14:schemeClr w14:val="tx1"/>
            </w14:solidFill>
          </w14:textFill>
        </w:rPr>
        <w:t>后</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以不投票不排序方式</w:t>
      </w:r>
      <w:r>
        <w:rPr>
          <w:rFonts w:hint="eastAsia" w:ascii="宋体" w:hAnsi="宋体" w:cs="Times New Roman"/>
          <w:color w:val="000000" w:themeColor="text1"/>
          <w:sz w:val="21"/>
          <w:szCs w:val="21"/>
          <w:highlight w:val="none"/>
          <w:lang w:val="en-US" w:eastAsia="zh-CN"/>
          <w14:textFill>
            <w14:solidFill>
              <w14:schemeClr w14:val="tx1"/>
            </w14:solidFill>
          </w14:textFill>
        </w:rPr>
        <w:t>将</w:t>
      </w:r>
      <w:r>
        <w:rPr>
          <w:rFonts w:hint="eastAsia" w:cs="宋体"/>
          <w:color w:val="000000" w:themeColor="text1"/>
          <w:sz w:val="21"/>
          <w:szCs w:val="21"/>
          <w:highlight w:val="none"/>
          <w:lang w:val="en-US" w:eastAsia="zh-CN"/>
          <w14:textFill>
            <w14:solidFill>
              <w14:schemeClr w14:val="tx1"/>
            </w14:solidFill>
          </w14:textFill>
        </w:rPr>
        <w:t>注册人员满足其所持资质证书对应的资质标准要求</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ascii="宋体" w:hAnsi="宋体" w:eastAsia="宋体" w:cs="Times New Roman"/>
          <w:color w:val="000000" w:themeColor="text1"/>
          <w:sz w:val="21"/>
          <w:szCs w:val="21"/>
          <w:highlight w:val="none"/>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ascii="宋体" w:hAnsi="宋体" w:eastAsia="宋体" w:cs="Times New Roman"/>
          <w:color w:val="000000" w:themeColor="text1"/>
          <w:sz w:val="21"/>
          <w:szCs w:val="21"/>
          <w:highlight w:val="none"/>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全部</w:t>
      </w:r>
      <w:r>
        <w:rPr>
          <w:rFonts w:hint="eastAsia" w:ascii="宋体" w:hAnsi="宋体" w:cs="宋体"/>
          <w:color w:val="000000" w:themeColor="text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sz w:val="21"/>
          <w:szCs w:val="21"/>
          <w:highlight w:val="none"/>
          <w14:textFill>
            <w14:solidFill>
              <w14:schemeClr w14:val="tx1"/>
            </w14:solidFill>
          </w14:textFill>
        </w:rPr>
        <w:t>为定标候选人。</w:t>
      </w:r>
    </w:p>
    <w:p w14:paraId="6EC747DE">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6.4</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.通过评审合格的投标人</w:t>
      </w:r>
      <w:r>
        <w:rPr>
          <w:rFonts w:hint="eastAsia" w:ascii="宋体" w:hAnsi="宋体"/>
          <w:color w:val="000000" w:themeColor="text1"/>
          <w:sz w:val="21"/>
          <w:szCs w:val="21"/>
          <w:highlight w:val="none"/>
          <w:lang w:val="en-US" w:eastAsia="zh-CN"/>
          <w14:textFill>
            <w14:solidFill>
              <w14:schemeClr w14:val="tx1"/>
            </w14:solidFill>
          </w14:textFill>
        </w:rPr>
        <w:t>或定标候选人数量</w:t>
      </w:r>
      <w:r>
        <w:rPr>
          <w:rFonts w:hint="eastAsia" w:ascii="宋体" w:hAnsi="宋体"/>
          <w:color w:val="000000" w:themeColor="text1"/>
          <w:sz w:val="21"/>
          <w:szCs w:val="21"/>
          <w:highlight w:val="none"/>
          <w14:textFill>
            <w14:solidFill>
              <w14:schemeClr w14:val="tx1"/>
            </w14:solidFill>
          </w14:textFill>
        </w:rPr>
        <w:t>少于3家（不含3家），评标委员会认为投标明显缺乏竞争的，可以否决全部投标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招标人将重新招标</w:t>
      </w:r>
      <w:r>
        <w:rPr>
          <w:rFonts w:hint="eastAsia" w:ascii="宋体" w:hAnsi="宋体"/>
          <w:color w:val="000000" w:themeColor="text1"/>
          <w:sz w:val="21"/>
          <w:szCs w:val="21"/>
          <w:highlight w:val="none"/>
          <w14:textFill>
            <w14:solidFill>
              <w14:schemeClr w14:val="tx1"/>
            </w14:solidFill>
          </w14:textFill>
        </w:rPr>
        <w:t>。经评审，评标委员会认为所有投标都不符合招标文件要求的，可以否决所有投标。所有投标被否决后，评标委员会应当在评标报告中说明具体理由，招标人在分析招标失败的原因并采取相应措施后，应当依法重新招标。</w:t>
      </w:r>
    </w:p>
    <w:p w14:paraId="2D445F4D">
      <w:pPr>
        <w:pStyle w:val="4"/>
        <w:spacing w:beforeLines="50" w:afterLines="50" w:line="360" w:lineRule="auto"/>
        <w:rPr>
          <w:rFonts w:hint="default" w:ascii="黑体" w:hAnsi="黑体" w:eastAsia="黑体"/>
          <w:b w:val="0"/>
          <w:color w:val="000000" w:themeColor="text1"/>
          <w:sz w:val="28"/>
          <w:szCs w:val="28"/>
          <w:highlight w:val="none"/>
          <w:lang w:val="en-US" w:eastAsia="zh-CN"/>
          <w14:textFill>
            <w14:solidFill>
              <w14:schemeClr w14:val="tx1"/>
            </w14:solidFill>
          </w14:textFill>
        </w:rPr>
      </w:pPr>
      <w:bookmarkStart w:id="454" w:name="_Toc13101"/>
      <w:bookmarkStart w:id="455" w:name="_Toc26799"/>
      <w:bookmarkStart w:id="456" w:name="_Toc22847"/>
      <w:r>
        <w:rPr>
          <w:rFonts w:hint="default" w:ascii="黑体" w:hAnsi="黑体" w:eastAsia="黑体"/>
          <w:b w:val="0"/>
          <w:color w:val="000000" w:themeColor="text1"/>
          <w:sz w:val="28"/>
          <w:szCs w:val="28"/>
          <w:highlight w:val="none"/>
          <w:lang w:val="en-US" w:eastAsia="zh-CN"/>
          <w14:textFill>
            <w14:solidFill>
              <w14:schemeClr w14:val="tx1"/>
            </w14:solidFill>
          </w14:textFill>
        </w:rPr>
        <w:t>7.</w:t>
      </w:r>
      <w:r>
        <w:rPr>
          <w:rFonts w:hint="default" w:ascii="黑体" w:hAnsi="黑体" w:eastAsia="黑体" w:cs="Times New Roman"/>
          <w:b w:val="0"/>
          <w:color w:val="000000" w:themeColor="text1"/>
          <w:sz w:val="28"/>
          <w:szCs w:val="28"/>
          <w:highlight w:val="none"/>
          <w14:textFill>
            <w14:solidFill>
              <w14:schemeClr w14:val="tx1"/>
            </w14:solidFill>
          </w14:textFill>
        </w:rPr>
        <w:t>提交评标报告</w:t>
      </w:r>
      <w:bookmarkEnd w:id="454"/>
      <w:bookmarkEnd w:id="455"/>
      <w:bookmarkEnd w:id="456"/>
    </w:p>
    <w:p w14:paraId="5BCCD810">
      <w:pPr>
        <w:tabs>
          <w:tab w:val="left" w:pos="567"/>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7.1</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kern w:val="2"/>
          <w:sz w:val="21"/>
          <w:szCs w:val="21"/>
          <w:highlight w:val="none"/>
          <w14:textFill>
            <w14:solidFill>
              <w14:schemeClr w14:val="tx1"/>
            </w14:solidFill>
          </w14:textFill>
        </w:rPr>
        <w:t>完成评标后，评标委员会应当向招标人提交书面评标报告</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kern w:val="2"/>
          <w:sz w:val="21"/>
          <w:szCs w:val="21"/>
          <w:highlight w:val="none"/>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决定否决所有投标的，应当在</w:t>
      </w:r>
      <w:r>
        <w:rPr>
          <w:rFonts w:hint="eastAsia" w:ascii="宋体" w:hAnsi="宋体"/>
          <w:color w:val="000000" w:themeColor="text1"/>
          <w:kern w:val="2"/>
          <w:sz w:val="21"/>
          <w:szCs w:val="21"/>
          <w:highlight w:val="none"/>
          <w14:textFill>
            <w14:solidFill>
              <w14:schemeClr w14:val="tx1"/>
            </w14:solidFill>
          </w14:textFill>
        </w:rPr>
        <w:t>评标报告</w:t>
      </w:r>
      <w:r>
        <w:rPr>
          <w:rFonts w:hint="eastAsia" w:ascii="宋体" w:hAnsi="宋体"/>
          <w:color w:val="000000" w:themeColor="text1"/>
          <w:sz w:val="21"/>
          <w:szCs w:val="21"/>
          <w:highlight w:val="none"/>
          <w14:textFill>
            <w14:solidFill>
              <w14:schemeClr w14:val="tx1"/>
            </w14:solidFill>
          </w14:textFill>
        </w:rPr>
        <w:t>中说明具体理由。</w:t>
      </w:r>
      <w:r>
        <w:rPr>
          <w:rFonts w:hint="eastAsia" w:ascii="宋体" w:hAnsi="宋体"/>
          <w:color w:val="000000" w:themeColor="text1"/>
          <w:kern w:val="2"/>
          <w:sz w:val="21"/>
          <w:szCs w:val="21"/>
          <w:highlight w:val="none"/>
          <w14:textFill>
            <w14:solidFill>
              <w14:schemeClr w14:val="tx1"/>
            </w14:solidFill>
          </w14:textFill>
        </w:rPr>
        <w:t>评标报告</w:t>
      </w:r>
      <w:r>
        <w:rPr>
          <w:rFonts w:hint="eastAsia" w:ascii="宋体" w:hAnsi="宋体"/>
          <w:color w:val="000000" w:themeColor="text1"/>
          <w:sz w:val="21"/>
          <w:szCs w:val="21"/>
          <w:highlight w:val="none"/>
          <w14:textFill>
            <w14:solidFill>
              <w14:schemeClr w14:val="tx1"/>
            </w14:solidFill>
          </w14:textFill>
        </w:rPr>
        <w:t>应当列明投标文件雷同情况。</w:t>
      </w:r>
    </w:p>
    <w:p w14:paraId="2D9B9846">
      <w:pPr>
        <w:tabs>
          <w:tab w:val="left" w:pos="567"/>
        </w:tabs>
        <w:adjustRightInd/>
        <w:spacing w:line="360" w:lineRule="auto"/>
        <w:ind w:firstLine="422" w:firstLineChars="201"/>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7.2</w:t>
      </w:r>
      <w:r>
        <w:rPr>
          <w:rFonts w:hint="eastAsia" w:ascii="宋体" w:hAnsi="宋体"/>
          <w:color w:val="000000" w:themeColor="text1"/>
          <w:sz w:val="21"/>
          <w:szCs w:val="21"/>
          <w:highlight w:val="none"/>
          <w14:textFill>
            <w14:solidFill>
              <w14:schemeClr w14:val="tx1"/>
            </w14:solidFill>
          </w14:textFill>
        </w:rPr>
        <w:t>.评标报告由评标委员会全体成员签字。对评标结论持有异议的，评标委员会成员可以在评标报告中阐述其不同意见和理由。评标委员会成员拒绝在评标报告上签字且不陈述其不同意见和理由的，视为同意评标结论，并由评标委员会作出书面说明并存档。</w:t>
      </w:r>
    </w:p>
    <w:p w14:paraId="1EF49C10">
      <w:pPr>
        <w:keepNext/>
        <w:keepLines/>
        <w:widowControl w:val="0"/>
        <w:adjustRightInd w:val="0"/>
        <w:spacing w:before="260" w:beforeLines="50" w:after="260" w:afterLines="50" w:line="360" w:lineRule="auto"/>
        <w:jc w:val="both"/>
        <w:textAlignment w:val="baseline"/>
        <w:outlineLvl w:val="2"/>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457" w:name="_Toc23185"/>
      <w:bookmarkStart w:id="458" w:name="_Toc2136"/>
      <w:bookmarkStart w:id="459" w:name="_Toc26970"/>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8.评标报告的审查</w:t>
      </w:r>
      <w:bookmarkEnd w:id="457"/>
      <w:bookmarkEnd w:id="458"/>
      <w:bookmarkEnd w:id="459"/>
    </w:p>
    <w:p w14:paraId="4C44CDF2">
      <w:pPr>
        <w:tabs>
          <w:tab w:val="left" w:pos="567"/>
        </w:tabs>
        <w:spacing w:line="360" w:lineRule="auto"/>
        <w:ind w:firstLine="422" w:firstLineChars="201"/>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招标人履行主体责任，有权审查评标委员会提交的评标报告，发现评标报告存在错误的，有权要求评标委员会依据本章规定复核纠正。</w:t>
      </w:r>
    </w:p>
    <w:p w14:paraId="6888E57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60" w:name="_Toc9172"/>
      <w:bookmarkStart w:id="461" w:name="_Toc13422"/>
      <w:bookmarkStart w:id="462" w:name="_Toc18347"/>
      <w:r>
        <w:rPr>
          <w:rFonts w:hint="eastAsia" w:ascii="黑体" w:hAnsi="黑体" w:eastAsia="黑体"/>
          <w:b w:val="0"/>
          <w:color w:val="000000" w:themeColor="text1"/>
          <w:sz w:val="28"/>
          <w:szCs w:val="28"/>
          <w:highlight w:val="none"/>
          <w:lang w:val="en-US" w:eastAsia="zh-CN"/>
          <w14:textFill>
            <w14:solidFill>
              <w14:schemeClr w14:val="tx1"/>
            </w14:solidFill>
          </w14:textFill>
        </w:rPr>
        <w:t>9</w:t>
      </w:r>
      <w:r>
        <w:rPr>
          <w:rFonts w:hint="eastAsia" w:ascii="黑体" w:hAnsi="黑体" w:eastAsia="黑体"/>
          <w:b w:val="0"/>
          <w:color w:val="000000" w:themeColor="text1"/>
          <w:sz w:val="28"/>
          <w:szCs w:val="28"/>
          <w:highlight w:val="none"/>
          <w14:textFill>
            <w14:solidFill>
              <w14:schemeClr w14:val="tx1"/>
            </w14:solidFill>
          </w14:textFill>
        </w:rPr>
        <w:t>.附则</w:t>
      </w:r>
      <w:bookmarkEnd w:id="460"/>
      <w:bookmarkEnd w:id="461"/>
      <w:bookmarkEnd w:id="462"/>
    </w:p>
    <w:p w14:paraId="2BAF3B87">
      <w:pPr>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投标人应对所递交的投标文件以及与投标有关的证明资料的真实性负责，若以弄虚作假骗取中标的，中标无效，给招标人造成损失的依法承担赔偿责任。</w:t>
      </w:r>
    </w:p>
    <w:p w14:paraId="2072D3DF">
      <w:pPr>
        <w:adjustRightInd/>
        <w:spacing w:line="240" w:lineRule="auto"/>
        <w:jc w:val="left"/>
        <w:textAlignment w:val="auto"/>
        <w:rPr>
          <w:rFonts w:hint="eastAsia" w:ascii="黑体" w:hAnsi="黑体" w:eastAsia="黑体" w:cs="Arial"/>
          <w:color w:val="000000" w:themeColor="text1"/>
          <w:sz w:val="21"/>
          <w:szCs w:val="21"/>
          <w:highlight w:val="none"/>
          <w14:textFill>
            <w14:solidFill>
              <w14:schemeClr w14:val="tx1"/>
            </w14:solidFill>
          </w14:textFill>
        </w:rPr>
      </w:pPr>
      <w:r>
        <w:rPr>
          <w:rFonts w:hint="eastAsia" w:ascii="黑体" w:hAnsi="黑体" w:eastAsia="黑体" w:cs="Arial"/>
          <w:color w:val="000000" w:themeColor="text1"/>
          <w:sz w:val="21"/>
          <w:szCs w:val="21"/>
          <w:highlight w:val="none"/>
          <w14:textFill>
            <w14:solidFill>
              <w14:schemeClr w14:val="tx1"/>
            </w14:solidFill>
          </w14:textFill>
        </w:rPr>
        <w:br w:type="page"/>
      </w:r>
    </w:p>
    <w:p w14:paraId="726ECEDE">
      <w:pPr>
        <w:keepNext/>
        <w:keepLines/>
        <w:adjustRightInd w:val="0"/>
        <w:spacing w:line="360" w:lineRule="auto"/>
        <w:jc w:val="both"/>
        <w:textAlignment w:val="baseline"/>
        <w:outlineLvl w:val="2"/>
        <w:rPr>
          <w:rFonts w:hint="eastAsia" w:ascii="黑体" w:hAnsi="黑体" w:eastAsia="黑体" w:cs="Times New Roman"/>
          <w:bCs/>
          <w:color w:val="000000" w:themeColor="text1"/>
          <w:sz w:val="21"/>
          <w:szCs w:val="21"/>
          <w:highlight w:val="none"/>
          <w14:textFill>
            <w14:solidFill>
              <w14:schemeClr w14:val="tx1"/>
            </w14:solidFill>
          </w14:textFill>
        </w:rPr>
      </w:pPr>
      <w:bookmarkStart w:id="463" w:name="_Toc27859"/>
      <w:bookmarkStart w:id="464" w:name="_Toc8875"/>
      <w:r>
        <w:rPr>
          <w:rFonts w:hint="eastAsia" w:ascii="黑体" w:hAnsi="黑体" w:eastAsia="黑体" w:cs="Times New Roman"/>
          <w:bCs/>
          <w:color w:val="000000" w:themeColor="text1"/>
          <w:sz w:val="21"/>
          <w:szCs w:val="21"/>
          <w:highlight w:val="none"/>
          <w14:textFill>
            <w14:solidFill>
              <w14:schemeClr w14:val="tx1"/>
            </w14:solidFill>
          </w14:textFill>
        </w:rPr>
        <w:t>附件3-</w:t>
      </w:r>
      <w:r>
        <w:rPr>
          <w:rFonts w:hint="eastAsia" w:ascii="黑体" w:hAnsi="黑体" w:eastAsia="黑体" w:cs="Times New Roman"/>
          <w:bCs/>
          <w:color w:val="000000" w:themeColor="text1"/>
          <w:sz w:val="21"/>
          <w:szCs w:val="21"/>
          <w:highlight w:val="none"/>
          <w:lang w:val="en-US" w:eastAsia="zh-CN"/>
          <w14:textFill>
            <w14:solidFill>
              <w14:schemeClr w14:val="tx1"/>
            </w14:solidFill>
          </w14:textFill>
        </w:rPr>
        <w:t>1</w:t>
      </w:r>
      <w:r>
        <w:rPr>
          <w:rFonts w:hint="eastAsia" w:ascii="黑体" w:hAnsi="黑体" w:eastAsia="黑体" w:cs="Times New Roman"/>
          <w:bCs/>
          <w:color w:val="000000" w:themeColor="text1"/>
          <w:sz w:val="21"/>
          <w:szCs w:val="21"/>
          <w:highlight w:val="none"/>
          <w14:textFill>
            <w14:solidFill>
              <w14:schemeClr w14:val="tx1"/>
            </w14:solidFill>
          </w14:textFill>
        </w:rPr>
        <w:t>：投票方法（格式）</w:t>
      </w:r>
      <w:bookmarkEnd w:id="463"/>
      <w:bookmarkEnd w:id="464"/>
    </w:p>
    <w:p w14:paraId="283EB2B4">
      <w:pPr>
        <w:tabs>
          <w:tab w:val="left" w:pos="1050"/>
        </w:tabs>
        <w:adjustRightInd/>
        <w:spacing w:line="300" w:lineRule="auto"/>
        <w:jc w:val="center"/>
        <w:textAlignment w:val="auto"/>
        <w:rPr>
          <w:rFonts w:ascii="黑体" w:hAnsi="黑体" w:eastAsia="黑体" w:cs="Arial"/>
          <w:color w:val="000000" w:themeColor="text1"/>
          <w:sz w:val="28"/>
          <w:szCs w:val="28"/>
          <w:highlight w:val="none"/>
          <w14:textFill>
            <w14:solidFill>
              <w14:schemeClr w14:val="tx1"/>
            </w14:solidFill>
          </w14:textFill>
        </w:rPr>
      </w:pPr>
      <w:r>
        <w:rPr>
          <w:rFonts w:hint="eastAsia" w:ascii="黑体" w:hAnsi="黑体" w:eastAsia="黑体" w:cs="Arial"/>
          <w:color w:val="000000" w:themeColor="text1"/>
          <w:sz w:val="28"/>
          <w:szCs w:val="28"/>
          <w:highlight w:val="none"/>
          <w14:textFill>
            <w14:solidFill>
              <w14:schemeClr w14:val="tx1"/>
            </w14:solidFill>
          </w14:textFill>
        </w:rPr>
        <w:t>投票方法</w:t>
      </w:r>
    </w:p>
    <w:tbl>
      <w:tblPr>
        <w:tblStyle w:val="41"/>
        <w:tblW w:w="8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1559"/>
        <w:gridCol w:w="1701"/>
        <w:gridCol w:w="1971"/>
      </w:tblGrid>
      <w:tr w14:paraId="29442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18" w:type="dxa"/>
            <w:vMerge w:val="restart"/>
            <w:tcBorders>
              <w:tl2br w:val="nil"/>
              <w:tr2bl w:val="nil"/>
            </w:tcBorders>
            <w:vAlign w:val="center"/>
          </w:tcPr>
          <w:p w14:paraId="2D69E4DA">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第1轮</w:t>
            </w:r>
          </w:p>
        </w:tc>
        <w:tc>
          <w:tcPr>
            <w:tcW w:w="1701" w:type="dxa"/>
            <w:tcBorders>
              <w:tl2br w:val="nil"/>
              <w:tr2bl w:val="nil"/>
            </w:tcBorders>
            <w:vAlign w:val="center"/>
          </w:tcPr>
          <w:p w14:paraId="05DB7FA7">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候选总数</w:t>
            </w:r>
          </w:p>
        </w:tc>
        <w:tc>
          <w:tcPr>
            <w:tcW w:w="1559" w:type="dxa"/>
            <w:tcBorders>
              <w:tl2br w:val="nil"/>
              <w:tr2bl w:val="nil"/>
            </w:tcBorders>
            <w:vAlign w:val="center"/>
          </w:tcPr>
          <w:p w14:paraId="70B5CE6E">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6-10</w:t>
            </w:r>
          </w:p>
        </w:tc>
        <w:tc>
          <w:tcPr>
            <w:tcW w:w="1701" w:type="dxa"/>
            <w:tcBorders>
              <w:tl2br w:val="nil"/>
              <w:tr2bl w:val="nil"/>
            </w:tcBorders>
            <w:vAlign w:val="center"/>
          </w:tcPr>
          <w:p w14:paraId="545C6962">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11-20</w:t>
            </w:r>
          </w:p>
        </w:tc>
        <w:tc>
          <w:tcPr>
            <w:tcW w:w="1971" w:type="dxa"/>
            <w:tcBorders>
              <w:tl2br w:val="nil"/>
              <w:tr2bl w:val="nil"/>
            </w:tcBorders>
            <w:vAlign w:val="center"/>
          </w:tcPr>
          <w:p w14:paraId="5F758774">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21或以上</w:t>
            </w:r>
          </w:p>
        </w:tc>
      </w:tr>
      <w:tr w14:paraId="73598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18" w:type="dxa"/>
            <w:vMerge w:val="continue"/>
            <w:tcBorders>
              <w:tl2br w:val="nil"/>
              <w:tr2bl w:val="nil"/>
            </w:tcBorders>
            <w:vAlign w:val="center"/>
          </w:tcPr>
          <w:p w14:paraId="3CF61DE5">
            <w:pPr>
              <w:jc w:val="center"/>
              <w:rPr>
                <w:rFonts w:ascii="宋体" w:hAnsi="宋体"/>
                <w:color w:val="000000" w:themeColor="text1"/>
                <w:highlight w:val="none"/>
                <w14:textFill>
                  <w14:solidFill>
                    <w14:schemeClr w14:val="tx1"/>
                  </w14:solidFill>
                </w14:textFill>
              </w:rPr>
            </w:pPr>
          </w:p>
        </w:tc>
        <w:tc>
          <w:tcPr>
            <w:tcW w:w="1701" w:type="dxa"/>
            <w:tcBorders>
              <w:tl2br w:val="nil"/>
              <w:tr2bl w:val="nil"/>
            </w:tcBorders>
            <w:vAlign w:val="center"/>
          </w:tcPr>
          <w:p w14:paraId="734E9D4E">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应选总数</w:t>
            </w:r>
          </w:p>
        </w:tc>
        <w:tc>
          <w:tcPr>
            <w:tcW w:w="1559" w:type="dxa"/>
            <w:tcBorders>
              <w:tl2br w:val="nil"/>
              <w:tr2bl w:val="nil"/>
            </w:tcBorders>
            <w:vAlign w:val="center"/>
          </w:tcPr>
          <w:p w14:paraId="099C2494">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1701" w:type="dxa"/>
            <w:tcBorders>
              <w:tl2br w:val="nil"/>
              <w:tr2bl w:val="nil"/>
            </w:tcBorders>
            <w:vAlign w:val="center"/>
          </w:tcPr>
          <w:p w14:paraId="31392592">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w:t>
            </w:r>
          </w:p>
        </w:tc>
        <w:tc>
          <w:tcPr>
            <w:tcW w:w="1971" w:type="dxa"/>
            <w:tcBorders>
              <w:tl2br w:val="nil"/>
              <w:tr2bl w:val="nil"/>
            </w:tcBorders>
            <w:vAlign w:val="center"/>
          </w:tcPr>
          <w:p w14:paraId="0430D985">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w:t>
            </w:r>
          </w:p>
        </w:tc>
      </w:tr>
      <w:tr w14:paraId="39FEF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18" w:type="dxa"/>
            <w:tcBorders>
              <w:tl2br w:val="nil"/>
              <w:tr2bl w:val="nil"/>
            </w:tcBorders>
            <w:vAlign w:val="center"/>
          </w:tcPr>
          <w:p w14:paraId="3EC8D06F">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第2轮</w:t>
            </w:r>
          </w:p>
        </w:tc>
        <w:tc>
          <w:tcPr>
            <w:tcW w:w="1701" w:type="dxa"/>
            <w:tcBorders>
              <w:tl2br w:val="nil"/>
              <w:tr2bl w:val="nil"/>
            </w:tcBorders>
            <w:vAlign w:val="center"/>
          </w:tcPr>
          <w:p w14:paraId="7D4A0761">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应选总数</w:t>
            </w:r>
          </w:p>
        </w:tc>
        <w:tc>
          <w:tcPr>
            <w:tcW w:w="1559" w:type="dxa"/>
            <w:tcBorders>
              <w:tl2br w:val="nil"/>
              <w:tr2bl w:val="nil"/>
            </w:tcBorders>
            <w:vAlign w:val="center"/>
          </w:tcPr>
          <w:p w14:paraId="6D02CBFC">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p>
        </w:tc>
        <w:tc>
          <w:tcPr>
            <w:tcW w:w="1701" w:type="dxa"/>
            <w:tcBorders>
              <w:tl2br w:val="nil"/>
              <w:tr2bl w:val="nil"/>
            </w:tcBorders>
            <w:vAlign w:val="center"/>
          </w:tcPr>
          <w:p w14:paraId="175B5614">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1971" w:type="dxa"/>
            <w:tcBorders>
              <w:tl2br w:val="nil"/>
              <w:tr2bl w:val="nil"/>
            </w:tcBorders>
            <w:vAlign w:val="center"/>
          </w:tcPr>
          <w:p w14:paraId="79144FA4">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w:t>
            </w:r>
          </w:p>
        </w:tc>
      </w:tr>
      <w:tr w14:paraId="344F4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18" w:type="dxa"/>
            <w:tcBorders>
              <w:tl2br w:val="nil"/>
              <w:tr2bl w:val="nil"/>
            </w:tcBorders>
            <w:vAlign w:val="center"/>
          </w:tcPr>
          <w:p w14:paraId="0176EB3C">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第3轮</w:t>
            </w:r>
          </w:p>
        </w:tc>
        <w:tc>
          <w:tcPr>
            <w:tcW w:w="1701" w:type="dxa"/>
            <w:tcBorders>
              <w:tl2br w:val="nil"/>
              <w:tr2bl w:val="nil"/>
            </w:tcBorders>
            <w:vAlign w:val="center"/>
          </w:tcPr>
          <w:p w14:paraId="462CCEF9">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应选总数</w:t>
            </w:r>
          </w:p>
        </w:tc>
        <w:tc>
          <w:tcPr>
            <w:tcW w:w="1559" w:type="dxa"/>
            <w:tcBorders>
              <w:tl2br w:val="nil"/>
              <w:tr2bl w:val="nil"/>
            </w:tcBorders>
            <w:vAlign w:val="center"/>
          </w:tcPr>
          <w:p w14:paraId="5FC8EA5F">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p>
        </w:tc>
        <w:tc>
          <w:tcPr>
            <w:tcW w:w="1701" w:type="dxa"/>
            <w:tcBorders>
              <w:tl2br w:val="nil"/>
              <w:tr2bl w:val="nil"/>
            </w:tcBorders>
            <w:vAlign w:val="center"/>
          </w:tcPr>
          <w:p w14:paraId="5C191A92">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p>
        </w:tc>
        <w:tc>
          <w:tcPr>
            <w:tcW w:w="1971" w:type="dxa"/>
            <w:tcBorders>
              <w:tl2br w:val="nil"/>
              <w:tr2bl w:val="nil"/>
            </w:tcBorders>
            <w:vAlign w:val="center"/>
          </w:tcPr>
          <w:p w14:paraId="6D5216D1">
            <w:pPr>
              <w:tabs>
                <w:tab w:val="left" w:pos="1050"/>
              </w:tabs>
              <w:adjustRightInd/>
              <w:spacing w:line="300" w:lineRule="auto"/>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r>
    </w:tbl>
    <w:p w14:paraId="3CA185D3">
      <w:pPr>
        <w:tabs>
          <w:tab w:val="left" w:pos="510"/>
        </w:tabs>
        <w:adjustRightInd/>
        <w:spacing w:line="360" w:lineRule="auto"/>
        <w:jc w:val="left"/>
        <w:textAlignment w:val="auto"/>
        <w:rPr>
          <w:rFonts w:ascii="宋体" w:hAnsi="宋体" w:cs="Arial"/>
          <w:color w:val="000000" w:themeColor="text1"/>
          <w:sz w:val="21"/>
          <w:szCs w:val="21"/>
          <w:highlight w:val="none"/>
          <w14:textFill>
            <w14:solidFill>
              <w14:schemeClr w14:val="tx1"/>
            </w14:solidFill>
          </w14:textFill>
        </w:rPr>
      </w:pPr>
    </w:p>
    <w:p w14:paraId="198F60A7">
      <w:pPr>
        <w:tabs>
          <w:tab w:val="left" w:pos="510"/>
        </w:tabs>
        <w:adjustRightInd/>
        <w:spacing w:line="360" w:lineRule="auto"/>
        <w:jc w:val="left"/>
        <w:textAlignment w:val="auto"/>
        <w:rPr>
          <w:rFonts w:ascii="宋体" w:hAnsi="宋体" w:cs="Arial"/>
          <w:color w:val="000000" w:themeColor="text1"/>
          <w:sz w:val="21"/>
          <w:szCs w:val="21"/>
          <w:highlight w:val="none"/>
          <w14:textFill>
            <w14:solidFill>
              <w14:schemeClr w14:val="tx1"/>
            </w14:solidFill>
          </w14:textFill>
        </w:rPr>
      </w:pPr>
    </w:p>
    <w:p w14:paraId="0F66993D">
      <w:pPr>
        <w:jc w:val="center"/>
        <w:rPr>
          <w:rFonts w:hint="eastAsia" w:ascii="黑体" w:hAnsi="黑体" w:eastAsia="黑体"/>
          <w:b w:val="0"/>
          <w:color w:val="000000" w:themeColor="text1"/>
          <w:sz w:val="28"/>
          <w:szCs w:val="28"/>
          <w:highlight w:val="none"/>
          <w14:textFill>
            <w14:solidFill>
              <w14:schemeClr w14:val="tx1"/>
            </w14:solidFill>
          </w14:textFill>
        </w:rPr>
      </w:pPr>
      <w:r>
        <w:rPr>
          <w:rFonts w:hint="eastAsia" w:ascii="黑体" w:hAnsi="黑体" w:eastAsia="黑体"/>
          <w:b w:val="0"/>
          <w:color w:val="000000" w:themeColor="text1"/>
          <w:sz w:val="28"/>
          <w:szCs w:val="28"/>
          <w:highlight w:val="none"/>
          <w14:textFill>
            <w14:solidFill>
              <w14:schemeClr w14:val="tx1"/>
            </w14:solidFill>
          </w14:textFill>
        </w:rPr>
        <w:br w:type="page"/>
      </w:r>
    </w:p>
    <w:p w14:paraId="3CE2A628">
      <w:pPr>
        <w:keepNext/>
        <w:keepLines/>
        <w:widowControl w:val="0"/>
        <w:adjustRightInd w:val="0"/>
        <w:spacing w:before="0" w:after="0" w:line="360" w:lineRule="auto"/>
        <w:jc w:val="both"/>
        <w:textAlignment w:val="baseline"/>
        <w:outlineLvl w:val="2"/>
        <w:rPr>
          <w:rFonts w:ascii="黑体" w:hAnsi="黑体" w:eastAsia="黑体" w:cs="Times New Roman"/>
          <w:b w:val="0"/>
          <w:bCs/>
          <w:color w:val="000000" w:themeColor="text1"/>
          <w:sz w:val="21"/>
          <w:szCs w:val="21"/>
          <w:highlight w:val="none"/>
          <w:lang w:val="en-US" w:eastAsia="zh-CN" w:bidi="ar-SA"/>
          <w14:textFill>
            <w14:solidFill>
              <w14:schemeClr w14:val="tx1"/>
            </w14:solidFill>
          </w14:textFill>
        </w:rPr>
      </w:pPr>
      <w:bookmarkStart w:id="465" w:name="_Toc1390"/>
      <w:bookmarkStart w:id="466" w:name="_Toc15922"/>
      <w:r>
        <w:rPr>
          <w:rFonts w:hint="eastAsia" w:ascii="黑体" w:hAnsi="黑体" w:eastAsia="黑体" w:cs="Times New Roman"/>
          <w:b w:val="0"/>
          <w:bCs/>
          <w:color w:val="000000" w:themeColor="text1"/>
          <w:sz w:val="21"/>
          <w:szCs w:val="21"/>
          <w:highlight w:val="none"/>
          <w:lang w:val="en-US" w:eastAsia="zh-CN" w:bidi="ar-SA"/>
          <w14:textFill>
            <w14:solidFill>
              <w14:schemeClr w14:val="tx1"/>
            </w14:solidFill>
          </w14:textFill>
        </w:rPr>
        <w:t>附件3-2：问题澄清通知（格式）</w:t>
      </w:r>
      <w:bookmarkEnd w:id="465"/>
      <w:bookmarkEnd w:id="466"/>
    </w:p>
    <w:p w14:paraId="52E58037">
      <w:pPr>
        <w:spacing w:line="360" w:lineRule="auto"/>
        <w:jc w:val="center"/>
        <w:rPr>
          <w:rFonts w:ascii="黑体" w:hAnsi="黑体" w:eastAsia="黑体" w:cs="Times New Roman"/>
          <w:b/>
          <w:color w:val="000000" w:themeColor="text1"/>
          <w:sz w:val="28"/>
          <w:szCs w:val="28"/>
          <w:highlight w:val="none"/>
          <w14:textFill>
            <w14:solidFill>
              <w14:schemeClr w14:val="tx1"/>
            </w14:solidFill>
          </w14:textFill>
        </w:rPr>
      </w:pPr>
      <w:r>
        <w:rPr>
          <w:rFonts w:hint="eastAsia" w:ascii="黑体" w:hAnsi="黑体" w:eastAsia="黑体" w:cs="Times New Roman"/>
          <w:b/>
          <w:color w:val="000000" w:themeColor="text1"/>
          <w:sz w:val="28"/>
          <w:szCs w:val="28"/>
          <w:highlight w:val="none"/>
          <w14:textFill>
            <w14:solidFill>
              <w14:schemeClr w14:val="tx1"/>
            </w14:solidFill>
          </w14:textFill>
        </w:rPr>
        <w:t>问题澄清通知</w:t>
      </w:r>
    </w:p>
    <w:p w14:paraId="6ADBFF42">
      <w:pPr>
        <w:spacing w:line="360" w:lineRule="auto"/>
        <w:ind w:firstLine="420" w:firstLineChars="200"/>
        <w:jc w:val="center"/>
        <w:rPr>
          <w:rFonts w:ascii="宋体" w:hAnsi="宋体" w:eastAsia="宋体" w:cs="Times New Roman"/>
          <w:b/>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编号：</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p>
    <w:p w14:paraId="7203AC6C">
      <w:pPr>
        <w:spacing w:line="360" w:lineRule="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 xml:space="preserve">(投标人名称）: </w:t>
      </w:r>
    </w:p>
    <w:p w14:paraId="129577AB">
      <w:pPr>
        <w:spacing w:line="360" w:lineRule="auto"/>
        <w:ind w:firstLine="525" w:firstLineChars="25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(项目名称）设计（勘察）招标的评标委员会，对你方的投标文件进行了仔细的审查，现需你方对下列问题予以澄清：</w:t>
      </w:r>
    </w:p>
    <w:p w14:paraId="51975486">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w:t>
      </w:r>
    </w:p>
    <w:p w14:paraId="2462C61C">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w:t>
      </w:r>
    </w:p>
    <w:p w14:paraId="34D847E7">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w:t>
      </w:r>
    </w:p>
    <w:p w14:paraId="7928C397">
      <w:pPr>
        <w:pStyle w:val="57"/>
        <w:spacing w:line="48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请将上述问题的澄清于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时前通过电子交易平台回复本</w:t>
      </w:r>
      <w:r>
        <w:rPr>
          <w:rFonts w:hint="eastAsia" w:ascii="宋体" w:hAnsi="宋体" w:eastAsia="宋体" w:cs="宋体"/>
          <w:color w:val="000000" w:themeColor="text1"/>
          <w:sz w:val="21"/>
          <w:szCs w:val="21"/>
          <w:highlight w:val="none"/>
          <w:lang w:eastAsia="zh-CN"/>
          <w14:textFill>
            <w14:solidFill>
              <w14:schemeClr w14:val="tx1"/>
            </w14:solidFill>
          </w14:textFill>
        </w:rPr>
        <w:t>评标委员会</w:t>
      </w:r>
      <w:r>
        <w:rPr>
          <w:rFonts w:hint="eastAsia" w:ascii="宋体" w:hAnsi="宋体" w:eastAsia="宋体" w:cs="宋体"/>
          <w:color w:val="000000" w:themeColor="text1"/>
          <w:sz w:val="21"/>
          <w:szCs w:val="21"/>
          <w:highlight w:val="none"/>
          <w14:textFill>
            <w14:solidFill>
              <w14:schemeClr w14:val="tx1"/>
            </w14:solidFill>
          </w14:textFill>
        </w:rPr>
        <w:t>。</w:t>
      </w:r>
    </w:p>
    <w:p w14:paraId="3397F67D">
      <w:pPr>
        <w:spacing w:line="360" w:lineRule="auto"/>
        <w:ind w:firstLine="5145" w:firstLineChars="2450"/>
        <w:rPr>
          <w:rFonts w:ascii="宋体" w:hAnsi="宋体" w:eastAsia="宋体" w:cs="Times New Roman"/>
          <w:color w:val="000000" w:themeColor="text1"/>
          <w:sz w:val="21"/>
          <w:szCs w:val="21"/>
          <w:highlight w:val="none"/>
          <w14:textFill>
            <w14:solidFill>
              <w14:schemeClr w14:val="tx1"/>
            </w14:solidFill>
          </w14:textFill>
        </w:rPr>
      </w:pPr>
    </w:p>
    <w:p w14:paraId="43C07DA9">
      <w:pPr>
        <w:spacing w:line="360" w:lineRule="auto"/>
        <w:ind w:firstLine="3675" w:firstLineChars="1750"/>
        <w:rPr>
          <w:rFonts w:ascii="宋体" w:hAnsi="宋体" w:eastAsia="宋体" w:cs="Times New Roman"/>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(项目名称）评标委员会</w:t>
      </w:r>
    </w:p>
    <w:p w14:paraId="5351684F">
      <w:pPr>
        <w:spacing w:line="360" w:lineRule="auto"/>
        <w:ind w:firstLine="4620" w:firstLineChars="2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年</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月</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日</w:t>
      </w:r>
    </w:p>
    <w:p w14:paraId="7126A3C3">
      <w:pPr>
        <w:keepNext/>
        <w:keepLines/>
        <w:widowControl w:val="0"/>
        <w:adjustRightInd w:val="0"/>
        <w:spacing w:before="720" w:after="120" w:line="360" w:lineRule="auto"/>
        <w:jc w:val="both"/>
        <w:textAlignment w:val="baseline"/>
        <w:outlineLvl w:val="2"/>
        <w:rPr>
          <w:rFonts w:ascii="黑体" w:hAnsi="黑体" w:eastAsia="黑体" w:cs="Times New Roman"/>
          <w:b w:val="0"/>
          <w:bCs/>
          <w:color w:val="000000" w:themeColor="text1"/>
          <w:sz w:val="21"/>
          <w:szCs w:val="21"/>
          <w:highlight w:val="none"/>
          <w:lang w:val="en-US" w:eastAsia="zh-CN" w:bidi="ar-SA"/>
          <w14:textFill>
            <w14:solidFill>
              <w14:schemeClr w14:val="tx1"/>
            </w14:solidFill>
          </w14:textFill>
        </w:rPr>
      </w:pPr>
      <w:bookmarkStart w:id="467" w:name="_Toc73"/>
      <w:bookmarkStart w:id="468" w:name="_Toc1509"/>
      <w:r>
        <w:rPr>
          <w:rFonts w:hint="eastAsia" w:ascii="黑体" w:hAnsi="黑体" w:eastAsia="黑体" w:cs="Times New Roman"/>
          <w:b w:val="0"/>
          <w:bCs/>
          <w:color w:val="000000" w:themeColor="text1"/>
          <w:sz w:val="21"/>
          <w:szCs w:val="21"/>
          <w:highlight w:val="none"/>
          <w:lang w:val="en-US" w:eastAsia="zh-CN" w:bidi="ar-SA"/>
          <w14:textFill>
            <w14:solidFill>
              <w14:schemeClr w14:val="tx1"/>
            </w14:solidFill>
          </w14:textFill>
        </w:rPr>
        <w:t>附件3-3：问题的澄清（格式）</w:t>
      </w:r>
      <w:bookmarkEnd w:id="467"/>
      <w:bookmarkEnd w:id="468"/>
    </w:p>
    <w:p w14:paraId="2AD885BA">
      <w:pPr>
        <w:spacing w:beforeLines="100" w:afterLines="50" w:line="360" w:lineRule="auto"/>
        <w:jc w:val="center"/>
        <w:rPr>
          <w:rFonts w:ascii="黑体" w:hAnsi="黑体" w:eastAsia="黑体" w:cs="Times New Roman"/>
          <w:b/>
          <w:color w:val="000000" w:themeColor="text1"/>
          <w:sz w:val="28"/>
          <w:szCs w:val="28"/>
          <w:highlight w:val="none"/>
          <w14:textFill>
            <w14:solidFill>
              <w14:schemeClr w14:val="tx1"/>
            </w14:solidFill>
          </w14:textFill>
        </w:rPr>
      </w:pPr>
      <w:r>
        <w:rPr>
          <w:rFonts w:hint="eastAsia" w:ascii="黑体" w:hAnsi="黑体" w:eastAsia="黑体" w:cs="Times New Roman"/>
          <w:b/>
          <w:color w:val="000000" w:themeColor="text1"/>
          <w:sz w:val="28"/>
          <w:szCs w:val="28"/>
          <w:highlight w:val="none"/>
          <w14:textFill>
            <w14:solidFill>
              <w14:schemeClr w14:val="tx1"/>
            </w14:solidFill>
          </w14:textFill>
        </w:rPr>
        <w:t>问题的澄清</w:t>
      </w:r>
    </w:p>
    <w:p w14:paraId="4EDA5F1E">
      <w:pPr>
        <w:spacing w:line="360" w:lineRule="auto"/>
        <w:ind w:firstLine="5460" w:firstLineChars="2600"/>
        <w:rPr>
          <w:rFonts w:ascii="宋体" w:hAnsi="宋体" w:eastAsia="宋体" w:cs="Times New Roman"/>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编号：</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p>
    <w:p w14:paraId="762CB78D">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(项目名称）</w:t>
      </w:r>
      <w:r>
        <w:rPr>
          <w:rFonts w:hint="eastAsia" w:ascii="宋体" w:hAnsi="宋体" w:eastAsia="宋体" w:cs="Times New Roman"/>
          <w:color w:val="000000" w:themeColor="text1"/>
          <w:sz w:val="2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 w:val="21"/>
          <w:szCs w:val="21"/>
          <w:highlight w:val="none"/>
          <w14:textFill>
            <w14:solidFill>
              <w14:schemeClr w14:val="tx1"/>
            </w14:solidFill>
          </w14:textFill>
        </w:rPr>
        <w:t>：</w:t>
      </w:r>
    </w:p>
    <w:p w14:paraId="05D6BDFF">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问题澄清通知（编号：</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）已收悉，现澄清如下：</w:t>
      </w:r>
    </w:p>
    <w:p w14:paraId="4A2A6AEC">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w:t>
      </w:r>
    </w:p>
    <w:p w14:paraId="27CA312F">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w:t>
      </w:r>
    </w:p>
    <w:p w14:paraId="53A6A4B0">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w:t>
      </w:r>
    </w:p>
    <w:p w14:paraId="2176FBC0">
      <w:pPr>
        <w:spacing w:line="360" w:lineRule="auto"/>
        <w:ind w:firstLine="0" w:firstLineChars="0"/>
        <w:jc w:val="right"/>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投标人：</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（盖单位电子公章）</w:t>
      </w:r>
    </w:p>
    <w:p w14:paraId="6076C686">
      <w:pPr>
        <w:spacing w:line="360" w:lineRule="auto"/>
        <w:jc w:val="right"/>
        <w:rPr>
          <w:rFonts w:ascii="宋体" w:hAnsi="宋体" w:eastAsia="宋体" w:cs="Times New Roman"/>
          <w:color w:val="000000" w:themeColor="text1"/>
          <w:sz w:val="21"/>
          <w:szCs w:val="21"/>
          <w:highlight w:val="none"/>
          <w14:textFill>
            <w14:solidFill>
              <w14:schemeClr w14:val="tx1"/>
            </w14:solidFill>
          </w14:textFill>
        </w:rPr>
      </w:pPr>
    </w:p>
    <w:p w14:paraId="776D2A8D">
      <w:pPr>
        <w:jc w:val="right"/>
        <w:rPr>
          <w:rFonts w:hint="eastAsia" w:ascii="黑体" w:hAnsi="黑体" w:eastAsia="黑体"/>
          <w:b w:val="0"/>
          <w:color w:val="000000" w:themeColor="text1"/>
          <w:sz w:val="28"/>
          <w:szCs w:val="28"/>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年</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月</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日</w:t>
      </w:r>
      <w:r>
        <w:rPr>
          <w:rFonts w:hint="eastAsia" w:ascii="黑体" w:hAnsi="黑体" w:eastAsia="黑体"/>
          <w:b w:val="0"/>
          <w:color w:val="000000" w:themeColor="text1"/>
          <w:sz w:val="28"/>
          <w:szCs w:val="28"/>
          <w:highlight w:val="none"/>
          <w14:textFill>
            <w14:solidFill>
              <w14:schemeClr w14:val="tx1"/>
            </w14:solidFill>
          </w14:textFill>
        </w:rPr>
        <w:br w:type="page"/>
      </w:r>
    </w:p>
    <w:p w14:paraId="5AADD5FA">
      <w:pPr>
        <w:pStyle w:val="4"/>
        <w:jc w:val="center"/>
        <w:rPr>
          <w:rFonts w:ascii="黑体" w:hAnsi="黑体" w:eastAsia="黑体"/>
          <w:b w:val="0"/>
          <w:color w:val="000000" w:themeColor="text1"/>
          <w:sz w:val="28"/>
          <w:szCs w:val="28"/>
          <w:highlight w:val="none"/>
          <w14:textFill>
            <w14:solidFill>
              <w14:schemeClr w14:val="tx1"/>
            </w14:solidFill>
          </w14:textFill>
        </w:rPr>
      </w:pPr>
      <w:bookmarkStart w:id="469" w:name="_Toc13999"/>
      <w:bookmarkStart w:id="470" w:name="_Toc32500"/>
      <w:bookmarkStart w:id="471" w:name="_Toc7965"/>
      <w:r>
        <w:rPr>
          <w:rFonts w:hint="eastAsia" w:ascii="黑体" w:hAnsi="黑体" w:eastAsia="黑体"/>
          <w:b w:val="0"/>
          <w:color w:val="000000" w:themeColor="text1"/>
          <w:sz w:val="28"/>
          <w:szCs w:val="28"/>
          <w:highlight w:val="none"/>
          <w14:textFill>
            <w14:solidFill>
              <w14:schemeClr w14:val="tx1"/>
            </w14:solidFill>
          </w14:textFill>
        </w:rPr>
        <w:t>评标办法（适用</w:t>
      </w:r>
      <w:r>
        <w:rPr>
          <w:rFonts w:hint="eastAsia" w:ascii="黑体" w:hAnsi="黑体" w:eastAsia="黑体"/>
          <w:b w:val="0"/>
          <w:color w:val="000000" w:themeColor="text1"/>
          <w:sz w:val="28"/>
          <w:szCs w:val="28"/>
          <w:highlight w:val="none"/>
          <w:lang w:val="en-US" w:eastAsia="zh-CN"/>
          <w14:textFill>
            <w14:solidFill>
              <w14:schemeClr w14:val="tx1"/>
            </w14:solidFill>
          </w14:textFill>
        </w:rPr>
        <w:t>于</w:t>
      </w:r>
      <w:r>
        <w:rPr>
          <w:rFonts w:hint="eastAsia" w:ascii="黑体" w:hAnsi="黑体" w:eastAsia="黑体"/>
          <w:b w:val="0"/>
          <w:color w:val="000000" w:themeColor="text1"/>
          <w:sz w:val="28"/>
          <w:szCs w:val="28"/>
          <w:highlight w:val="none"/>
          <w14:textFill>
            <w14:solidFill>
              <w14:schemeClr w14:val="tx1"/>
            </w14:solidFill>
          </w14:textFill>
        </w:rPr>
        <w:t>综合评估法）</w:t>
      </w:r>
      <w:bookmarkEnd w:id="469"/>
      <w:bookmarkEnd w:id="470"/>
      <w:bookmarkEnd w:id="471"/>
    </w:p>
    <w:p w14:paraId="7BCD3FCA">
      <w:pPr>
        <w:pStyle w:val="4"/>
        <w:keepNext/>
        <w:keepLines/>
        <w:pageBreakBefore w:val="0"/>
        <w:widowControl w:val="0"/>
        <w:kinsoku/>
        <w:wordWrap/>
        <w:overflowPunct/>
        <w:topLinePunct w:val="0"/>
        <w:autoSpaceDE/>
        <w:autoSpaceDN/>
        <w:bidi w:val="0"/>
        <w:adjustRightInd w:val="0"/>
        <w:snapToGrid/>
        <w:spacing w:beforeLines="50" w:after="0" w:line="360" w:lineRule="auto"/>
        <w:textAlignment w:val="baseline"/>
        <w:rPr>
          <w:rFonts w:ascii="黑体" w:hAnsi="黑体" w:eastAsia="黑体"/>
          <w:b w:val="0"/>
          <w:color w:val="000000" w:themeColor="text1"/>
          <w:sz w:val="21"/>
          <w:szCs w:val="21"/>
          <w:highlight w:val="none"/>
          <w14:textFill>
            <w14:solidFill>
              <w14:schemeClr w14:val="tx1"/>
            </w14:solidFill>
          </w14:textFill>
        </w:rPr>
      </w:pPr>
      <w:bookmarkStart w:id="472" w:name="_Toc21137"/>
      <w:bookmarkStart w:id="473" w:name="_Toc8899"/>
      <w:bookmarkStart w:id="474" w:name="_Toc18548"/>
      <w:r>
        <w:rPr>
          <w:rFonts w:hint="eastAsia" w:ascii="黑体" w:hAnsi="黑体" w:eastAsia="黑体"/>
          <w:b w:val="0"/>
          <w:color w:val="000000" w:themeColor="text1"/>
          <w:sz w:val="21"/>
          <w:szCs w:val="21"/>
          <w:highlight w:val="none"/>
          <w14:textFill>
            <w14:solidFill>
              <w14:schemeClr w14:val="tx1"/>
            </w14:solidFill>
          </w14:textFill>
        </w:rPr>
        <w:t>评标办法前附表</w:t>
      </w:r>
      <w:bookmarkEnd w:id="472"/>
      <w:bookmarkEnd w:id="473"/>
      <w:bookmarkEnd w:id="474"/>
    </w:p>
    <w:tbl>
      <w:tblPr>
        <w:tblStyle w:val="41"/>
        <w:tblW w:w="9541" w:type="dxa"/>
        <w:tblInd w:w="-3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276"/>
        <w:gridCol w:w="708"/>
        <w:gridCol w:w="2127"/>
        <w:gridCol w:w="3870"/>
      </w:tblGrid>
      <w:tr w14:paraId="5F6B7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9" w:type="dxa"/>
            <w:tcBorders>
              <w:tl2br w:val="nil"/>
              <w:tr2bl w:val="nil"/>
            </w:tcBorders>
            <w:vAlign w:val="center"/>
          </w:tcPr>
          <w:p w14:paraId="40A0E743">
            <w:pPr>
              <w:pStyle w:val="13"/>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项号</w:t>
            </w:r>
          </w:p>
        </w:tc>
        <w:tc>
          <w:tcPr>
            <w:tcW w:w="851" w:type="dxa"/>
            <w:tcBorders>
              <w:tl2br w:val="nil"/>
              <w:tr2bl w:val="nil"/>
            </w:tcBorders>
            <w:vAlign w:val="center"/>
          </w:tcPr>
          <w:p w14:paraId="4180B6B5">
            <w:pPr>
              <w:pStyle w:val="13"/>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条款号</w:t>
            </w:r>
          </w:p>
        </w:tc>
        <w:tc>
          <w:tcPr>
            <w:tcW w:w="1276" w:type="dxa"/>
            <w:tcBorders>
              <w:tl2br w:val="nil"/>
              <w:tr2bl w:val="nil"/>
            </w:tcBorders>
            <w:vAlign w:val="center"/>
          </w:tcPr>
          <w:p w14:paraId="07DB3563">
            <w:pPr>
              <w:pStyle w:val="13"/>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条款名称</w:t>
            </w:r>
          </w:p>
        </w:tc>
        <w:tc>
          <w:tcPr>
            <w:tcW w:w="6705" w:type="dxa"/>
            <w:gridSpan w:val="3"/>
            <w:tcBorders>
              <w:tl2br w:val="nil"/>
              <w:tr2bl w:val="nil"/>
            </w:tcBorders>
            <w:vAlign w:val="center"/>
          </w:tcPr>
          <w:p w14:paraId="479E24C0">
            <w:pPr>
              <w:pStyle w:val="13"/>
              <w:snapToGrid w:val="0"/>
              <w:spacing w:line="380" w:lineRule="exact"/>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编列内容</w:t>
            </w:r>
          </w:p>
        </w:tc>
      </w:tr>
      <w:tr w14:paraId="408B0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l2br w:val="nil"/>
              <w:tr2bl w:val="nil"/>
            </w:tcBorders>
            <w:vAlign w:val="center"/>
          </w:tcPr>
          <w:p w14:paraId="52B22C81">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p>
        </w:tc>
        <w:tc>
          <w:tcPr>
            <w:tcW w:w="851" w:type="dxa"/>
            <w:tcBorders>
              <w:tl2br w:val="nil"/>
              <w:tr2bl w:val="nil"/>
            </w:tcBorders>
            <w:vAlign w:val="center"/>
          </w:tcPr>
          <w:p w14:paraId="779D1ECD">
            <w:pPr>
              <w:pStyle w:val="13"/>
              <w:snapToGrid w:val="0"/>
              <w:spacing w:line="380" w:lineRule="exact"/>
              <w:ind w:firstLine="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3.1</w:t>
            </w:r>
          </w:p>
        </w:tc>
        <w:tc>
          <w:tcPr>
            <w:tcW w:w="1276" w:type="dxa"/>
            <w:tcBorders>
              <w:tl2br w:val="nil"/>
              <w:tr2bl w:val="nil"/>
            </w:tcBorders>
            <w:vAlign w:val="center"/>
          </w:tcPr>
          <w:p w14:paraId="121D76B2">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组建评标委员会</w:t>
            </w:r>
          </w:p>
        </w:tc>
        <w:tc>
          <w:tcPr>
            <w:tcW w:w="6705" w:type="dxa"/>
            <w:gridSpan w:val="3"/>
            <w:tcBorders>
              <w:tl2br w:val="nil"/>
              <w:tr2bl w:val="nil"/>
            </w:tcBorders>
            <w:vAlign w:val="center"/>
          </w:tcPr>
          <w:p w14:paraId="1BAD5682">
            <w:pPr>
              <w:pStyle w:val="69"/>
              <w:keepNext w:val="0"/>
              <w:keepLines w:val="0"/>
              <w:pageBreakBefore w:val="0"/>
              <w:widowControl w:val="0"/>
              <w:kinsoku/>
              <w:wordWrap/>
              <w:overflowPunct/>
              <w:topLinePunct w:val="0"/>
              <w:autoSpaceDE/>
              <w:autoSpaceDN/>
              <w:bidi w:val="0"/>
              <w:spacing w:line="400" w:lineRule="exact"/>
              <w:ind w:firstLine="0" w:firstLineChars="0"/>
              <w:jc w:val="left"/>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w:t>
            </w:r>
            <w:r>
              <w:rPr>
                <w:rFonts w:hint="eastAsia" w:ascii="宋体" w:hAnsi="宋体" w:eastAsia="宋体" w:cs="宋体"/>
                <w:color w:val="000000" w:themeColor="text1"/>
                <w:szCs w:val="20"/>
                <w:highlight w:val="none"/>
                <w:lang w:val="en-US" w:eastAsia="zh-CN"/>
                <w14:textFill>
                  <w14:solidFill>
                    <w14:schemeClr w14:val="tx1"/>
                  </w14:solidFill>
                </w14:textFill>
              </w:rPr>
              <w:t>.</w:t>
            </w:r>
            <w:r>
              <w:rPr>
                <w:rFonts w:hint="eastAsia" w:ascii="宋体" w:hAnsi="宋体" w:eastAsia="宋体" w:cs="宋体"/>
                <w:color w:val="000000" w:themeColor="text1"/>
                <w:szCs w:val="20"/>
                <w:highlight w:val="none"/>
                <w14:textFill>
                  <w14:solidFill>
                    <w14:schemeClr w14:val="tx1"/>
                  </w14:solidFill>
                </w14:textFill>
              </w:rPr>
              <w:t>评标委员会</w:t>
            </w:r>
            <w:r>
              <w:rPr>
                <w:rFonts w:hint="eastAsia" w:ascii="宋体" w:hAnsi="宋体" w:eastAsia="宋体" w:cs="宋体"/>
                <w:color w:val="000000" w:themeColor="text1"/>
                <w:szCs w:val="20"/>
                <w:highlight w:val="none"/>
                <w:lang w:val="en-US" w:eastAsia="zh-CN"/>
                <w14:textFill>
                  <w14:solidFill>
                    <w14:schemeClr w14:val="tx1"/>
                  </w14:solidFill>
                </w14:textFill>
              </w:rPr>
              <w:t>由</w:t>
            </w:r>
            <w:r>
              <w:rPr>
                <w:rFonts w:hint="eastAsia" w:ascii="宋体" w:hAnsi="宋体" w:eastAsia="宋体" w:cs="宋体"/>
                <w:color w:val="000000" w:themeColor="text1"/>
                <w:szCs w:val="20"/>
                <w:highlight w:val="none"/>
                <w:u w:val="single"/>
                <w14:textFill>
                  <w14:solidFill>
                    <w14:schemeClr w14:val="tx1"/>
                  </w14:solidFill>
                </w14:textFill>
              </w:rPr>
              <w:t xml:space="preserve">      </w:t>
            </w:r>
            <w:r>
              <w:rPr>
                <w:rFonts w:hint="eastAsia" w:ascii="宋体" w:hAnsi="宋体" w:eastAsia="宋体" w:cs="宋体"/>
                <w:color w:val="000000" w:themeColor="text1"/>
                <w:szCs w:val="20"/>
                <w:highlight w:val="none"/>
                <w14:textFill>
                  <w14:solidFill>
                    <w14:schemeClr w14:val="tx1"/>
                  </w14:solidFill>
                </w14:textFill>
              </w:rPr>
              <w:t>人</w:t>
            </w:r>
            <w:r>
              <w:rPr>
                <w:rFonts w:hint="eastAsia" w:ascii="宋体" w:hAnsi="宋体" w:eastAsia="宋体" w:cs="宋体"/>
                <w:color w:val="000000" w:themeColor="text1"/>
                <w:szCs w:val="20"/>
                <w:highlight w:val="none"/>
                <w:lang w:val="en-US" w:eastAsia="zh-CN"/>
                <w14:textFill>
                  <w14:solidFill>
                    <w14:schemeClr w14:val="tx1"/>
                  </w14:solidFill>
                </w14:textFill>
              </w:rPr>
              <w:t>组成</w:t>
            </w:r>
            <w:r>
              <w:rPr>
                <w:rFonts w:hint="eastAsia" w:ascii="宋体" w:hAnsi="宋体" w:eastAsia="宋体" w:cs="宋体"/>
                <w:color w:val="000000" w:themeColor="text1"/>
                <w:szCs w:val="20"/>
                <w:highlight w:val="none"/>
                <w14:textFill>
                  <w14:solidFill>
                    <w14:schemeClr w14:val="tx1"/>
                  </w14:solidFill>
                </w14:textFill>
              </w:rPr>
              <w:t>，其中技术类专家</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sz w:val="21"/>
                <w:szCs w:val="2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w:t>
            </w:r>
            <w:r>
              <w:rPr>
                <w:rFonts w:hint="eastAsia" w:ascii="宋体" w:hAnsi="宋体" w:eastAsia="宋体" w:cs="宋体"/>
                <w:color w:val="000000" w:themeColor="text1"/>
                <w:szCs w:val="20"/>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szCs w:val="20"/>
                <w:highlight w:val="none"/>
                <w14:textFill>
                  <w14:solidFill>
                    <w14:schemeClr w14:val="tx1"/>
                  </w14:solidFill>
                </w14:textFill>
              </w:rPr>
              <w:t>。</w:t>
            </w:r>
          </w:p>
          <w:p w14:paraId="54331423">
            <w:pPr>
              <w:pStyle w:val="69"/>
              <w:keepNext w:val="0"/>
              <w:keepLines w:val="0"/>
              <w:pageBreakBefore w:val="0"/>
              <w:widowControl w:val="0"/>
              <w:kinsoku/>
              <w:wordWrap/>
              <w:overflowPunct/>
              <w:topLinePunct w:val="0"/>
              <w:autoSpaceDE/>
              <w:autoSpaceDN/>
              <w:bidi w:val="0"/>
              <w:spacing w:line="400" w:lineRule="exact"/>
              <w:ind w:firstLine="420" w:firstLineChars="200"/>
              <w:jc w:val="left"/>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注：</w:t>
            </w:r>
            <w:r>
              <w:rPr>
                <w:rFonts w:hint="eastAsia" w:ascii="宋体" w:hAnsi="宋体" w:eastAsia="宋体"/>
                <w:color w:val="000000" w:themeColor="text1"/>
                <w:highlight w:val="none"/>
                <w14:textFill>
                  <w14:solidFill>
                    <w14:schemeClr w14:val="tx1"/>
                  </w14:solidFill>
                </w14:textFill>
              </w:rPr>
              <w:t>评标委员会由与建设项目相关的技术方面的专家和</w:t>
            </w:r>
            <w:r>
              <w:rPr>
                <w:rFonts w:hint="eastAsia" w:ascii="宋体" w:hAnsi="宋体" w:eastAsia="宋体" w:cs="宋体"/>
                <w:color w:val="000000" w:themeColor="text1"/>
                <w:sz w:val="21"/>
                <w:szCs w:val="2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w:t>
            </w:r>
            <w:r>
              <w:rPr>
                <w:rFonts w:hint="eastAsia" w:ascii="宋体" w:hAnsi="宋体" w:eastAsia="宋体"/>
                <w:color w:val="000000" w:themeColor="text1"/>
                <w:highlight w:val="none"/>
                <w14:textFill>
                  <w14:solidFill>
                    <w14:schemeClr w14:val="tx1"/>
                  </w14:solidFill>
                </w14:textFill>
              </w:rPr>
              <w:t>组成，成员人数为5人（含）以上单数</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其中</w:t>
            </w:r>
            <w:r>
              <w:rPr>
                <w:rFonts w:hint="eastAsia" w:ascii="宋体" w:hAnsi="宋体" w:eastAsia="宋体"/>
                <w:color w:val="000000" w:themeColor="text1"/>
                <w:highlight w:val="none"/>
                <w:lang w:eastAsia="zh-CN"/>
                <w14:textFill>
                  <w14:solidFill>
                    <w14:schemeClr w14:val="tx1"/>
                  </w14:solidFill>
                </w14:textFill>
              </w:rPr>
              <w:t>大型公共建筑工程项目的评标委员会人数应不少于9人（含）（其中应包含1名一级注册结构工程师），</w:t>
            </w:r>
            <w:r>
              <w:rPr>
                <w:rFonts w:hint="eastAsia" w:ascii="宋体" w:hAnsi="宋体" w:eastAsia="宋体"/>
                <w:color w:val="000000" w:themeColor="text1"/>
                <w:sz w:val="21"/>
                <w:highlight w:val="none"/>
                <w14:textFill>
                  <w14:solidFill>
                    <w14:schemeClr w14:val="tx1"/>
                  </w14:solidFill>
                </w14:textFill>
              </w:rPr>
              <w:t>大型市政基础设施工程项目的评标委员会人数应不少于9人（含）</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工程项目招标含勘察、设计的，评标委员会人数应不少于9人（含）（其中应包含不超过2名勘察专业专家）。凡带建筑工程设计方案的评标，建筑专业专家不得少于专家总数的2/3。</w:t>
            </w:r>
          </w:p>
          <w:p w14:paraId="2282A810">
            <w:pPr>
              <w:pStyle w:val="13"/>
              <w:keepNext w:val="0"/>
              <w:keepLines w:val="0"/>
              <w:pageBreakBefore w:val="0"/>
              <w:widowControl w:val="0"/>
              <w:kinsoku/>
              <w:wordWrap/>
              <w:overflowPunct/>
              <w:topLinePunct w:val="0"/>
              <w:autoSpaceDE/>
              <w:autoSpaceDN/>
              <w:bidi w:val="0"/>
              <w:snapToGrid w:val="0"/>
              <w:spacing w:line="400" w:lineRule="exact"/>
              <w:ind w:firstLine="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评标专家确定方式：</w:t>
            </w:r>
          </w:p>
          <w:p w14:paraId="59D86F7F">
            <w:pPr>
              <w:pStyle w:val="13"/>
              <w:keepNext w:val="0"/>
              <w:keepLines w:val="0"/>
              <w:pageBreakBefore w:val="0"/>
              <w:widowControl w:val="0"/>
              <w:kinsoku/>
              <w:wordWrap/>
              <w:overflowPunct/>
              <w:topLinePunct w:val="0"/>
              <w:autoSpaceDE/>
              <w:autoSpaceDN/>
              <w:bidi w:val="0"/>
              <w:snapToGrid w:val="0"/>
              <w:spacing w:line="400" w:lineRule="exact"/>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1</w:t>
            </w:r>
            <w:r>
              <w:rPr>
                <w:rFonts w:hint="eastAsia" w:ascii="宋体" w:hAnsi="宋体" w:eastAsia="宋体"/>
                <w:color w:val="000000" w:themeColor="text1"/>
                <w:highlight w:val="none"/>
                <w14:textFill>
                  <w14:solidFill>
                    <w14:schemeClr w14:val="tx1"/>
                  </w14:solidFill>
                </w14:textFill>
              </w:rPr>
              <w:t>）房屋建筑工程评标专家应以一级注册建筑师为主，评标专家应从福建省综合评标专家库工程设计类建筑（总平面规划）专业中具备一级注册建筑师或规划师执业资格的专家（</w:t>
            </w:r>
            <w:r>
              <w:rPr>
                <w:rFonts w:hint="eastAsia" w:ascii="宋体" w:hAnsi="宋体" w:eastAsia="宋体"/>
                <w:color w:val="000000" w:themeColor="text1"/>
                <w:highlight w:val="none"/>
                <w:lang w:eastAsia="zh-CN"/>
                <w14:textFill>
                  <w14:solidFill>
                    <w14:schemeClr w14:val="tx1"/>
                  </w14:solidFill>
                </w14:textFill>
              </w:rPr>
              <w:t>除</w:t>
            </w:r>
            <w:r>
              <w:rPr>
                <w:rFonts w:hint="eastAsia" w:ascii="宋体" w:hAnsi="宋体" w:eastAsia="宋体"/>
                <w:color w:val="000000" w:themeColor="text1"/>
                <w:highlight w:val="none"/>
                <w14:textFill>
                  <w14:solidFill>
                    <w14:schemeClr w14:val="tx1"/>
                  </w14:solidFill>
                </w14:textFill>
              </w:rPr>
              <w:t>要求</w:t>
            </w:r>
            <w:r>
              <w:rPr>
                <w:rFonts w:hint="eastAsia" w:ascii="宋体" w:hAnsi="宋体" w:eastAsia="宋体"/>
                <w:color w:val="000000" w:themeColor="text1"/>
                <w:highlight w:val="none"/>
                <w:lang w:val="en-US" w:eastAsia="zh-CN"/>
                <w14:textFill>
                  <w14:solidFill>
                    <w14:schemeClr w14:val="tx1"/>
                  </w14:solidFill>
                </w14:textFill>
              </w:rPr>
              <w:t>的</w:t>
            </w:r>
            <w:r>
              <w:rPr>
                <w:rFonts w:hint="eastAsia" w:ascii="宋体" w:hAnsi="宋体" w:eastAsia="宋体"/>
                <w:color w:val="000000" w:themeColor="text1"/>
                <w:highlight w:val="none"/>
                <w14:textFill>
                  <w14:solidFill>
                    <w14:schemeClr w14:val="tx1"/>
                  </w14:solidFill>
                </w14:textFill>
              </w:rPr>
              <w:t>结构专业专家外）中随机抽取产生，评标委员会主任应由一级注册建筑师担任；市政基础设施工程评标专家应在福建省综合评标专家库工程设计类与招标工程项目相应的主导专业专家中随机抽取产生；勘察专业专家应从福建省综合评标专家库勘察专业中具备注册土木工程师（岩土）执业资格的专家随机抽取产生。已实施注册执业资格制度的，评标委员会主任应由随机抽取产生的具有相应主导专业注册资格的专家担任。</w:t>
            </w:r>
          </w:p>
          <w:p w14:paraId="739E38BF">
            <w:pPr>
              <w:pStyle w:val="13"/>
              <w:keepNext w:val="0"/>
              <w:keepLines w:val="0"/>
              <w:pageBreakBefore w:val="0"/>
              <w:widowControl w:val="0"/>
              <w:kinsoku/>
              <w:wordWrap/>
              <w:overflowPunct/>
              <w:topLinePunct w:val="0"/>
              <w:autoSpaceDE/>
              <w:autoSpaceDN/>
              <w:bidi w:val="0"/>
              <w:snapToGrid w:val="0"/>
              <w:spacing w:line="400" w:lineRule="exact"/>
              <w:ind w:firstLine="420"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可以委派</w:t>
            </w:r>
            <w:r>
              <w:rPr>
                <w:rFonts w:hint="eastAsia" w:ascii="宋体" w:hAnsi="宋体" w:eastAsia="宋体" w:cs="宋体"/>
                <w:color w:val="000000" w:themeColor="text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代表作为评委</w:t>
            </w:r>
            <w:r>
              <w:rPr>
                <w:rFonts w:hint="eastAsia" w:ascii="宋体" w:hAnsi="宋体" w:eastAsia="宋体" w:cs="宋体"/>
                <w:color w:val="000000" w:themeColor="text1"/>
                <w:highlight w:val="none"/>
                <w:lang w:eastAsia="zh-CN"/>
                <w14:textFill>
                  <w14:solidFill>
                    <w14:schemeClr w14:val="tx1"/>
                  </w14:solidFill>
                </w14:textFill>
              </w:rPr>
              <w:t>，人数不得多于评委总人数的三分之一</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代表作为评委</w:t>
            </w:r>
            <w:r>
              <w:rPr>
                <w:rFonts w:hint="eastAsia" w:ascii="宋体" w:hAnsi="宋体" w:eastAsia="宋体" w:cs="宋体"/>
                <w:color w:val="000000" w:themeColor="text1"/>
                <w:highlight w:val="none"/>
                <w:lang w:eastAsia="zh-CN"/>
                <w14:textFill>
                  <w14:solidFill>
                    <w14:schemeClr w14:val="tx1"/>
                  </w14:solidFill>
                </w14:textFill>
              </w:rPr>
              <w:t>的，不得参加后续的清标和定标工作。建设（代建）单位</w:t>
            </w:r>
            <w:r>
              <w:rPr>
                <w:rFonts w:hint="eastAsia" w:ascii="宋体" w:hAnsi="宋体" w:eastAsia="宋体" w:cs="宋体"/>
                <w:color w:val="000000" w:themeColor="text1"/>
                <w:highlight w:val="none"/>
                <w14:textFill>
                  <w14:solidFill>
                    <w14:schemeClr w14:val="tx1"/>
                  </w14:solidFill>
                </w14:textFill>
              </w:rPr>
              <w:t>代表应</w:t>
            </w:r>
            <w:r>
              <w:rPr>
                <w:rFonts w:hint="eastAsia" w:ascii="宋体" w:hAnsi="宋体" w:eastAsia="宋体" w:cs="宋体"/>
                <w:color w:val="000000" w:themeColor="text1"/>
                <w:szCs w:val="32"/>
                <w:highlight w:val="none"/>
                <w14:textFill>
                  <w14:solidFill>
                    <w14:schemeClr w14:val="tx1"/>
                  </w14:solidFill>
                </w14:textFill>
              </w:rPr>
              <w:t>具有工程建设类中级及以上技术职称或注册执业资格，并能熟悉电子评标系统操作</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w:t>
            </w:r>
            <w:r>
              <w:rPr>
                <w:rFonts w:hint="eastAsia" w:ascii="宋体" w:hAnsi="宋体" w:eastAsia="宋体" w:cs="宋体"/>
                <w:color w:val="000000" w:themeColor="text1"/>
                <w:szCs w:val="32"/>
                <w:highlight w:val="none"/>
                <w14:textFill>
                  <w14:solidFill>
                    <w14:schemeClr w14:val="tx1"/>
                  </w14:solidFill>
                </w14:textFill>
              </w:rPr>
              <w:t>在进入评标室评标时，应当将</w:t>
            </w:r>
            <w:r>
              <w:rPr>
                <w:rFonts w:hint="eastAsia" w:ascii="宋体" w:hAnsi="宋体" w:eastAsia="宋体" w:cs="宋体"/>
                <w:color w:val="000000" w:themeColor="text1"/>
                <w:highlight w:val="none"/>
                <w:lang w:eastAsia="zh-CN"/>
                <w14:textFill>
                  <w14:solidFill>
                    <w14:schemeClr w14:val="tx1"/>
                  </w14:solidFill>
                </w14:textFill>
              </w:rPr>
              <w:t>建设（代建）单位</w:t>
            </w:r>
            <w:r>
              <w:rPr>
                <w:rFonts w:hint="eastAsia" w:ascii="宋体" w:hAnsi="宋体" w:eastAsia="宋体" w:cs="宋体"/>
                <w:color w:val="000000" w:themeColor="text1"/>
                <w:highlight w:val="none"/>
                <w14:textFill>
                  <w14:solidFill>
                    <w14:schemeClr w14:val="tx1"/>
                  </w14:solidFill>
                </w14:textFill>
              </w:rPr>
              <w:t>代表</w:t>
            </w:r>
            <w:r>
              <w:rPr>
                <w:rFonts w:hint="eastAsia" w:ascii="宋体" w:hAnsi="宋体" w:eastAsia="宋体" w:cs="宋体"/>
                <w:color w:val="000000" w:themeColor="text1"/>
                <w:szCs w:val="32"/>
                <w:highlight w:val="none"/>
                <w14:textFill>
                  <w14:solidFill>
                    <w14:schemeClr w14:val="tx1"/>
                  </w14:solidFill>
                </w14:textFill>
              </w:rPr>
              <w:t>的</w:t>
            </w:r>
            <w:r>
              <w:rPr>
                <w:rFonts w:hint="eastAsia" w:ascii="宋体" w:hAnsi="宋体" w:eastAsia="宋体" w:cs="宋体"/>
                <w:i w:val="0"/>
                <w:caps w:val="0"/>
                <w:color w:val="000000" w:themeColor="text1"/>
                <w:spacing w:val="0"/>
                <w:sz w:val="21"/>
                <w:szCs w:val="21"/>
                <w:highlight w:val="none"/>
                <w:shd w:val="clear" w:color="auto" w:fill="FFFFFF"/>
                <w14:textFill>
                  <w14:solidFill>
                    <w14:schemeClr w14:val="tx1"/>
                  </w14:solidFill>
                </w14:textFill>
              </w:rPr>
              <w:t>授权委托书、职称（资格）证书、身份证明及近三个月社保缴交证明</w:t>
            </w:r>
            <w:r>
              <w:rPr>
                <w:rFonts w:hint="eastAsia" w:ascii="宋体" w:hAnsi="宋体" w:eastAsia="宋体" w:cs="宋体"/>
                <w:color w:val="000000" w:themeColor="text1"/>
                <w:szCs w:val="32"/>
                <w:highlight w:val="none"/>
                <w14:textFill>
                  <w14:solidFill>
                    <w14:schemeClr w14:val="tx1"/>
                  </w14:solidFill>
                </w14:textFill>
              </w:rPr>
              <w:t>复印件（需加盖招标人单位公章）提交给公共资源交易</w:t>
            </w:r>
            <w:r>
              <w:rPr>
                <w:rFonts w:hint="eastAsia" w:ascii="宋体" w:hAnsi="宋体" w:eastAsia="宋体" w:cs="宋体"/>
                <w:color w:val="000000" w:themeColor="text1"/>
                <w:szCs w:val="32"/>
                <w:highlight w:val="none"/>
                <w:lang w:eastAsia="zh-CN"/>
                <w14:textFill>
                  <w14:solidFill>
                    <w14:schemeClr w14:val="tx1"/>
                  </w14:solidFill>
                </w14:textFill>
              </w:rPr>
              <w:t>中心</w:t>
            </w:r>
            <w:r>
              <w:rPr>
                <w:rFonts w:hint="eastAsia" w:ascii="宋体" w:hAnsi="宋体" w:eastAsia="宋体" w:cs="宋体"/>
                <w:color w:val="000000" w:themeColor="text1"/>
                <w:szCs w:val="32"/>
                <w:highlight w:val="none"/>
                <w14:textFill>
                  <w14:solidFill>
                    <w14:schemeClr w14:val="tx1"/>
                  </w14:solidFill>
                </w14:textFill>
              </w:rPr>
              <w:t>。</w:t>
            </w:r>
            <w:r>
              <w:rPr>
                <w:rFonts w:hint="eastAsia" w:ascii="宋体" w:hAnsi="宋体" w:eastAsia="宋体" w:cs="宋体"/>
                <w:color w:val="000000" w:themeColor="text1"/>
                <w:szCs w:val="32"/>
                <w:highlight w:val="none"/>
                <w:lang w:val="en-US" w:eastAsia="zh-CN"/>
                <w14:textFill>
                  <w14:solidFill>
                    <w14:schemeClr w14:val="tx1"/>
                  </w14:solidFill>
                </w14:textFill>
              </w:rPr>
              <w:t>当</w:t>
            </w:r>
            <w:r>
              <w:rPr>
                <w:rFonts w:hint="eastAsia" w:ascii="宋体" w:hAnsi="宋体" w:eastAsia="宋体" w:cs="宋体"/>
                <w:color w:val="000000" w:themeColor="text1"/>
                <w:szCs w:val="32"/>
                <w:highlight w:val="none"/>
                <w14:textFill>
                  <w14:solidFill>
                    <w14:schemeClr w14:val="tx1"/>
                  </w14:solidFill>
                </w14:textFill>
              </w:rPr>
              <w:t>没有符合前款规定条件的代表，应当全部从</w:t>
            </w:r>
            <w:r>
              <w:rPr>
                <w:rFonts w:hint="eastAsia" w:ascii="宋体" w:hAnsi="宋体" w:eastAsia="宋体" w:cs="宋体"/>
                <w:color w:val="000000" w:themeColor="text1"/>
                <w:szCs w:val="32"/>
                <w:highlight w:val="none"/>
                <w:lang w:val="en-US" w:eastAsia="zh-CN"/>
                <w14:textFill>
                  <w14:solidFill>
                    <w14:schemeClr w14:val="tx1"/>
                  </w14:solidFill>
                </w14:textFill>
              </w:rPr>
              <w:t>福建</w:t>
            </w:r>
            <w:r>
              <w:rPr>
                <w:rFonts w:hint="eastAsia" w:ascii="宋体" w:hAnsi="宋体" w:eastAsia="宋体" w:cs="宋体"/>
                <w:color w:val="000000" w:themeColor="text1"/>
                <w:szCs w:val="32"/>
                <w:highlight w:val="none"/>
                <w14:textFill>
                  <w14:solidFill>
                    <w14:schemeClr w14:val="tx1"/>
                  </w14:solidFill>
                </w14:textFill>
              </w:rPr>
              <w:t>省综合评标专家库中抽取相应的专家。</w:t>
            </w:r>
          </w:p>
        </w:tc>
      </w:tr>
      <w:tr w14:paraId="37838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709" w:type="dxa"/>
            <w:tcBorders>
              <w:tl2br w:val="nil"/>
              <w:tr2bl w:val="nil"/>
            </w:tcBorders>
            <w:vAlign w:val="center"/>
          </w:tcPr>
          <w:p w14:paraId="5B838B50">
            <w:pPr>
              <w:pStyle w:val="13"/>
              <w:snapToGrid w:val="0"/>
              <w:spacing w:line="380" w:lineRule="exact"/>
              <w:ind w:firstLine="0" w:firstLineChars="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2</w:t>
            </w:r>
          </w:p>
        </w:tc>
        <w:tc>
          <w:tcPr>
            <w:tcW w:w="851" w:type="dxa"/>
            <w:tcBorders>
              <w:tl2br w:val="nil"/>
              <w:tr2bl w:val="nil"/>
            </w:tcBorders>
            <w:vAlign w:val="center"/>
          </w:tcPr>
          <w:p w14:paraId="3B37BB45">
            <w:pPr>
              <w:pStyle w:val="13"/>
              <w:snapToGrid w:val="0"/>
              <w:spacing w:line="380" w:lineRule="exact"/>
              <w:ind w:firstLine="0" w:firstLineChars="0"/>
              <w:jc w:val="center"/>
              <w:rPr>
                <w:rFonts w:hint="default" w:ascii="宋体" w:hAnsi="宋体" w:eastAsia="宋体"/>
                <w:color w:val="000000" w:themeColor="text1"/>
                <w:szCs w:val="21"/>
                <w:highlight w:val="none"/>
                <w:lang w:val="en-US"/>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5.1.1</w:t>
            </w:r>
          </w:p>
        </w:tc>
        <w:tc>
          <w:tcPr>
            <w:tcW w:w="1276" w:type="dxa"/>
            <w:tcBorders>
              <w:tl2br w:val="nil"/>
              <w:tr2bl w:val="nil"/>
            </w:tcBorders>
            <w:vAlign w:val="center"/>
          </w:tcPr>
          <w:p w14:paraId="40858DEC">
            <w:pPr>
              <w:pStyle w:val="13"/>
              <w:snapToGrid w:val="0"/>
              <w:spacing w:line="380" w:lineRule="exact"/>
              <w:ind w:firstLine="0" w:firstLineChars="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资格审查标准</w:t>
            </w:r>
          </w:p>
        </w:tc>
        <w:tc>
          <w:tcPr>
            <w:tcW w:w="6705" w:type="dxa"/>
            <w:gridSpan w:val="3"/>
            <w:tcBorders>
              <w:tl2br w:val="nil"/>
              <w:tr2bl w:val="nil"/>
            </w:tcBorders>
            <w:vAlign w:val="top"/>
          </w:tcPr>
          <w:p w14:paraId="0181452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（1）资格审查文件按照招标文件规定的格式填写，内容完整，关键字迹清晰可辨认</w:t>
            </w:r>
            <w:r>
              <w:rPr>
                <w:rStyle w:val="49"/>
                <w:rFonts w:ascii="宋体" w:hAnsi="宋体"/>
                <w:color w:val="000000" w:themeColor="text1"/>
                <w:sz w:val="21"/>
                <w:szCs w:val="21"/>
                <w:highlight w:val="none"/>
                <w14:textFill>
                  <w14:solidFill>
                    <w14:schemeClr w14:val="tx1"/>
                  </w14:solidFill>
                </w14:textFill>
              </w:rPr>
              <w:footnoteReference w:id="58"/>
            </w:r>
            <w:r>
              <w:rPr>
                <w:rFonts w:hint="eastAsia" w:ascii="宋体" w:hAnsi="宋体"/>
                <w:color w:val="000000" w:themeColor="text1"/>
                <w:sz w:val="21"/>
                <w:szCs w:val="21"/>
                <w:highlight w:val="none"/>
                <w14:textFill>
                  <w14:solidFill>
                    <w14:schemeClr w14:val="tx1"/>
                  </w14:solidFill>
                </w14:textFill>
              </w:rPr>
              <w:t>；</w:t>
            </w:r>
          </w:p>
          <w:p w14:paraId="2493D200">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（2）资格审查文件按规定盖章（签字）和签署；</w:t>
            </w:r>
          </w:p>
          <w:p w14:paraId="3677EE8F">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（3）由投标人法定代表人委托代理人签署的，随资格审查文件提供了合法、有效的授权委托书；</w:t>
            </w:r>
          </w:p>
          <w:p w14:paraId="7B7B4BF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（4）投标人具备合格有效营业执照、设计资质证书、勘察资质证书（如有）；投标人名称与营业执照、设计资质证书、勘察资质证书（如有）一致；</w:t>
            </w:r>
          </w:p>
          <w:p w14:paraId="70090B43">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（5）投标人的资质等级符合第二章投标人须知前附表第11项规定；</w:t>
            </w:r>
          </w:p>
          <w:p w14:paraId="24845B41">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（6）投标人拟派项目人员配置的类型、数量和条件符合第二章投标人须知前附表第11项的最低标准；</w:t>
            </w:r>
          </w:p>
          <w:p w14:paraId="187EABB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（7）投标人的类似项目设计业绩满足第二章投标人须知前附表第11项规定；</w:t>
            </w:r>
          </w:p>
          <w:p w14:paraId="7552587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（8）投标人的信用满足第二章投标人须知前附表第11项规定；</w:t>
            </w:r>
          </w:p>
          <w:p w14:paraId="53E4A86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（9）投标人以联合体形式申请投标，符合第二章投标人须知正文第1.</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3款规定，并附上联合体协议书，联合体协议书符合招标文件规定；</w:t>
            </w:r>
          </w:p>
          <w:p w14:paraId="32B87018">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（10）投标人未存在第二章投标人须知正文第</w:t>
            </w:r>
            <w:r>
              <w:rPr>
                <w:rFonts w:hint="eastAsia" w:ascii="宋体" w:hAnsi="宋体"/>
                <w:color w:val="000000" w:themeColor="text1"/>
                <w:sz w:val="21"/>
                <w:szCs w:val="21"/>
                <w:highlight w:val="none"/>
                <w:lang w:val="en-US" w:eastAsia="zh-CN"/>
                <w14:textFill>
                  <w14:solidFill>
                    <w14:schemeClr w14:val="tx1"/>
                  </w14:solidFill>
                </w14:textFill>
              </w:rPr>
              <w:t>1.5.4</w:t>
            </w:r>
            <w:r>
              <w:rPr>
                <w:rFonts w:hint="eastAsia" w:ascii="宋体" w:hAnsi="宋体"/>
                <w:color w:val="000000" w:themeColor="text1"/>
                <w:sz w:val="21"/>
                <w:szCs w:val="21"/>
                <w:highlight w:val="none"/>
                <w14:textFill>
                  <w14:solidFill>
                    <w14:schemeClr w14:val="tx1"/>
                  </w14:solidFill>
                </w14:textFill>
              </w:rPr>
              <w:t>款规定的任一情形；</w:t>
            </w:r>
          </w:p>
          <w:p w14:paraId="43478B6A">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（11）投标人设立的土工试验室满足第二章投标人须知前附表第11项规定；</w:t>
            </w:r>
          </w:p>
          <w:p w14:paraId="437643D3">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（12）采用邀请招标方式的，投标人是招标人确定邀请参加投标的被邀请者； </w:t>
            </w:r>
          </w:p>
          <w:p w14:paraId="44998C21">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（13）投标人未出现以他人的名义投标、串通投标、以行贿手段谋取中标或者以其他弄虚作假方式投标的；未出现反映资格审查文件个性特征的内容出现明显雷同的（若出现，相关投标均无效）；</w:t>
            </w:r>
          </w:p>
          <w:p w14:paraId="3C02FEAE">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w:t>
            </w:r>
            <w:r>
              <w:rPr>
                <w:rFonts w:hint="eastAsia" w:ascii="宋体" w:hAnsi="宋体"/>
                <w:color w:val="000000" w:themeColor="text1"/>
                <w:sz w:val="21"/>
                <w:szCs w:val="21"/>
                <w:highlight w:val="none"/>
                <w:lang w:eastAsia="zh-CN"/>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要求投标人对资格审查文件进行澄清或说明的，投标人的澄清或说明符合正文第</w:t>
            </w:r>
            <w:r>
              <w:rPr>
                <w:rFonts w:hint="eastAsia" w:ascii="宋体" w:hAnsi="宋体"/>
                <w:color w:val="000000" w:themeColor="text1"/>
                <w:sz w:val="21"/>
                <w:szCs w:val="21"/>
                <w:highlight w:val="none"/>
                <w:lang w:val="en-US" w:eastAsia="zh-CN"/>
                <w14:textFill>
                  <w14:solidFill>
                    <w14:schemeClr w14:val="tx1"/>
                  </w14:solidFill>
                </w14:textFill>
              </w:rPr>
              <w:t>5.2</w:t>
            </w:r>
            <w:r>
              <w:rPr>
                <w:rFonts w:hint="eastAsia" w:ascii="宋体" w:hAnsi="宋体"/>
                <w:color w:val="000000" w:themeColor="text1"/>
                <w:sz w:val="21"/>
                <w:szCs w:val="21"/>
                <w:highlight w:val="none"/>
                <w14:textFill>
                  <w14:solidFill>
                    <w14:schemeClr w14:val="tx1"/>
                  </w14:solidFill>
                </w14:textFill>
              </w:rPr>
              <w:t>条规定；</w:t>
            </w:r>
          </w:p>
          <w:p w14:paraId="417E444E">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（15）未存在投标人须知第4.1.4款第（1）目或第（2）目规定的情形；</w:t>
            </w:r>
          </w:p>
          <w:p w14:paraId="4F64E6A0">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（16）未采用除本单位企业</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以外的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（如本单位法定代表人或其他单位的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）加密资格审查文件；</w:t>
            </w:r>
          </w:p>
          <w:p w14:paraId="25F5B450">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（17）资格审查文件记录的计算机硬件信息中，未存在一条及以上的计算机的网卡MAC地址、CPU序列号、数据存储设备序列号空值；</w:t>
            </w:r>
          </w:p>
          <w:p w14:paraId="3C6C8F4F">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baseline"/>
              <w:rPr>
                <w:rFonts w:hint="eastAsia"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（18）资格审查文件未附有</w:t>
            </w:r>
            <w:r>
              <w:rPr>
                <w:rFonts w:hint="eastAsia" w:ascii="宋体" w:hAnsi="宋体"/>
                <w:color w:val="000000" w:themeColor="text1"/>
                <w:sz w:val="21"/>
                <w:szCs w:val="21"/>
                <w:highlight w:val="none"/>
                <w:lang w:eastAsia="zh-CN"/>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不能接受的条件或资料。</w:t>
            </w:r>
          </w:p>
        </w:tc>
      </w:tr>
      <w:tr w14:paraId="6C55A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709" w:type="dxa"/>
            <w:tcBorders>
              <w:tl2br w:val="nil"/>
              <w:tr2bl w:val="nil"/>
            </w:tcBorders>
            <w:vAlign w:val="center"/>
          </w:tcPr>
          <w:p w14:paraId="52975E4A">
            <w:pPr>
              <w:pStyle w:val="13"/>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baseline"/>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3</w:t>
            </w:r>
          </w:p>
        </w:tc>
        <w:tc>
          <w:tcPr>
            <w:tcW w:w="851" w:type="dxa"/>
            <w:tcBorders>
              <w:tl2br w:val="nil"/>
              <w:tr2bl w:val="nil"/>
            </w:tcBorders>
            <w:vAlign w:val="center"/>
          </w:tcPr>
          <w:p w14:paraId="5E156C78">
            <w:pPr>
              <w:pStyle w:val="13"/>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baseline"/>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5.2.1</w:t>
            </w:r>
          </w:p>
          <w:p w14:paraId="06696CE3">
            <w:pPr>
              <w:pStyle w:val="13"/>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baseline"/>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6.3.1</w:t>
            </w:r>
          </w:p>
        </w:tc>
        <w:tc>
          <w:tcPr>
            <w:tcW w:w="1276" w:type="dxa"/>
            <w:tcBorders>
              <w:tl2br w:val="nil"/>
              <w:tr2bl w:val="nil"/>
            </w:tcBorders>
            <w:vAlign w:val="center"/>
          </w:tcPr>
          <w:p w14:paraId="7F65A178">
            <w:pPr>
              <w:pStyle w:val="13"/>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baseline"/>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含资格审查文件</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回复澄清、说明和补正的时限</w:t>
            </w:r>
          </w:p>
        </w:tc>
        <w:tc>
          <w:tcPr>
            <w:tcW w:w="6705" w:type="dxa"/>
            <w:gridSpan w:val="3"/>
            <w:tcBorders>
              <w:tl2br w:val="nil"/>
              <w:tr2bl w:val="nil"/>
            </w:tcBorders>
            <w:vAlign w:val="center"/>
          </w:tcPr>
          <w:p w14:paraId="421D03AE">
            <w:pPr>
              <w:keepNext w:val="0"/>
              <w:keepLines w:val="0"/>
              <w:pageBreakBefore w:val="0"/>
              <w:widowControl w:val="0"/>
              <w:kinsoku/>
              <w:wordWrap/>
              <w:overflowPunct/>
              <w:topLinePunct w:val="0"/>
              <w:autoSpaceDE/>
              <w:autoSpaceDN/>
              <w:bidi w:val="0"/>
              <w:adjustRightInd w:val="0"/>
              <w:spacing w:line="320" w:lineRule="exact"/>
              <w:ind w:firstLine="0" w:firstLineChars="0"/>
              <w:jc w:val="center"/>
              <w:textAlignment w:val="baseline"/>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评标委员会通过电子交易平台发出通</w:t>
            </w:r>
            <w:r>
              <w:rPr>
                <w:rFonts w:hint="eastAsia" w:ascii="宋体" w:hAnsi="宋体"/>
                <w:color w:val="000000" w:themeColor="text1"/>
                <w:sz w:val="21"/>
                <w:szCs w:val="21"/>
                <w:highlight w:val="none"/>
                <w:lang w:val="en-US" w:eastAsia="zh-CN"/>
                <w14:textFill>
                  <w14:solidFill>
                    <w14:schemeClr w14:val="tx1"/>
                  </w14:solidFill>
                </w14:textFill>
              </w:rPr>
              <w:t>知</w:t>
            </w:r>
            <w:r>
              <w:rPr>
                <w:rFonts w:hint="eastAsia" w:ascii="宋体" w:hAnsi="宋体"/>
                <w:color w:val="000000" w:themeColor="text1"/>
                <w:sz w:val="21"/>
                <w:szCs w:val="21"/>
                <w:highlight w:val="none"/>
                <w14:textFill>
                  <w14:solidFill>
                    <w14:schemeClr w14:val="tx1"/>
                  </w14:solidFill>
                </w14:textFill>
              </w:rPr>
              <w:t>后</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分钟内。</w:t>
            </w:r>
          </w:p>
        </w:tc>
      </w:tr>
      <w:tr w14:paraId="3CE75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62" w:hRule="atLeast"/>
        </w:trPr>
        <w:tc>
          <w:tcPr>
            <w:tcW w:w="709" w:type="dxa"/>
            <w:tcBorders>
              <w:tl2br w:val="nil"/>
              <w:tr2bl w:val="nil"/>
            </w:tcBorders>
            <w:vAlign w:val="center"/>
          </w:tcPr>
          <w:p w14:paraId="5C9FA710">
            <w:pPr>
              <w:pStyle w:val="13"/>
              <w:snapToGrid w:val="0"/>
              <w:spacing w:line="380" w:lineRule="exact"/>
              <w:ind w:firstLine="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4</w:t>
            </w:r>
          </w:p>
        </w:tc>
        <w:tc>
          <w:tcPr>
            <w:tcW w:w="851" w:type="dxa"/>
            <w:tcBorders>
              <w:tl2br w:val="nil"/>
              <w:tr2bl w:val="nil"/>
            </w:tcBorders>
            <w:vAlign w:val="center"/>
          </w:tcPr>
          <w:p w14:paraId="6735BC40">
            <w:pPr>
              <w:pStyle w:val="13"/>
              <w:snapToGrid w:val="0"/>
              <w:spacing w:line="380" w:lineRule="exact"/>
              <w:ind w:firstLine="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6.1</w:t>
            </w:r>
          </w:p>
        </w:tc>
        <w:tc>
          <w:tcPr>
            <w:tcW w:w="1276" w:type="dxa"/>
            <w:tcBorders>
              <w:tl2br w:val="nil"/>
              <w:tr2bl w:val="nil"/>
            </w:tcBorders>
            <w:vAlign w:val="center"/>
          </w:tcPr>
          <w:p w14:paraId="178D86D6">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符合性检查和响应性评审</w:t>
            </w:r>
          </w:p>
        </w:tc>
        <w:tc>
          <w:tcPr>
            <w:tcW w:w="6705" w:type="dxa"/>
            <w:gridSpan w:val="3"/>
            <w:tcBorders>
              <w:tl2br w:val="nil"/>
              <w:tr2bl w:val="nil"/>
            </w:tcBorders>
            <w:vAlign w:val="center"/>
          </w:tcPr>
          <w:p w14:paraId="292EBCAF">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（1）投标文件按照招标文件规定的格式填写，内容完整，关键字迹清晰可辨认</w:t>
            </w:r>
            <w:r>
              <w:rPr>
                <w:rStyle w:val="49"/>
                <w:rFonts w:ascii="宋体" w:hAnsi="宋体"/>
                <w:color w:val="000000" w:themeColor="text1"/>
                <w:sz w:val="21"/>
                <w:szCs w:val="21"/>
                <w:highlight w:val="none"/>
                <w14:textFill>
                  <w14:solidFill>
                    <w14:schemeClr w14:val="tx1"/>
                  </w14:solidFill>
                </w14:textFill>
              </w:rPr>
              <w:footnoteReference w:id="59"/>
            </w:r>
            <w:r>
              <w:rPr>
                <w:rFonts w:hint="eastAsia" w:ascii="宋体" w:hAnsi="宋体"/>
                <w:color w:val="000000" w:themeColor="text1"/>
                <w:sz w:val="21"/>
                <w:szCs w:val="21"/>
                <w:highlight w:val="none"/>
                <w14:textFill>
                  <w14:solidFill>
                    <w14:schemeClr w14:val="tx1"/>
                  </w14:solidFill>
                </w14:textFill>
              </w:rPr>
              <w:t>；</w:t>
            </w:r>
          </w:p>
          <w:p w14:paraId="554B16D4">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（2）投标文件按规定盖章（签字）和签署；</w:t>
            </w:r>
          </w:p>
          <w:p w14:paraId="2A284E53">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（3）由投标人法定代表人委托代理人签署的，随投标文件提供了合法、有效的授权委托书（与资格审查文件一致的可以不再提交）；</w:t>
            </w:r>
          </w:p>
          <w:p w14:paraId="1E5222C4">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（4）投标保证金符合招标文件规定；</w:t>
            </w:r>
          </w:p>
          <w:p w14:paraId="59BB3B4E">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（5）投标文件中标明的投标人名称或者组织结构与资格审查时一致，拟担任本设计项目负责人与资格审查时一致；</w:t>
            </w:r>
          </w:p>
          <w:p w14:paraId="6F0DC68D">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（6）设计（勘察）服务期限未超过招标文件规定的期限；</w:t>
            </w:r>
          </w:p>
          <w:p w14:paraId="45D0D2CC">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（7）设计（勘察）质量标准符合招标文件规定的标准；</w:t>
            </w:r>
          </w:p>
          <w:p w14:paraId="4DB19FD0">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设计费报价金额（允许的浮动幅度值范围）未超过招标人公布的设计费最高投标报价限价（允许的浮动幅度值范围）；招标内容包含勘察的，其勘察费的投标报价金额（允许的浮动幅度值范围）未超过招标人公布的勘察费最高投标报价限价（允许的浮动幅度值范围）；投标人按招标文件要求对设计费和勘察费（如有时）的全部费用做出完整报价；</w:t>
            </w:r>
          </w:p>
          <w:p w14:paraId="1E0DA497">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（9）投标有效期满足招标文件要求；</w:t>
            </w:r>
          </w:p>
          <w:p w14:paraId="7B44FB1D">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（10）采用暗标形式的，投标文件中不得体现投标人名称、具体人名，不得体现投标人承担过的工程项目名称，不得体现其他可以判定投标人的标识或文字；</w:t>
            </w:r>
          </w:p>
          <w:p w14:paraId="5422E23F">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（11）投标人不得递交两份或者多份内容不同的投标文件，但按照招标文件规定</w:t>
            </w:r>
            <w:r>
              <w:rPr>
                <w:rFonts w:hint="eastAsia" w:ascii="宋体" w:hAnsi="宋体"/>
                <w:color w:val="000000" w:themeColor="text1"/>
                <w:sz w:val="21"/>
                <w:szCs w:val="21"/>
                <w:highlight w:val="none"/>
                <w:lang w:eastAsia="zh-CN"/>
                <w14:textFill>
                  <w14:solidFill>
                    <w14:schemeClr w14:val="tx1"/>
                  </w14:solidFill>
                </w14:textFill>
              </w:rPr>
              <w:t>递交备选</w:t>
            </w:r>
            <w:r>
              <w:rPr>
                <w:rFonts w:hint="eastAsia" w:ascii="宋体" w:hAnsi="宋体"/>
                <w:color w:val="000000" w:themeColor="text1"/>
                <w:sz w:val="21"/>
                <w:szCs w:val="21"/>
                <w:highlight w:val="none"/>
                <w14:textFill>
                  <w14:solidFill>
                    <w14:schemeClr w14:val="tx1"/>
                  </w14:solidFill>
                </w14:textFill>
              </w:rPr>
              <w:t>投标方案的除外；</w:t>
            </w:r>
          </w:p>
          <w:p w14:paraId="478E67C6">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（12）投标人未出现以他人的名义投标、串通投标、以行贿手段谋取中标或者以其他弄虚作假方式投标的；未出现反映投标文件个性特征的内容出现明显雷同的（若出现，相关投标均无效）；</w:t>
            </w:r>
          </w:p>
          <w:p w14:paraId="7E6A235D">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（13）评标委员会要求投标人对投标文件进行澄清和补正的，投标人的澄清和补正符合正文第</w:t>
            </w:r>
            <w:r>
              <w:rPr>
                <w:rFonts w:hint="eastAsia" w:ascii="宋体" w:hAnsi="宋体"/>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条规定；</w:t>
            </w:r>
          </w:p>
          <w:p w14:paraId="07861542">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（14）未存在投标人须知第4.1.4款第（1）目或第（2）目或第（3）目规定的情形；</w:t>
            </w:r>
          </w:p>
          <w:p w14:paraId="2C279479">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（15）未采用除本单位企业</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以外的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（如本单位法定代表人或其他单位的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）加密投标文件；</w:t>
            </w:r>
          </w:p>
          <w:p w14:paraId="7BABDCD5">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（16）电子投标文件记录的计算机硬件信息中，未存在一条及以上的计算机的网卡MAC地址、CPU序列号、数据存储设备序列号空值；</w:t>
            </w:r>
          </w:p>
          <w:p w14:paraId="33AC2074">
            <w:pPr>
              <w:snapToGrid w:val="0"/>
              <w:spacing w:line="380" w:lineRule="exact"/>
              <w:ind w:firstLine="315" w:firstLineChars="1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（17）投标文件未附有评标委员会不能接受的条件或资料。</w:t>
            </w:r>
          </w:p>
        </w:tc>
      </w:tr>
      <w:tr w14:paraId="06677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709" w:type="dxa"/>
            <w:tcBorders>
              <w:tl2br w:val="nil"/>
              <w:tr2bl w:val="nil"/>
            </w:tcBorders>
            <w:vAlign w:val="center"/>
          </w:tcPr>
          <w:p w14:paraId="703F37DA">
            <w:pPr>
              <w:pStyle w:val="13"/>
              <w:snapToGrid w:val="0"/>
              <w:spacing w:line="380" w:lineRule="exact"/>
              <w:ind w:firstLine="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w:t>
            </w:r>
          </w:p>
        </w:tc>
        <w:tc>
          <w:tcPr>
            <w:tcW w:w="851" w:type="dxa"/>
            <w:tcBorders>
              <w:tl2br w:val="nil"/>
              <w:tr2bl w:val="nil"/>
            </w:tcBorders>
            <w:vAlign w:val="center"/>
          </w:tcPr>
          <w:p w14:paraId="12D2BDE1">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6.2</w:t>
            </w:r>
            <w:r>
              <w:rPr>
                <w:rFonts w:hint="eastAsia" w:ascii="宋体" w:hAnsi="宋体" w:eastAsia="宋体"/>
                <w:color w:val="000000" w:themeColor="text1"/>
                <w:szCs w:val="21"/>
                <w:highlight w:val="none"/>
                <w14:textFill>
                  <w14:solidFill>
                    <w14:schemeClr w14:val="tx1"/>
                  </w14:solidFill>
                </w14:textFill>
              </w:rPr>
              <w:t>.1</w:t>
            </w:r>
          </w:p>
        </w:tc>
        <w:tc>
          <w:tcPr>
            <w:tcW w:w="1276" w:type="dxa"/>
            <w:tcBorders>
              <w:tl2br w:val="nil"/>
              <w:tr2bl w:val="nil"/>
            </w:tcBorders>
            <w:vAlign w:val="center"/>
          </w:tcPr>
          <w:p w14:paraId="0AF52801">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分值构成（总分100分）</w:t>
            </w:r>
          </w:p>
        </w:tc>
        <w:tc>
          <w:tcPr>
            <w:tcW w:w="6705" w:type="dxa"/>
            <w:gridSpan w:val="3"/>
            <w:tcBorders>
              <w:tl2br w:val="nil"/>
              <w:tr2bl w:val="nil"/>
            </w:tcBorders>
            <w:vAlign w:val="center"/>
          </w:tcPr>
          <w:p w14:paraId="44095223">
            <w:pPr>
              <w:tabs>
                <w:tab w:val="left" w:pos="510"/>
              </w:tabs>
              <w:adjustRightInd/>
              <w:spacing w:line="360" w:lineRule="auto"/>
              <w:ind w:firstLine="420" w:firstLineChars="200"/>
              <w:jc w:val="left"/>
              <w:textAlignment w:val="auto"/>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（1）技术部分：75 分，</w:t>
            </w:r>
          </w:p>
          <w:p w14:paraId="66A97775">
            <w:pPr>
              <w:tabs>
                <w:tab w:val="left" w:pos="510"/>
              </w:tabs>
              <w:adjustRightInd/>
              <w:spacing w:line="360" w:lineRule="auto"/>
              <w:ind w:firstLine="420" w:firstLineChars="200"/>
              <w:jc w:val="left"/>
              <w:textAlignment w:val="auto"/>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（2）商务部分：10 分，</w:t>
            </w:r>
          </w:p>
          <w:p w14:paraId="6D02FCBC">
            <w:pPr>
              <w:tabs>
                <w:tab w:val="left" w:pos="510"/>
              </w:tabs>
              <w:adjustRightInd/>
              <w:spacing w:line="360" w:lineRule="auto"/>
              <w:ind w:firstLine="420" w:firstLineChars="200"/>
              <w:jc w:val="left"/>
              <w:textAlignment w:val="auto"/>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（3）企业信用部分：15 分。</w:t>
            </w:r>
          </w:p>
        </w:tc>
      </w:tr>
      <w:tr w14:paraId="1C976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09" w:type="dxa"/>
            <w:tcBorders>
              <w:tl2br w:val="nil"/>
              <w:tr2bl w:val="nil"/>
            </w:tcBorders>
            <w:vAlign w:val="center"/>
          </w:tcPr>
          <w:p w14:paraId="41735765">
            <w:pPr>
              <w:pStyle w:val="13"/>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项号</w:t>
            </w:r>
          </w:p>
        </w:tc>
        <w:tc>
          <w:tcPr>
            <w:tcW w:w="851" w:type="dxa"/>
            <w:tcBorders>
              <w:tl2br w:val="nil"/>
              <w:tr2bl w:val="nil"/>
            </w:tcBorders>
            <w:vAlign w:val="center"/>
          </w:tcPr>
          <w:p w14:paraId="23B0DE24">
            <w:pPr>
              <w:pStyle w:val="13"/>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条款号</w:t>
            </w:r>
          </w:p>
        </w:tc>
        <w:tc>
          <w:tcPr>
            <w:tcW w:w="1276" w:type="dxa"/>
            <w:tcBorders>
              <w:tl2br w:val="nil"/>
              <w:tr2bl w:val="nil"/>
            </w:tcBorders>
            <w:vAlign w:val="center"/>
          </w:tcPr>
          <w:p w14:paraId="7B68AE88">
            <w:pPr>
              <w:pStyle w:val="13"/>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条款名称</w:t>
            </w:r>
          </w:p>
        </w:tc>
        <w:tc>
          <w:tcPr>
            <w:tcW w:w="708" w:type="dxa"/>
            <w:tcBorders>
              <w:tl2br w:val="nil"/>
              <w:tr2bl w:val="nil"/>
            </w:tcBorders>
            <w:vAlign w:val="center"/>
          </w:tcPr>
          <w:p w14:paraId="07C96293">
            <w:pPr>
              <w:keepNext w:val="0"/>
              <w:keepLines w:val="0"/>
              <w:pageBreakBefore w:val="0"/>
              <w:widowControl w:val="0"/>
              <w:tabs>
                <w:tab w:val="left" w:pos="510"/>
              </w:tabs>
              <w:kinsoku/>
              <w:wordWrap/>
              <w:overflowPunct/>
              <w:topLinePunct w:val="0"/>
              <w:autoSpaceDE/>
              <w:autoSpaceDN/>
              <w:bidi w:val="0"/>
              <w:adjustRightInd/>
              <w:snapToGrid/>
              <w:spacing w:line="240" w:lineRule="auto"/>
              <w:ind w:firstLine="33" w:firstLineChars="16"/>
              <w:jc w:val="center"/>
              <w:textAlignment w:val="auto"/>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评分因素</w:t>
            </w:r>
          </w:p>
        </w:tc>
        <w:tc>
          <w:tcPr>
            <w:tcW w:w="2127" w:type="dxa"/>
            <w:tcBorders>
              <w:tl2br w:val="nil"/>
              <w:tr2bl w:val="nil"/>
            </w:tcBorders>
            <w:vAlign w:val="center"/>
          </w:tcPr>
          <w:p w14:paraId="420875B9">
            <w:pPr>
              <w:tabs>
                <w:tab w:val="left" w:pos="510"/>
              </w:tabs>
              <w:adjustRightInd/>
              <w:spacing w:line="360" w:lineRule="auto"/>
              <w:ind w:firstLine="33" w:firstLineChars="16"/>
              <w:jc w:val="center"/>
              <w:textAlignment w:val="auto"/>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分值</w:t>
            </w:r>
          </w:p>
        </w:tc>
        <w:tc>
          <w:tcPr>
            <w:tcW w:w="3870" w:type="dxa"/>
            <w:tcBorders>
              <w:tl2br w:val="nil"/>
              <w:tr2bl w:val="nil"/>
            </w:tcBorders>
            <w:vAlign w:val="center"/>
          </w:tcPr>
          <w:p w14:paraId="525B8E30">
            <w:pPr>
              <w:tabs>
                <w:tab w:val="left" w:pos="510"/>
              </w:tabs>
              <w:adjustRightInd/>
              <w:spacing w:line="360" w:lineRule="auto"/>
              <w:ind w:firstLine="33" w:firstLineChars="16"/>
              <w:jc w:val="center"/>
              <w:textAlignment w:val="auto"/>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评分标准</w:t>
            </w:r>
          </w:p>
        </w:tc>
      </w:tr>
      <w:tr w14:paraId="3391C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restart"/>
            <w:tcBorders>
              <w:tl2br w:val="nil"/>
              <w:tr2bl w:val="nil"/>
            </w:tcBorders>
            <w:vAlign w:val="center"/>
          </w:tcPr>
          <w:p w14:paraId="2E15F0DB">
            <w:pPr>
              <w:pStyle w:val="13"/>
              <w:snapToGrid w:val="0"/>
              <w:spacing w:line="380" w:lineRule="exact"/>
              <w:ind w:firstLine="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w:t>
            </w:r>
          </w:p>
        </w:tc>
        <w:tc>
          <w:tcPr>
            <w:tcW w:w="851" w:type="dxa"/>
            <w:vMerge w:val="restart"/>
            <w:tcBorders>
              <w:tl2br w:val="nil"/>
              <w:tr2bl w:val="nil"/>
            </w:tcBorders>
            <w:vAlign w:val="center"/>
          </w:tcPr>
          <w:p w14:paraId="57FE43C1">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6.2</w:t>
            </w:r>
            <w:r>
              <w:rPr>
                <w:rFonts w:hint="eastAsia" w:ascii="宋体" w:hAnsi="宋体" w:eastAsia="宋体"/>
                <w:color w:val="000000" w:themeColor="text1"/>
                <w:szCs w:val="21"/>
                <w:highlight w:val="none"/>
                <w14:textFill>
                  <w14:solidFill>
                    <w14:schemeClr w14:val="tx1"/>
                  </w14:solidFill>
                </w14:textFill>
              </w:rPr>
              <w:t>.2（1）</w:t>
            </w:r>
          </w:p>
        </w:tc>
        <w:tc>
          <w:tcPr>
            <w:tcW w:w="1276" w:type="dxa"/>
            <w:vMerge w:val="restart"/>
            <w:tcBorders>
              <w:tl2br w:val="nil"/>
              <w:tr2bl w:val="nil"/>
            </w:tcBorders>
            <w:vAlign w:val="center"/>
          </w:tcPr>
          <w:p w14:paraId="7B282A5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□房屋建筑工程-技术文件评分标准（总分75</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分）</w:t>
            </w:r>
          </w:p>
        </w:tc>
        <w:tc>
          <w:tcPr>
            <w:tcW w:w="708" w:type="dxa"/>
            <w:tcBorders>
              <w:tl2br w:val="nil"/>
              <w:tr2bl w:val="nil"/>
            </w:tcBorders>
            <w:vAlign w:val="center"/>
          </w:tcPr>
          <w:p w14:paraId="4FFEAA30">
            <w:pPr>
              <w:tabs>
                <w:tab w:val="left" w:pos="510"/>
              </w:tabs>
              <w:adjustRightInd/>
              <w:spacing w:line="240" w:lineRule="auto"/>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构思创意</w:t>
            </w:r>
          </w:p>
        </w:tc>
        <w:tc>
          <w:tcPr>
            <w:tcW w:w="2127" w:type="dxa"/>
            <w:tcBorders>
              <w:tl2br w:val="nil"/>
              <w:tr2bl w:val="nil"/>
            </w:tcBorders>
            <w:vAlign w:val="center"/>
          </w:tcPr>
          <w:p w14:paraId="488BA5CB">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7F806705">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643D9969">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835582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E4F0A26">
            <w:pPr>
              <w:tabs>
                <w:tab w:val="left" w:pos="510"/>
              </w:tabs>
              <w:adjustRightInd/>
              <w:spacing w:line="240" w:lineRule="auto"/>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201F90C8">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（1）总平布局合理性（设计指导思想、设计原则、设计策略等合理性与前瞻性，全面性）</w:t>
            </w:r>
          </w:p>
          <w:p w14:paraId="10131F69">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（2）与周边环境（含市政环境，建筑环境，景观环境）协调以及优化程度</w:t>
            </w:r>
          </w:p>
          <w:p w14:paraId="6E770D1B">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5C13A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0CEFACED">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58C27127">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7B378DFC">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10F7114A">
            <w:pPr>
              <w:tabs>
                <w:tab w:val="left" w:pos="510"/>
              </w:tabs>
              <w:adjustRightInd/>
              <w:spacing w:line="240" w:lineRule="auto"/>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功能布局</w:t>
            </w:r>
          </w:p>
        </w:tc>
        <w:tc>
          <w:tcPr>
            <w:tcW w:w="2127" w:type="dxa"/>
            <w:tcBorders>
              <w:tl2br w:val="nil"/>
              <w:tr2bl w:val="nil"/>
            </w:tcBorders>
            <w:vAlign w:val="center"/>
          </w:tcPr>
          <w:p w14:paraId="184F0D18">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5892EEE8">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2934E518">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D58599D">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E3EF4EA">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17201718">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s="Arial"/>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功能分区的合理性</w:t>
            </w:r>
          </w:p>
          <w:p w14:paraId="46D73B4F">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（2）建筑内部功能布局和各种出入口、垂直交通运输设施（包括楼梯、电梯）的布局情况</w:t>
            </w:r>
          </w:p>
          <w:p w14:paraId="3B93BF5E">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（3）建筑与建筑之间以及建筑内部空间效果（尺度，形态，光线，颜色，材料以及人在空间里的活动）</w:t>
            </w:r>
          </w:p>
          <w:p w14:paraId="643F7BA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4424F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5D171700">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471467C7">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73484187">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340D7FDF">
            <w:pPr>
              <w:tabs>
                <w:tab w:val="left" w:pos="510"/>
              </w:tabs>
              <w:adjustRightInd/>
              <w:spacing w:line="240" w:lineRule="auto"/>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造型风貌</w:t>
            </w:r>
          </w:p>
        </w:tc>
        <w:tc>
          <w:tcPr>
            <w:tcW w:w="2127" w:type="dxa"/>
            <w:tcBorders>
              <w:tl2br w:val="nil"/>
              <w:tr2bl w:val="nil"/>
            </w:tcBorders>
            <w:vAlign w:val="center"/>
          </w:tcPr>
          <w:p w14:paraId="20E710A0">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3D75E9AB">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2AB1601">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0D37E76">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1E2F4F2">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484082E8">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建筑设计整体造型及整体美观情况，不同视角的外立面造型效果，体现建筑特征（建筑造型与建筑类型匹配、不过分追求新奇特，建筑色彩和谐，标志性建筑与周边建筑协调）</w:t>
            </w:r>
          </w:p>
          <w:p w14:paraId="3D250F19">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23898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4395F5C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55729E9E">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0DE69F3C">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2F79F861">
            <w:pPr>
              <w:tabs>
                <w:tab w:val="left" w:pos="510"/>
              </w:tabs>
              <w:adjustRightInd/>
              <w:spacing w:line="240" w:lineRule="auto"/>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交通流线</w:t>
            </w:r>
          </w:p>
        </w:tc>
        <w:tc>
          <w:tcPr>
            <w:tcW w:w="2127" w:type="dxa"/>
            <w:tcBorders>
              <w:tl2br w:val="nil"/>
              <w:tr2bl w:val="nil"/>
            </w:tcBorders>
            <w:vAlign w:val="center"/>
          </w:tcPr>
          <w:p w14:paraId="3278AB8B">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7638FA44">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C07807E">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19430D7">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9B4A7D9">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4C18F6CB">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（1）人流组织及竖向交通合理性</w:t>
            </w:r>
          </w:p>
          <w:p w14:paraId="28D8FDE6">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（2）防火和安全疏散设计的合理性</w:t>
            </w:r>
          </w:p>
          <w:p w14:paraId="633FDD65">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2C01E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3980AB25">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3F81E626">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6A342377">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0EEDED63">
            <w:pPr>
              <w:tabs>
                <w:tab w:val="left" w:pos="510"/>
              </w:tabs>
              <w:adjustRightInd/>
              <w:spacing w:line="240" w:lineRule="auto"/>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技术可行性</w:t>
            </w:r>
          </w:p>
        </w:tc>
        <w:tc>
          <w:tcPr>
            <w:tcW w:w="2127" w:type="dxa"/>
            <w:tcBorders>
              <w:tl2br w:val="nil"/>
              <w:tr2bl w:val="nil"/>
            </w:tcBorders>
            <w:vAlign w:val="center"/>
          </w:tcPr>
          <w:p w14:paraId="34E2FE27">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0527A353">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8108F00">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7332D10">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299022E">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41B43022">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w:t>
            </w:r>
            <w:r>
              <w:rPr>
                <w:rFonts w:ascii="宋体" w:hAnsi="宋体"/>
                <w:color w:val="000000" w:themeColor="text1"/>
                <w:sz w:val="18"/>
                <w:szCs w:val="18"/>
                <w:highlight w:val="none"/>
                <w14:textFill>
                  <w14:solidFill>
                    <w14:schemeClr w14:val="tx1"/>
                  </w14:solidFill>
                </w14:textFill>
              </w:rPr>
              <w:t>满足消防间距要求</w:t>
            </w:r>
            <w:r>
              <w:rPr>
                <w:rFonts w:hint="eastAsia" w:ascii="宋体" w:hAnsi="宋体"/>
                <w:color w:val="000000" w:themeColor="text1"/>
                <w:sz w:val="18"/>
                <w:szCs w:val="18"/>
                <w:highlight w:val="none"/>
                <w14:textFill>
                  <w14:solidFill>
                    <w14:schemeClr w14:val="tx1"/>
                  </w14:solidFill>
                </w14:textFill>
              </w:rPr>
              <w:t>的情况</w:t>
            </w:r>
          </w:p>
          <w:p w14:paraId="4F5275F1">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w:t>
            </w:r>
            <w:r>
              <w:rPr>
                <w:rFonts w:ascii="宋体" w:hAnsi="宋体"/>
                <w:color w:val="000000" w:themeColor="text1"/>
                <w:sz w:val="18"/>
                <w:szCs w:val="18"/>
                <w:highlight w:val="none"/>
                <w14:textFill>
                  <w14:solidFill>
                    <w14:schemeClr w14:val="tx1"/>
                  </w14:solidFill>
                </w14:textFill>
              </w:rPr>
              <w:t>满足日照间距要求</w:t>
            </w:r>
            <w:r>
              <w:rPr>
                <w:rFonts w:hint="eastAsia" w:ascii="宋体" w:hAnsi="宋体"/>
                <w:color w:val="000000" w:themeColor="text1"/>
                <w:sz w:val="18"/>
                <w:szCs w:val="18"/>
                <w:highlight w:val="none"/>
                <w14:textFill>
                  <w14:solidFill>
                    <w14:schemeClr w14:val="tx1"/>
                  </w14:solidFill>
                </w14:textFill>
              </w:rPr>
              <w:t>的情况</w:t>
            </w:r>
          </w:p>
          <w:p w14:paraId="694C448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（3）结构设计的先进性及经济合理性</w:t>
            </w:r>
          </w:p>
          <w:p w14:paraId="5F5999F4">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（4）建筑结构体系，柱网布置</w:t>
            </w:r>
          </w:p>
          <w:p w14:paraId="09A98789">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（5）结构设计的安全性、施工便利性</w:t>
            </w:r>
          </w:p>
          <w:p w14:paraId="68D20AE8">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（6）软基处理方案的合理性、科学性</w:t>
            </w:r>
          </w:p>
          <w:p w14:paraId="75681B7F">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（7）工程投资估算技术经济指标的合理性</w:t>
            </w:r>
          </w:p>
          <w:p w14:paraId="26F59C33">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（8）水、暖、电、智能化等各专业说明详尽、针对性强，体现新技术的应用</w:t>
            </w:r>
          </w:p>
          <w:p w14:paraId="00F87E5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（9）绿色节能措施的合理性及科学性</w:t>
            </w:r>
          </w:p>
          <w:p w14:paraId="610343FC">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7B692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17394881">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4DBE19AB">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7DC2FB1E">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3A74CC0C">
            <w:pPr>
              <w:tabs>
                <w:tab w:val="left" w:pos="510"/>
              </w:tabs>
              <w:adjustRightInd/>
              <w:spacing w:line="240" w:lineRule="auto"/>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经济适宜性</w:t>
            </w:r>
          </w:p>
        </w:tc>
        <w:tc>
          <w:tcPr>
            <w:tcW w:w="2127" w:type="dxa"/>
            <w:tcBorders>
              <w:tl2br w:val="nil"/>
              <w:tr2bl w:val="nil"/>
            </w:tcBorders>
            <w:vAlign w:val="center"/>
          </w:tcPr>
          <w:p w14:paraId="65845D34">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4FD4BE58">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1AFF219E">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18E2EE05">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631FD188">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6DB2D587">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（1）材料选择的合理性及科学性</w:t>
            </w:r>
          </w:p>
          <w:p w14:paraId="3D7C8A99">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（2）本工程建成后运营的经济性，便利性</w:t>
            </w:r>
          </w:p>
          <w:p w14:paraId="56BD7D47">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4876C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2ED4C0FD">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74C2F782">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1FC71DB3">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7039FB67">
            <w:pPr>
              <w:tabs>
                <w:tab w:val="left" w:pos="510"/>
              </w:tabs>
              <w:adjustRightInd/>
              <w:spacing w:line="240" w:lineRule="auto"/>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BIM技术应用（如有）</w:t>
            </w:r>
          </w:p>
        </w:tc>
        <w:tc>
          <w:tcPr>
            <w:tcW w:w="2127" w:type="dxa"/>
            <w:tcBorders>
              <w:tl2br w:val="nil"/>
              <w:tr2bl w:val="nil"/>
            </w:tcBorders>
            <w:vAlign w:val="center"/>
          </w:tcPr>
          <w:p w14:paraId="650CD822">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3 </w:t>
            </w:r>
            <w:r>
              <w:rPr>
                <w:rFonts w:hint="eastAsia" w:ascii="宋体" w:hAnsi="宋体"/>
                <w:color w:val="000000" w:themeColor="text1"/>
                <w:kern w:val="2"/>
                <w:sz w:val="18"/>
                <w:szCs w:val="18"/>
                <w:highlight w:val="none"/>
                <w14:textFill>
                  <w14:solidFill>
                    <w14:schemeClr w14:val="tx1"/>
                  </w14:solidFill>
                </w14:textFill>
              </w:rPr>
              <w:t>分</w:t>
            </w:r>
          </w:p>
          <w:p w14:paraId="5056D39B">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D6D1D44">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EE56677">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2443D7F">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0FD99084">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根据以上设计方案内容在BIM技术的应用情况进行评分。</w:t>
            </w:r>
          </w:p>
        </w:tc>
      </w:tr>
      <w:tr w14:paraId="4A273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09" w:type="dxa"/>
            <w:vMerge w:val="continue"/>
            <w:tcBorders>
              <w:tl2br w:val="nil"/>
              <w:tr2bl w:val="nil"/>
            </w:tcBorders>
            <w:vAlign w:val="center"/>
          </w:tcPr>
          <w:p w14:paraId="5AC2C2A0">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66363784">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0FE85961">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64CA13C4">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勘察纲要可行性（如有）</w:t>
            </w:r>
          </w:p>
        </w:tc>
        <w:tc>
          <w:tcPr>
            <w:tcW w:w="2127" w:type="dxa"/>
            <w:tcBorders>
              <w:tl2br w:val="nil"/>
              <w:tr2bl w:val="nil"/>
            </w:tcBorders>
            <w:vAlign w:val="center"/>
          </w:tcPr>
          <w:p w14:paraId="5F8D09A9">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12DEA4D6">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607140FA">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A597A0C">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F274CA4">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5E13412C">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（1）按照设计方案提出勘察布孔方案，并提出对地质调查、勘探与取样、原位测试、工程物探、室内试验等工作技术要求。</w:t>
            </w:r>
          </w:p>
          <w:p w14:paraId="002F467B">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（2）编制勘察纲要质量控制措施，现场技术交底对测量、钻探、取样、原位测试、物探、室内试验、内业资料整理及分析评价等工作提出质量保证措施。</w:t>
            </w:r>
          </w:p>
          <w:p w14:paraId="4FB10368">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（3）提出的满足招标项目安全技术措施和作业安全应急预案。</w:t>
            </w:r>
          </w:p>
          <w:p w14:paraId="354F1A95">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（4）制定满足招标项目要求的工期进度计划和保证措施。</w:t>
            </w:r>
          </w:p>
          <w:p w14:paraId="0A2BB0B1">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（5）提出招标项目勘察工作的创新思路。</w:t>
            </w:r>
          </w:p>
          <w:p w14:paraId="2C4F9E17">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0D0AB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5D8A2FFB">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restart"/>
            <w:tcBorders>
              <w:tl2br w:val="nil"/>
              <w:tr2bl w:val="nil"/>
            </w:tcBorders>
            <w:vAlign w:val="center"/>
          </w:tcPr>
          <w:p w14:paraId="14484289">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6.2</w:t>
            </w:r>
            <w:r>
              <w:rPr>
                <w:rFonts w:hint="eastAsia" w:ascii="宋体" w:hAnsi="宋体" w:eastAsia="宋体"/>
                <w:color w:val="000000" w:themeColor="text1"/>
                <w:szCs w:val="21"/>
                <w:highlight w:val="none"/>
                <w14:textFill>
                  <w14:solidFill>
                    <w14:schemeClr w14:val="tx1"/>
                  </w14:solidFill>
                </w14:textFill>
              </w:rPr>
              <w:t>.2（1）</w:t>
            </w:r>
          </w:p>
        </w:tc>
        <w:tc>
          <w:tcPr>
            <w:tcW w:w="1276" w:type="dxa"/>
            <w:vMerge w:val="restart"/>
            <w:tcBorders>
              <w:tl2br w:val="nil"/>
              <w:tr2bl w:val="nil"/>
            </w:tcBorders>
            <w:vAlign w:val="center"/>
          </w:tcPr>
          <w:p w14:paraId="03AA3BA2">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□市政基础设施工程-技术文件评分标准（总分75分）</w:t>
            </w:r>
          </w:p>
        </w:tc>
        <w:tc>
          <w:tcPr>
            <w:tcW w:w="708" w:type="dxa"/>
            <w:tcBorders>
              <w:tl2br w:val="nil"/>
              <w:tr2bl w:val="nil"/>
            </w:tcBorders>
            <w:vAlign w:val="center"/>
          </w:tcPr>
          <w:p w14:paraId="0E7D3E7F">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项目总体理解及概述</w:t>
            </w:r>
          </w:p>
        </w:tc>
        <w:tc>
          <w:tcPr>
            <w:tcW w:w="2127" w:type="dxa"/>
            <w:tcBorders>
              <w:tl2br w:val="nil"/>
              <w:tr2bl w:val="nil"/>
            </w:tcBorders>
            <w:vAlign w:val="center"/>
          </w:tcPr>
          <w:p w14:paraId="2735E56A">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2D00D616">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4051C695">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64FF3D50">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4827FCE2">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4EC6B5B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正确理解并执行规划建设意图，与周边路网、管网规划协调一致；对区域内路网的交通组织完善合理，总体思路清晰；路线平、纵、横等设计科学合理；道路、桥涵、排水之间的关系处理得当</w:t>
            </w:r>
          </w:p>
          <w:p w14:paraId="2D8F9D05">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243C3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1B311873">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7A339905">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3A440CF2">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173BA32D">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交叉节点</w:t>
            </w:r>
          </w:p>
        </w:tc>
        <w:tc>
          <w:tcPr>
            <w:tcW w:w="2127" w:type="dxa"/>
            <w:tcBorders>
              <w:tl2br w:val="nil"/>
              <w:tr2bl w:val="nil"/>
            </w:tcBorders>
            <w:vAlign w:val="center"/>
          </w:tcPr>
          <w:p w14:paraId="610F70E3">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28FD4E30">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1629870">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4F47DAD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1074B7CD">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394BEF83">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交叉节点功能定位合理；平、纵、横等设计指标符合规范且标准较高，技术措施优良</w:t>
            </w:r>
          </w:p>
          <w:p w14:paraId="5B689810">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20CBB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057B26C7">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6029F6FC">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556DC742">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12015BC7">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桥梁</w:t>
            </w:r>
          </w:p>
        </w:tc>
        <w:tc>
          <w:tcPr>
            <w:tcW w:w="2127" w:type="dxa"/>
            <w:tcBorders>
              <w:tl2br w:val="nil"/>
              <w:tr2bl w:val="nil"/>
            </w:tcBorders>
            <w:vAlign w:val="center"/>
          </w:tcPr>
          <w:p w14:paraId="1BFBEC57">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7C3F1716">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A58D25F">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4BD03DA6">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F7F86B7">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717BC401">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桥梁结构方案合理，满足安全性、经济性要求，工艺可行、有所创新、造型优美；各构件体量比例恰当、景观与功能协调统一</w:t>
            </w:r>
          </w:p>
          <w:p w14:paraId="57F75624">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659AF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36168A89">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3554F99E">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2CC605A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1E1162E1">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道路</w:t>
            </w:r>
          </w:p>
        </w:tc>
        <w:tc>
          <w:tcPr>
            <w:tcW w:w="2127" w:type="dxa"/>
            <w:tcBorders>
              <w:tl2br w:val="nil"/>
              <w:tr2bl w:val="nil"/>
            </w:tcBorders>
            <w:vAlign w:val="center"/>
          </w:tcPr>
          <w:p w14:paraId="69BF822E">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1C00C01E">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2FAA5130">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3A2ED24">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15657BBC">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2E70014C">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路基路面、不良地基处理、护坡及挡土墙等基础工程的设计安全、合理、经济且能满足工期的要求；土方平衡合理</w:t>
            </w:r>
          </w:p>
          <w:p w14:paraId="52A1E87F">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11548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15AD9EC3">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7CBDB6EE">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2EB5D279">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3125C8BB">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公用设施</w:t>
            </w:r>
          </w:p>
        </w:tc>
        <w:tc>
          <w:tcPr>
            <w:tcW w:w="2127" w:type="dxa"/>
            <w:tcBorders>
              <w:tl2br w:val="nil"/>
              <w:tr2bl w:val="nil"/>
            </w:tcBorders>
            <w:vAlign w:val="center"/>
          </w:tcPr>
          <w:p w14:paraId="0B07EC54">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2718A4EA">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F961B0E">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A8359C5">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F91CDBD">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06BF287C">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道路公用设施（公共交通站点布置、绿化照明、行人设施、道路元素等）设计科学合理、处理得当、特点鲜明</w:t>
            </w:r>
          </w:p>
          <w:p w14:paraId="70EE87E7">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186C8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36C91E27">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2EB528E0">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6608F8C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47E41DDC">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综合管线</w:t>
            </w:r>
          </w:p>
        </w:tc>
        <w:tc>
          <w:tcPr>
            <w:tcW w:w="2127" w:type="dxa"/>
            <w:tcBorders>
              <w:tl2br w:val="nil"/>
              <w:tr2bl w:val="nil"/>
            </w:tcBorders>
            <w:vAlign w:val="center"/>
          </w:tcPr>
          <w:p w14:paraId="520E1DF6">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57D2BE5C">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6929A4E7">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2FA0613">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59F79F0">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3F8A336F">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综合管线的布置形式系统、合理、经济、实用；管理模式先进合理；能充分考虑与市政道路的衔接与协调，综合管网关系处理得当</w:t>
            </w:r>
          </w:p>
          <w:p w14:paraId="3CE958D2">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79FCA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442015B9">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6219E216">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5DBC44D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437D9993">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排水设施</w:t>
            </w:r>
          </w:p>
        </w:tc>
        <w:tc>
          <w:tcPr>
            <w:tcW w:w="2127" w:type="dxa"/>
            <w:tcBorders>
              <w:tl2br w:val="nil"/>
              <w:tr2bl w:val="nil"/>
            </w:tcBorders>
            <w:vAlign w:val="center"/>
          </w:tcPr>
          <w:p w14:paraId="0E78ECC9">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1341F0A7">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45ABC3CA">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4BE5169">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144CF02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0DAECD74">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充分考虑已建排水设施，结合现状及规划污水处理需求，综合考虑近远期结合的要求；排水管道系统总体布局充分利用地形，尽量采用自流，尽量避免穿越河道，缩短管线长度，减小主干管管径，充分考虑其可实施性</w:t>
            </w:r>
          </w:p>
          <w:p w14:paraId="2AC5654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11F93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5EF9276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3369A444">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0C9D9922">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60B351FF">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施工期间交通</w:t>
            </w:r>
          </w:p>
        </w:tc>
        <w:tc>
          <w:tcPr>
            <w:tcW w:w="2127" w:type="dxa"/>
            <w:tcBorders>
              <w:tl2br w:val="nil"/>
              <w:tr2bl w:val="nil"/>
            </w:tcBorders>
            <w:vAlign w:val="center"/>
          </w:tcPr>
          <w:p w14:paraId="7CFAA7E8">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6BC40B3F">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665324BF">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48C12BE0">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1B2DC39E">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75EA7132">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施工期间交通组织、施工实施方案切合实际</w:t>
            </w:r>
          </w:p>
          <w:p w14:paraId="3F35C6E6">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5C169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61DC555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1BCC921C">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5F2F39D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1708AC65">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重点难点分析及对策</w:t>
            </w:r>
          </w:p>
        </w:tc>
        <w:tc>
          <w:tcPr>
            <w:tcW w:w="2127" w:type="dxa"/>
            <w:tcBorders>
              <w:tl2br w:val="nil"/>
              <w:tr2bl w:val="nil"/>
            </w:tcBorders>
            <w:vAlign w:val="center"/>
          </w:tcPr>
          <w:p w14:paraId="1ABC35C0">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4F9A53D0">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64A73329">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846D0DF">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7D2C5C7">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303380A0">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项目实施和运营过程重点、难点分析透彻，解决措施合理</w:t>
            </w:r>
          </w:p>
          <w:p w14:paraId="6287579B">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33C94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23F5BEA0">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7C7E8A5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40618B93">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1328A29B">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节能</w:t>
            </w:r>
          </w:p>
        </w:tc>
        <w:tc>
          <w:tcPr>
            <w:tcW w:w="2127" w:type="dxa"/>
            <w:tcBorders>
              <w:tl2br w:val="nil"/>
              <w:tr2bl w:val="nil"/>
            </w:tcBorders>
            <w:vAlign w:val="center"/>
          </w:tcPr>
          <w:p w14:paraId="7A34E0C3">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38AF3EA8">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2F6FF0EC">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39C88B5">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B3E9829">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02916645">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设计方案所体现的节能设计水平及对新工艺、新技术、新设备、新材料应用分别进行评分。</w:t>
            </w:r>
          </w:p>
        </w:tc>
      </w:tr>
      <w:tr w14:paraId="50FB9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38BE555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15F4BAD2">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45B60E9E">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30E0B49C">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投资估算（</w:t>
            </w:r>
            <w:r>
              <w:rPr>
                <w:rFonts w:hint="eastAsia" w:ascii="宋体" w:hAnsi="宋体"/>
                <w:bCs/>
                <w:color w:val="000000" w:themeColor="text1"/>
                <w:sz w:val="18"/>
                <w:szCs w:val="18"/>
                <w:highlight w:val="none"/>
                <w14:textFill>
                  <w14:solidFill>
                    <w14:schemeClr w14:val="tx1"/>
                  </w14:solidFill>
                </w14:textFill>
              </w:rPr>
              <w:t>工程造价）</w:t>
            </w:r>
            <w:r>
              <w:rPr>
                <w:rFonts w:hint="eastAsia" w:ascii="宋体" w:hAnsi="宋体"/>
                <w:color w:val="000000" w:themeColor="text1"/>
                <w:sz w:val="18"/>
                <w:szCs w:val="18"/>
                <w:highlight w:val="none"/>
                <w14:textFill>
                  <w14:solidFill>
                    <w14:schemeClr w14:val="tx1"/>
                  </w14:solidFill>
                </w14:textFill>
              </w:rPr>
              <w:t>合理性</w:t>
            </w:r>
          </w:p>
        </w:tc>
        <w:tc>
          <w:tcPr>
            <w:tcW w:w="2127" w:type="dxa"/>
            <w:tcBorders>
              <w:tl2br w:val="nil"/>
              <w:tr2bl w:val="nil"/>
            </w:tcBorders>
            <w:vAlign w:val="center"/>
          </w:tcPr>
          <w:p w14:paraId="46163B03">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3D541975">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F57E0B7">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4EA0DC84">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2C9587E">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1039FAD1">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技术经济分析应含说明、指标及指标分析，有明细表、整体工程和主要分项工程拟投入的主要材料用量指标，有财务分析和国民经济评价</w:t>
            </w:r>
          </w:p>
          <w:p w14:paraId="3F435543">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根据设计方案经济分析评价合理程度分别进行评分。</w:t>
            </w:r>
          </w:p>
        </w:tc>
      </w:tr>
      <w:tr w14:paraId="01C41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tl2br w:val="nil"/>
              <w:tr2bl w:val="nil"/>
            </w:tcBorders>
            <w:vAlign w:val="center"/>
          </w:tcPr>
          <w:p w14:paraId="7F99BCA8">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37E7ED96">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5749B231">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7FE348B2">
            <w:pPr>
              <w:tabs>
                <w:tab w:val="left" w:pos="510"/>
              </w:tabs>
              <w:adjustRightInd/>
              <w:spacing w:line="240" w:lineRule="auto"/>
              <w:ind w:firstLine="28" w:firstLineChars="16"/>
              <w:jc w:val="left"/>
              <w:textAlignment w:val="auto"/>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社会效益和经济效益及环境效益</w:t>
            </w:r>
          </w:p>
        </w:tc>
        <w:tc>
          <w:tcPr>
            <w:tcW w:w="2127" w:type="dxa"/>
            <w:tcBorders>
              <w:tl2br w:val="nil"/>
              <w:tr2bl w:val="nil"/>
            </w:tcBorders>
            <w:vAlign w:val="center"/>
          </w:tcPr>
          <w:p w14:paraId="6892AE81">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4AE81F84">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21D5B28B">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6827BEE">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238E8D9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73A7DFF8">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根据设计方案所体现的社会效益、经济效益和环境效益的程度分别进行评分。</w:t>
            </w:r>
          </w:p>
        </w:tc>
      </w:tr>
      <w:tr w14:paraId="6B299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09" w:type="dxa"/>
            <w:vMerge w:val="continue"/>
            <w:tcBorders>
              <w:tl2br w:val="nil"/>
              <w:tr2bl w:val="nil"/>
            </w:tcBorders>
            <w:vAlign w:val="center"/>
          </w:tcPr>
          <w:p w14:paraId="707B6F23">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57C32EBC">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00910A96">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47348D78">
            <w:pPr>
              <w:tabs>
                <w:tab w:val="left" w:pos="510"/>
              </w:tabs>
              <w:adjustRightInd/>
              <w:spacing w:line="240" w:lineRule="auto"/>
              <w:ind w:firstLine="28" w:firstLineChars="16"/>
              <w:jc w:val="left"/>
              <w:textAlignment w:val="auto"/>
              <w:rPr>
                <w:rFonts w:ascii="宋体" w:hAnsi="宋体"/>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运营成本</w:t>
            </w:r>
          </w:p>
        </w:tc>
        <w:tc>
          <w:tcPr>
            <w:tcW w:w="2127" w:type="dxa"/>
            <w:tcBorders>
              <w:tl2br w:val="nil"/>
              <w:tr2bl w:val="nil"/>
            </w:tcBorders>
            <w:vAlign w:val="center"/>
          </w:tcPr>
          <w:p w14:paraId="6629512E">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209129DF">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02255F89">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D725C5C">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4136505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5E106F0A">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根据设计方案所提出的项目运行成本分析的科学性、合理性分别进行评分。</w:t>
            </w:r>
          </w:p>
        </w:tc>
      </w:tr>
      <w:tr w14:paraId="3691C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09" w:type="dxa"/>
            <w:vMerge w:val="continue"/>
            <w:tcBorders>
              <w:tl2br w:val="nil"/>
              <w:tr2bl w:val="nil"/>
            </w:tcBorders>
            <w:vAlign w:val="center"/>
          </w:tcPr>
          <w:p w14:paraId="3B6EE383">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567F4E28">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7D381B53">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2B9B543E">
            <w:pPr>
              <w:tabs>
                <w:tab w:val="left" w:pos="510"/>
              </w:tabs>
              <w:adjustRightInd/>
              <w:spacing w:line="240" w:lineRule="auto"/>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BIM技术应用（如有）</w:t>
            </w:r>
          </w:p>
        </w:tc>
        <w:tc>
          <w:tcPr>
            <w:tcW w:w="2127" w:type="dxa"/>
            <w:tcBorders>
              <w:tl2br w:val="nil"/>
              <w:tr2bl w:val="nil"/>
            </w:tcBorders>
            <w:vAlign w:val="center"/>
          </w:tcPr>
          <w:p w14:paraId="10C19274">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3 </w:t>
            </w:r>
            <w:r>
              <w:rPr>
                <w:rFonts w:hint="eastAsia" w:ascii="宋体" w:hAnsi="宋体"/>
                <w:color w:val="000000" w:themeColor="text1"/>
                <w:kern w:val="2"/>
                <w:sz w:val="18"/>
                <w:szCs w:val="18"/>
                <w:highlight w:val="none"/>
                <w14:textFill>
                  <w14:solidFill>
                    <w14:schemeClr w14:val="tx1"/>
                  </w14:solidFill>
                </w14:textFill>
              </w:rPr>
              <w:t>分</w:t>
            </w:r>
          </w:p>
          <w:p w14:paraId="1E3163E4">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228B61C">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846E019">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A144332">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607D71C0">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根据以上设计方案内容在BIM技术的应用情况进行评分。</w:t>
            </w:r>
          </w:p>
        </w:tc>
      </w:tr>
      <w:tr w14:paraId="33550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709" w:type="dxa"/>
            <w:vMerge w:val="continue"/>
            <w:tcBorders>
              <w:tl2br w:val="nil"/>
              <w:tr2bl w:val="nil"/>
            </w:tcBorders>
            <w:vAlign w:val="center"/>
          </w:tcPr>
          <w:p w14:paraId="07427D4D">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6B048130">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0B340E0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23696C2C">
            <w:pPr>
              <w:tabs>
                <w:tab w:val="left" w:pos="510"/>
              </w:tabs>
              <w:adjustRightInd/>
              <w:spacing w:line="240" w:lineRule="auto"/>
              <w:ind w:firstLine="28" w:firstLineChars="16"/>
              <w:jc w:val="left"/>
              <w:textAlignment w:val="auto"/>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勘察纲要可行性（如有）</w:t>
            </w:r>
          </w:p>
        </w:tc>
        <w:tc>
          <w:tcPr>
            <w:tcW w:w="2127" w:type="dxa"/>
            <w:tcBorders>
              <w:tl2br w:val="nil"/>
              <w:tr2bl w:val="nil"/>
            </w:tcBorders>
            <w:vAlign w:val="center"/>
          </w:tcPr>
          <w:p w14:paraId="297CF0CF">
            <w:pPr>
              <w:spacing w:line="240" w:lineRule="auto"/>
              <w:jc w:val="left"/>
              <w:rPr>
                <w:rFonts w:ascii="宋体" w:hAnsi="宋体"/>
                <w:color w:val="000000" w:themeColor="text1"/>
                <w:kern w:val="2"/>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w:t>
            </w:r>
            <w:r>
              <w:rPr>
                <w:rFonts w:hint="eastAsia" w:ascii="宋体" w:hAnsi="宋体"/>
                <w:color w:val="000000" w:themeColor="text1"/>
                <w:kern w:val="2"/>
                <w:sz w:val="18"/>
                <w:szCs w:val="18"/>
                <w:highlight w:val="none"/>
                <w14:textFill>
                  <w14:solidFill>
                    <w14:schemeClr w14:val="tx1"/>
                  </w14:solidFill>
                </w14:textFill>
              </w:rPr>
              <w:t>分</w:t>
            </w:r>
          </w:p>
          <w:p w14:paraId="12E26C7A">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5DD64A37">
            <w:pPr>
              <w:spacing w:line="240" w:lineRule="auto"/>
              <w:jc w:val="left"/>
              <w:rPr>
                <w:rFonts w:ascii="宋体" w:hAnsi="宋体"/>
                <w:color w:val="000000" w:themeColor="text1"/>
                <w:sz w:val="18"/>
                <w:szCs w:val="18"/>
                <w:highlight w:val="none"/>
                <w:u w:val="singl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基本满足：</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39C88742">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一般（不缺项）：</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p w14:paraId="775ACB1E">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差：</w:t>
            </w:r>
            <w:r>
              <w:rPr>
                <w:rFonts w:ascii="宋体" w:hAnsi="宋体"/>
                <w:color w:val="000000" w:themeColor="text1"/>
                <w:sz w:val="18"/>
                <w:szCs w:val="18"/>
                <w:highlight w:val="none"/>
                <w:u w:val="singl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u w:val="single"/>
                <w14:textFill>
                  <w14:solidFill>
                    <w14:schemeClr w14:val="tx1"/>
                  </w14:solidFill>
                </w14:textFill>
              </w:rPr>
              <w:t xml:space="preserve">  </w:t>
            </w:r>
          </w:p>
        </w:tc>
        <w:tc>
          <w:tcPr>
            <w:tcW w:w="3870" w:type="dxa"/>
            <w:tcBorders>
              <w:tl2br w:val="nil"/>
              <w:tr2bl w:val="nil"/>
            </w:tcBorders>
            <w:vAlign w:val="center"/>
          </w:tcPr>
          <w:p w14:paraId="32B4827E">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（1）按照设计方案提出勘察布孔方案，并提出对地质调查、勘探与取样、原位测试、工程物探、室内试验等工作技术要求。</w:t>
            </w:r>
          </w:p>
          <w:p w14:paraId="70F1E782">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（2）编制勘察纲要质量控制措施，现场技术交底对测量、钻探、取样、原位测试、物探、室内试验、内业资料整理及分析评价等工作提出质量保证措施。</w:t>
            </w:r>
          </w:p>
          <w:p w14:paraId="388C7A08">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（3）提出的满足招标项目安全技术措施和作业安全应急预案。</w:t>
            </w:r>
          </w:p>
          <w:p w14:paraId="4A5B3819">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（4）制定满足招标项目要求的工期进度计划和保证措施。</w:t>
            </w:r>
          </w:p>
          <w:p w14:paraId="32CE3A3B">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（5）提出招标项目勘察工作的创新思路。</w:t>
            </w:r>
          </w:p>
          <w:p w14:paraId="2418970A">
            <w:pPr>
              <w:spacing w:line="240" w:lineRule="auto"/>
              <w:ind w:firstLine="10" w:firstLineChars="6"/>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根据以上满足情况分别评分。</w:t>
            </w:r>
          </w:p>
        </w:tc>
      </w:tr>
      <w:tr w14:paraId="4EFB8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709" w:type="dxa"/>
            <w:vMerge w:val="restart"/>
            <w:tcBorders>
              <w:tl2br w:val="nil"/>
              <w:tr2bl w:val="nil"/>
            </w:tcBorders>
            <w:vAlign w:val="center"/>
          </w:tcPr>
          <w:p w14:paraId="1B20EC9A">
            <w:pPr>
              <w:pStyle w:val="13"/>
              <w:snapToGrid w:val="0"/>
              <w:spacing w:line="380" w:lineRule="exact"/>
              <w:ind w:firstLine="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7</w:t>
            </w:r>
          </w:p>
        </w:tc>
        <w:tc>
          <w:tcPr>
            <w:tcW w:w="851" w:type="dxa"/>
            <w:vMerge w:val="restart"/>
            <w:tcBorders>
              <w:tl2br w:val="nil"/>
              <w:tr2bl w:val="nil"/>
            </w:tcBorders>
            <w:vAlign w:val="center"/>
          </w:tcPr>
          <w:p w14:paraId="6C247E3C">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6.2</w:t>
            </w:r>
            <w:r>
              <w:rPr>
                <w:rFonts w:hint="eastAsia" w:ascii="宋体" w:hAnsi="宋体" w:eastAsia="宋体"/>
                <w:color w:val="000000" w:themeColor="text1"/>
                <w:szCs w:val="21"/>
                <w:highlight w:val="none"/>
                <w14:textFill>
                  <w14:solidFill>
                    <w14:schemeClr w14:val="tx1"/>
                  </w14:solidFill>
                </w14:textFill>
              </w:rPr>
              <w:t>.2（2）</w:t>
            </w:r>
          </w:p>
        </w:tc>
        <w:tc>
          <w:tcPr>
            <w:tcW w:w="1276" w:type="dxa"/>
            <w:vMerge w:val="restart"/>
            <w:tcBorders>
              <w:tl2br w:val="nil"/>
              <w:tr2bl w:val="nil"/>
            </w:tcBorders>
            <w:vAlign w:val="center"/>
          </w:tcPr>
          <w:p w14:paraId="70D7040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商务文件评分标准（总分10分）</w:t>
            </w:r>
          </w:p>
        </w:tc>
        <w:tc>
          <w:tcPr>
            <w:tcW w:w="708" w:type="dxa"/>
            <w:tcBorders>
              <w:tl2br w:val="nil"/>
              <w:tr2bl w:val="nil"/>
            </w:tcBorders>
            <w:vAlign w:val="center"/>
          </w:tcPr>
          <w:p w14:paraId="6F2BD6FF">
            <w:pPr>
              <w:tabs>
                <w:tab w:val="left" w:pos="510"/>
              </w:tabs>
              <w:adjustRightInd/>
              <w:spacing w:line="240" w:lineRule="auto"/>
              <w:ind w:firstLine="28" w:firstLineChars="16"/>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技术实力</w:t>
            </w:r>
          </w:p>
        </w:tc>
        <w:tc>
          <w:tcPr>
            <w:tcW w:w="2127" w:type="dxa"/>
            <w:tcBorders>
              <w:tl2br w:val="nil"/>
              <w:tr2bl w:val="nil"/>
            </w:tcBorders>
            <w:vAlign w:val="center"/>
          </w:tcPr>
          <w:p w14:paraId="0F815D8D">
            <w:pPr>
              <w:spacing w:line="24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1  </w:t>
            </w:r>
            <w:r>
              <w:rPr>
                <w:rFonts w:hint="eastAsia" w:ascii="宋体" w:hAnsi="宋体"/>
                <w:color w:val="000000" w:themeColor="text1"/>
                <w:kern w:val="2"/>
                <w:sz w:val="18"/>
                <w:szCs w:val="18"/>
                <w:highlight w:val="none"/>
                <w14:textFill>
                  <w14:solidFill>
                    <w14:schemeClr w14:val="tx1"/>
                  </w14:solidFill>
                </w14:textFill>
              </w:rPr>
              <w:t>分</w:t>
            </w:r>
          </w:p>
        </w:tc>
        <w:tc>
          <w:tcPr>
            <w:tcW w:w="3870" w:type="dxa"/>
            <w:tcBorders>
              <w:tl2br w:val="nil"/>
              <w:tr2bl w:val="nil"/>
            </w:tcBorders>
            <w:vAlign w:val="center"/>
          </w:tcPr>
          <w:p w14:paraId="3AFB48D6">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（1）投标人资质条件满足招标项目资质等级要求者得基本分</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分，具有本招标项目要求相应资质甲级资质等级加</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w:t>
            </w:r>
          </w:p>
          <w:p w14:paraId="427E919E">
            <w:pPr>
              <w:spacing w:line="24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（2）福建省内自有土工实验室且通过计量认证（CMA）的企业加</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 xml:space="preserve">分。（如有） </w:t>
            </w:r>
            <w:r>
              <w:rPr>
                <w:rFonts w:hint="eastAsia" w:ascii="宋体" w:hAnsi="宋体"/>
                <w:color w:val="000000" w:themeColor="text1"/>
                <w:sz w:val="18"/>
                <w:szCs w:val="18"/>
                <w:highlight w:val="none"/>
                <w14:textFill>
                  <w14:solidFill>
                    <w14:schemeClr w14:val="tx1"/>
                  </w14:solidFill>
                </w14:textFill>
              </w:rPr>
              <w:t xml:space="preserve">  </w:t>
            </w:r>
          </w:p>
        </w:tc>
      </w:tr>
      <w:tr w14:paraId="55E02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709" w:type="dxa"/>
            <w:vMerge w:val="continue"/>
            <w:tcBorders>
              <w:tl2br w:val="nil"/>
              <w:tr2bl w:val="nil"/>
            </w:tcBorders>
            <w:vAlign w:val="center"/>
          </w:tcPr>
          <w:p w14:paraId="3B94DD8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738E214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2FEEA7C9">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0FD437DD">
            <w:pPr>
              <w:tabs>
                <w:tab w:val="left" w:pos="510"/>
              </w:tabs>
              <w:adjustRightInd/>
              <w:spacing w:line="240" w:lineRule="auto"/>
              <w:ind w:firstLine="28" w:firstLineChars="16"/>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以往业绩</w:t>
            </w:r>
          </w:p>
        </w:tc>
        <w:tc>
          <w:tcPr>
            <w:tcW w:w="2127" w:type="dxa"/>
            <w:tcBorders>
              <w:tl2br w:val="nil"/>
              <w:tr2bl w:val="nil"/>
            </w:tcBorders>
            <w:vAlign w:val="center"/>
          </w:tcPr>
          <w:p w14:paraId="73EA0D31">
            <w:pPr>
              <w:spacing w:line="24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2  </w:t>
            </w:r>
            <w:r>
              <w:rPr>
                <w:rFonts w:hint="eastAsia" w:ascii="宋体" w:hAnsi="宋体"/>
                <w:color w:val="000000" w:themeColor="text1"/>
                <w:kern w:val="2"/>
                <w:sz w:val="18"/>
                <w:szCs w:val="18"/>
                <w:highlight w:val="none"/>
                <w14:textFill>
                  <w14:solidFill>
                    <w14:schemeClr w14:val="tx1"/>
                  </w14:solidFill>
                </w14:textFill>
              </w:rPr>
              <w:t>分</w:t>
            </w:r>
          </w:p>
        </w:tc>
        <w:tc>
          <w:tcPr>
            <w:tcW w:w="3870" w:type="dxa"/>
            <w:tcBorders>
              <w:tl2br w:val="nil"/>
              <w:tr2bl w:val="nil"/>
            </w:tcBorders>
            <w:vAlign w:val="center"/>
          </w:tcPr>
          <w:p w14:paraId="3F19FA32">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（1）投标人近五年内承担过一项设计类似工程项目得</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分，具有二项及以上的，加</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w:t>
            </w:r>
          </w:p>
          <w:p w14:paraId="38E2F643">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（2）投标人近五年内承担过一项勘察类似工程项目得</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分，具有二项及以上的，加</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分。（如有）</w:t>
            </w:r>
          </w:p>
          <w:p w14:paraId="60462BFA">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注：近五年，是指自本招标公告（</w:t>
            </w:r>
            <w:r>
              <w:rPr>
                <w:rFonts w:hint="eastAsia" w:ascii="宋体" w:hAnsi="宋体"/>
                <w:bCs/>
                <w:color w:val="000000" w:themeColor="text1"/>
                <w:sz w:val="18"/>
                <w:szCs w:val="18"/>
                <w:highlight w:val="none"/>
                <w:lang w:eastAsia="zh-CN"/>
                <w14:textFill>
                  <w14:solidFill>
                    <w14:schemeClr w14:val="tx1"/>
                  </w14:solidFill>
                </w14:textFill>
              </w:rPr>
              <w:t>或投标邀请书</w:t>
            </w:r>
            <w:r>
              <w:rPr>
                <w:rFonts w:hint="eastAsia" w:ascii="宋体" w:hAnsi="宋体"/>
                <w:bCs/>
                <w:color w:val="000000" w:themeColor="text1"/>
                <w:sz w:val="18"/>
                <w:szCs w:val="18"/>
                <w:highlight w:val="none"/>
                <w14:textFill>
                  <w14:solidFill>
                    <w14:schemeClr w14:val="tx1"/>
                  </w14:solidFill>
                </w14:textFill>
              </w:rPr>
              <w:t>）发布之日的前五年内【以施工图审查合格日期为准，不含发布招标公告（</w:t>
            </w:r>
            <w:r>
              <w:rPr>
                <w:rFonts w:hint="eastAsia" w:ascii="宋体" w:hAnsi="宋体"/>
                <w:bCs/>
                <w:color w:val="000000" w:themeColor="text1"/>
                <w:sz w:val="18"/>
                <w:szCs w:val="18"/>
                <w:highlight w:val="none"/>
                <w:lang w:eastAsia="zh-CN"/>
                <w14:textFill>
                  <w14:solidFill>
                    <w14:schemeClr w14:val="tx1"/>
                  </w14:solidFill>
                </w14:textFill>
              </w:rPr>
              <w:t>或投标邀请书</w:t>
            </w:r>
            <w:r>
              <w:rPr>
                <w:rFonts w:hint="eastAsia" w:ascii="宋体" w:hAnsi="宋体"/>
                <w:bCs/>
                <w:color w:val="000000" w:themeColor="text1"/>
                <w:sz w:val="18"/>
                <w:szCs w:val="18"/>
                <w:highlight w:val="none"/>
                <w14:textFill>
                  <w14:solidFill>
                    <w14:schemeClr w14:val="tx1"/>
                  </w14:solidFill>
                </w14:textFill>
              </w:rPr>
              <w:t>）当日，下同】</w:t>
            </w:r>
          </w:p>
        </w:tc>
      </w:tr>
      <w:tr w14:paraId="322F1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709" w:type="dxa"/>
            <w:vMerge w:val="continue"/>
            <w:tcBorders>
              <w:tl2br w:val="nil"/>
              <w:tr2bl w:val="nil"/>
            </w:tcBorders>
            <w:vAlign w:val="center"/>
          </w:tcPr>
          <w:p w14:paraId="0C3E707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403C7427">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05C610D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620F4667">
            <w:pPr>
              <w:tabs>
                <w:tab w:val="left" w:pos="510"/>
              </w:tabs>
              <w:adjustRightInd/>
              <w:spacing w:line="240" w:lineRule="auto"/>
              <w:ind w:firstLine="28" w:firstLineChars="16"/>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项目负责人</w:t>
            </w:r>
          </w:p>
        </w:tc>
        <w:tc>
          <w:tcPr>
            <w:tcW w:w="2127" w:type="dxa"/>
            <w:tcBorders>
              <w:tl2br w:val="nil"/>
              <w:tr2bl w:val="nil"/>
            </w:tcBorders>
            <w:vAlign w:val="center"/>
          </w:tcPr>
          <w:p w14:paraId="63CA65BD">
            <w:pPr>
              <w:spacing w:line="24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3  </w:t>
            </w:r>
            <w:r>
              <w:rPr>
                <w:rFonts w:hint="eastAsia" w:ascii="宋体" w:hAnsi="宋体"/>
                <w:color w:val="000000" w:themeColor="text1"/>
                <w:kern w:val="2"/>
                <w:sz w:val="18"/>
                <w:szCs w:val="18"/>
                <w:highlight w:val="none"/>
                <w14:textFill>
                  <w14:solidFill>
                    <w14:schemeClr w14:val="tx1"/>
                  </w14:solidFill>
                </w14:textFill>
              </w:rPr>
              <w:t>分</w:t>
            </w:r>
          </w:p>
        </w:tc>
        <w:tc>
          <w:tcPr>
            <w:tcW w:w="3870" w:type="dxa"/>
            <w:tcBorders>
              <w:tl2br w:val="nil"/>
              <w:tr2bl w:val="nil"/>
            </w:tcBorders>
            <w:vAlign w:val="center"/>
          </w:tcPr>
          <w:p w14:paraId="77CEAA67">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（1）投标人拟派出担任设计项目负责人近五年具有一项同等级或以上类似工程项目业绩的得基本分</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分，每增加一项加</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分，最高得</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w:t>
            </w:r>
          </w:p>
          <w:p w14:paraId="3C8550BD">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（2）投标人拟派出担任勘察项目负责人近五年具有一项同等级或以上类似工程项目业绩的得基本分</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分，每增加一项加</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分，最高得</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分。（如有）</w:t>
            </w:r>
          </w:p>
        </w:tc>
      </w:tr>
      <w:tr w14:paraId="439D3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709" w:type="dxa"/>
            <w:vMerge w:val="continue"/>
            <w:tcBorders>
              <w:tl2br w:val="nil"/>
              <w:tr2bl w:val="nil"/>
            </w:tcBorders>
            <w:vAlign w:val="center"/>
          </w:tcPr>
          <w:p w14:paraId="5D961953">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083EC3FF">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77A16EDE">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274132EA">
            <w:pPr>
              <w:tabs>
                <w:tab w:val="left" w:pos="510"/>
              </w:tabs>
              <w:adjustRightInd/>
              <w:spacing w:line="240" w:lineRule="auto"/>
              <w:ind w:firstLine="28" w:firstLineChars="16"/>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其他主要人员</w:t>
            </w:r>
          </w:p>
        </w:tc>
        <w:tc>
          <w:tcPr>
            <w:tcW w:w="2127" w:type="dxa"/>
            <w:tcBorders>
              <w:tl2br w:val="nil"/>
              <w:tr2bl w:val="nil"/>
            </w:tcBorders>
            <w:vAlign w:val="center"/>
          </w:tcPr>
          <w:p w14:paraId="5BA49AF0">
            <w:pPr>
              <w:spacing w:line="24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2  </w:t>
            </w:r>
            <w:r>
              <w:rPr>
                <w:rFonts w:hint="eastAsia" w:ascii="宋体" w:hAnsi="宋体"/>
                <w:color w:val="000000" w:themeColor="text1"/>
                <w:kern w:val="2"/>
                <w:sz w:val="18"/>
                <w:szCs w:val="18"/>
                <w:highlight w:val="none"/>
                <w14:textFill>
                  <w14:solidFill>
                    <w14:schemeClr w14:val="tx1"/>
                  </w14:solidFill>
                </w14:textFill>
              </w:rPr>
              <w:t>分</w:t>
            </w:r>
          </w:p>
        </w:tc>
        <w:tc>
          <w:tcPr>
            <w:tcW w:w="3870" w:type="dxa"/>
            <w:tcBorders>
              <w:tl2br w:val="nil"/>
              <w:tr2bl w:val="nil"/>
            </w:tcBorders>
            <w:vAlign w:val="center"/>
          </w:tcPr>
          <w:p w14:paraId="41797971">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配备的各专业负责人其中之一具有教授级高级工程师职称的得</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分，另有2人及以上具有高级工程师职称的加</w:t>
            </w:r>
            <w:r>
              <w:rPr>
                <w:rFonts w:hint="eastAsia" w:ascii="宋体" w:hAnsi="宋体"/>
                <w:bCs/>
                <w:color w:val="000000" w:themeColor="text1"/>
                <w:sz w:val="18"/>
                <w:szCs w:val="18"/>
                <w:highlight w:val="none"/>
                <w:u w:val="single"/>
                <w14:textFill>
                  <w14:solidFill>
                    <w14:schemeClr w14:val="tx1"/>
                  </w14:solidFill>
                </w14:textFill>
              </w:rPr>
              <w:t xml:space="preserve">   </w:t>
            </w:r>
            <w:r>
              <w:rPr>
                <w:rFonts w:hint="eastAsia" w:ascii="宋体" w:hAnsi="宋体"/>
                <w:bCs/>
                <w:color w:val="000000" w:themeColor="text1"/>
                <w:sz w:val="18"/>
                <w:szCs w:val="18"/>
                <w:highlight w:val="none"/>
                <w14:textFill>
                  <w14:solidFill>
                    <w14:schemeClr w14:val="tx1"/>
                  </w14:solidFill>
                </w14:textFill>
              </w:rPr>
              <w:t>分。</w:t>
            </w:r>
          </w:p>
        </w:tc>
      </w:tr>
      <w:tr w14:paraId="07A9F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709" w:type="dxa"/>
            <w:vMerge w:val="continue"/>
            <w:tcBorders>
              <w:tl2br w:val="nil"/>
              <w:tr2bl w:val="nil"/>
            </w:tcBorders>
            <w:vAlign w:val="center"/>
          </w:tcPr>
          <w:p w14:paraId="2A57E4AC">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75B3004B">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4B72F7DB">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149E30AE">
            <w:pPr>
              <w:tabs>
                <w:tab w:val="left" w:pos="510"/>
              </w:tabs>
              <w:adjustRightInd/>
              <w:spacing w:line="240" w:lineRule="auto"/>
              <w:ind w:firstLine="28" w:firstLineChars="16"/>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保证设计质量、进度</w:t>
            </w:r>
          </w:p>
        </w:tc>
        <w:tc>
          <w:tcPr>
            <w:tcW w:w="2127" w:type="dxa"/>
            <w:tcBorders>
              <w:tl2br w:val="nil"/>
              <w:tr2bl w:val="nil"/>
            </w:tcBorders>
            <w:vAlign w:val="center"/>
          </w:tcPr>
          <w:p w14:paraId="54DC6FBC">
            <w:pPr>
              <w:spacing w:line="24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1  </w:t>
            </w:r>
            <w:r>
              <w:rPr>
                <w:rFonts w:hint="eastAsia" w:ascii="宋体" w:hAnsi="宋体"/>
                <w:color w:val="000000" w:themeColor="text1"/>
                <w:kern w:val="2"/>
                <w:sz w:val="18"/>
                <w:szCs w:val="18"/>
                <w:highlight w:val="none"/>
                <w14:textFill>
                  <w14:solidFill>
                    <w14:schemeClr w14:val="tx1"/>
                  </w14:solidFill>
                </w14:textFill>
              </w:rPr>
              <w:t>分</w:t>
            </w:r>
          </w:p>
        </w:tc>
        <w:tc>
          <w:tcPr>
            <w:tcW w:w="3870" w:type="dxa"/>
            <w:tcBorders>
              <w:tl2br w:val="nil"/>
              <w:tr2bl w:val="nil"/>
            </w:tcBorders>
            <w:vAlign w:val="center"/>
          </w:tcPr>
          <w:p w14:paraId="2B790967">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根据投标人所提出的保证设计质量、进度计划的措施的科学性、可行性及满足招标文件要求的程度分别进行评分。</w:t>
            </w:r>
          </w:p>
        </w:tc>
      </w:tr>
      <w:tr w14:paraId="4A07C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09" w:type="dxa"/>
            <w:vMerge w:val="continue"/>
            <w:tcBorders>
              <w:tl2br w:val="nil"/>
              <w:tr2bl w:val="nil"/>
            </w:tcBorders>
            <w:vAlign w:val="center"/>
          </w:tcPr>
          <w:p w14:paraId="5FBED8AC">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Merge w:val="continue"/>
            <w:tcBorders>
              <w:tl2br w:val="nil"/>
              <w:tr2bl w:val="nil"/>
            </w:tcBorders>
            <w:vAlign w:val="center"/>
          </w:tcPr>
          <w:p w14:paraId="76B7B42B">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tl2br w:val="nil"/>
              <w:tr2bl w:val="nil"/>
            </w:tcBorders>
            <w:vAlign w:val="center"/>
          </w:tcPr>
          <w:p w14:paraId="6416319A">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08" w:type="dxa"/>
            <w:tcBorders>
              <w:tl2br w:val="nil"/>
              <w:tr2bl w:val="nil"/>
            </w:tcBorders>
            <w:vAlign w:val="center"/>
          </w:tcPr>
          <w:p w14:paraId="0E690804">
            <w:pPr>
              <w:spacing w:line="240" w:lineRule="auto"/>
              <w:jc w:val="center"/>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配合工程</w:t>
            </w:r>
          </w:p>
          <w:p w14:paraId="1A2B5C86">
            <w:pPr>
              <w:tabs>
                <w:tab w:val="left" w:pos="510"/>
              </w:tabs>
              <w:adjustRightInd/>
              <w:spacing w:line="240" w:lineRule="auto"/>
              <w:ind w:firstLine="28" w:firstLineChars="16"/>
              <w:jc w:val="left"/>
              <w:textAlignment w:val="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实施</w:t>
            </w:r>
          </w:p>
        </w:tc>
        <w:tc>
          <w:tcPr>
            <w:tcW w:w="2127" w:type="dxa"/>
            <w:tcBorders>
              <w:tl2br w:val="nil"/>
              <w:tr2bl w:val="nil"/>
            </w:tcBorders>
            <w:vAlign w:val="center"/>
          </w:tcPr>
          <w:p w14:paraId="46A637BF">
            <w:pPr>
              <w:spacing w:line="24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w:t>
            </w:r>
            <w:r>
              <w:rPr>
                <w:rFonts w:hint="eastAsia" w:ascii="宋体" w:hAnsi="宋体"/>
                <w:color w:val="000000" w:themeColor="text1"/>
                <w:kern w:val="2"/>
                <w:sz w:val="18"/>
                <w:szCs w:val="18"/>
                <w:highlight w:val="none"/>
                <w:u w:val="single"/>
                <w14:textFill>
                  <w14:solidFill>
                    <w14:schemeClr w14:val="tx1"/>
                  </w14:solidFill>
                </w14:textFill>
              </w:rPr>
              <w:t xml:space="preserve"> 1  </w:t>
            </w:r>
            <w:r>
              <w:rPr>
                <w:rFonts w:hint="eastAsia" w:ascii="宋体" w:hAnsi="宋体"/>
                <w:color w:val="000000" w:themeColor="text1"/>
                <w:kern w:val="2"/>
                <w:sz w:val="18"/>
                <w:szCs w:val="18"/>
                <w:highlight w:val="none"/>
                <w14:textFill>
                  <w14:solidFill>
                    <w14:schemeClr w14:val="tx1"/>
                  </w14:solidFill>
                </w14:textFill>
              </w:rPr>
              <w:t>分</w:t>
            </w:r>
          </w:p>
        </w:tc>
        <w:tc>
          <w:tcPr>
            <w:tcW w:w="3870" w:type="dxa"/>
            <w:tcBorders>
              <w:tl2br w:val="nil"/>
              <w:tr2bl w:val="nil"/>
            </w:tcBorders>
            <w:vAlign w:val="center"/>
          </w:tcPr>
          <w:p w14:paraId="5500B27D">
            <w:pPr>
              <w:spacing w:line="240" w:lineRule="auto"/>
              <w:jc w:val="lef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根据投标人提出的承包人在工程施工过程中配合工程实施的人员（职称、专业、数量）、服务内容、响应时间等分别进行评分。</w:t>
            </w:r>
          </w:p>
        </w:tc>
      </w:tr>
      <w:tr w14:paraId="61B97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09" w:type="dxa"/>
            <w:tcBorders>
              <w:tl2br w:val="nil"/>
              <w:tr2bl w:val="nil"/>
            </w:tcBorders>
            <w:vAlign w:val="center"/>
          </w:tcPr>
          <w:p w14:paraId="3E1976C2">
            <w:pPr>
              <w:pStyle w:val="13"/>
              <w:snapToGrid w:val="0"/>
              <w:spacing w:line="380" w:lineRule="exact"/>
              <w:ind w:firstLine="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8</w:t>
            </w:r>
          </w:p>
        </w:tc>
        <w:tc>
          <w:tcPr>
            <w:tcW w:w="851" w:type="dxa"/>
            <w:tcBorders>
              <w:tl2br w:val="nil"/>
              <w:tr2bl w:val="nil"/>
            </w:tcBorders>
            <w:vAlign w:val="center"/>
          </w:tcPr>
          <w:p w14:paraId="33B8DE7E">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6.2</w:t>
            </w:r>
            <w:r>
              <w:rPr>
                <w:rFonts w:hint="eastAsia" w:ascii="宋体" w:hAnsi="宋体" w:eastAsia="宋体"/>
                <w:color w:val="000000" w:themeColor="text1"/>
                <w:szCs w:val="21"/>
                <w:highlight w:val="none"/>
                <w14:textFill>
                  <w14:solidFill>
                    <w14:schemeClr w14:val="tx1"/>
                  </w14:solidFill>
                </w14:textFill>
              </w:rPr>
              <w:t>.2（3）</w:t>
            </w:r>
          </w:p>
        </w:tc>
        <w:tc>
          <w:tcPr>
            <w:tcW w:w="1276" w:type="dxa"/>
            <w:tcBorders>
              <w:tl2br w:val="nil"/>
              <w:tr2bl w:val="nil"/>
            </w:tcBorders>
            <w:vAlign w:val="center"/>
          </w:tcPr>
          <w:p w14:paraId="3E1D8390">
            <w:pPr>
              <w:pStyle w:val="13"/>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企业信用评分标准</w:t>
            </w:r>
            <w:r>
              <w:rPr>
                <w:rFonts w:hint="eastAsia" w:ascii="宋体" w:hAnsi="宋体" w:eastAsia="宋体"/>
                <w:color w:val="000000" w:themeColor="text1"/>
                <w:szCs w:val="21"/>
                <w:highlight w:val="none"/>
                <w14:textFill>
                  <w14:solidFill>
                    <w14:schemeClr w14:val="tx1"/>
                  </w14:solidFill>
                </w14:textFill>
              </w:rPr>
              <w:t>（总分15分）</w:t>
            </w:r>
          </w:p>
        </w:tc>
        <w:tc>
          <w:tcPr>
            <w:tcW w:w="708" w:type="dxa"/>
            <w:tcBorders>
              <w:tl2br w:val="nil"/>
              <w:tr2bl w:val="nil"/>
            </w:tcBorders>
            <w:vAlign w:val="center"/>
          </w:tcPr>
          <w:p w14:paraId="314657A7">
            <w:pPr>
              <w:spacing w:line="40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w:t>
            </w:r>
          </w:p>
        </w:tc>
        <w:tc>
          <w:tcPr>
            <w:tcW w:w="2127" w:type="dxa"/>
            <w:tcBorders>
              <w:tl2br w:val="nil"/>
              <w:tr2bl w:val="nil"/>
            </w:tcBorders>
            <w:vAlign w:val="center"/>
          </w:tcPr>
          <w:p w14:paraId="100C6C5B">
            <w:pPr>
              <w:spacing w:line="24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kern w:val="2"/>
                <w:sz w:val="18"/>
                <w:szCs w:val="18"/>
                <w:highlight w:val="none"/>
                <w14:textFill>
                  <w14:solidFill>
                    <w14:schemeClr w14:val="tx1"/>
                  </w14:solidFill>
                </w14:textFill>
              </w:rPr>
              <w:t>本项分值为：15分</w:t>
            </w:r>
          </w:p>
        </w:tc>
        <w:tc>
          <w:tcPr>
            <w:tcW w:w="3870" w:type="dxa"/>
            <w:tcBorders>
              <w:tl2br w:val="nil"/>
              <w:tr2bl w:val="nil"/>
            </w:tcBorders>
            <w:vAlign w:val="center"/>
          </w:tcPr>
          <w:p w14:paraId="4F63FDBB">
            <w:pPr>
              <w:pStyle w:val="36"/>
              <w:spacing w:before="0" w:beforeAutospacing="0" w:after="0" w:afterAutospacing="0" w:line="24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企业信用得分</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福建省勘察设计单位季度信用分×7.5%+厦门市勘察设计单位信用分。</w:t>
            </w:r>
          </w:p>
          <w:p w14:paraId="395951FB">
            <w:pPr>
              <w:widowControl/>
              <w:tabs>
                <w:tab w:val="left" w:pos="900"/>
                <w:tab w:val="left" w:pos="1100"/>
              </w:tabs>
              <w:spacing w:line="240" w:lineRule="auto"/>
              <w:ind w:firstLine="374" w:firstLineChars="208"/>
              <w:jc w:val="left"/>
              <w:rPr>
                <w:rFonts w:ascii="宋体"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注：①在每季度首月</w:t>
            </w:r>
            <w:r>
              <w:rPr>
                <w:rFonts w:ascii="宋体" w:hAnsi="宋体" w:cs="宋体"/>
                <w:color w:val="000000" w:themeColor="text1"/>
                <w:sz w:val="18"/>
                <w:szCs w:val="18"/>
                <w:highlight w:val="none"/>
                <w14:textFill>
                  <w14:solidFill>
                    <w14:schemeClr w14:val="tx1"/>
                  </w14:solidFill>
                </w14:textFill>
              </w:rPr>
              <w:t>10</w:t>
            </w:r>
            <w:r>
              <w:rPr>
                <w:rFonts w:hint="eastAsia" w:ascii="宋体" w:hAnsi="宋体" w:cs="宋体"/>
                <w:color w:val="000000" w:themeColor="text1"/>
                <w:sz w:val="18"/>
                <w:szCs w:val="18"/>
                <w:highlight w:val="none"/>
                <w14:textFill>
                  <w14:solidFill>
                    <w14:schemeClr w14:val="tx1"/>
                  </w14:solidFill>
                </w14:textFill>
              </w:rPr>
              <w:t>日后开标的招标项目，纳入招投标评分的设计单位信用综合评价分值，应为投标人在上季度的企业季度信用得分。而在每季度首月</w:t>
            </w:r>
            <w:r>
              <w:rPr>
                <w:rFonts w:ascii="宋体" w:hAnsi="宋体" w:cs="宋体"/>
                <w:color w:val="000000" w:themeColor="text1"/>
                <w:sz w:val="18"/>
                <w:szCs w:val="18"/>
                <w:highlight w:val="none"/>
                <w14:textFill>
                  <w14:solidFill>
                    <w14:schemeClr w14:val="tx1"/>
                  </w14:solidFill>
                </w14:textFill>
              </w:rPr>
              <w:t>10</w:t>
            </w:r>
            <w:r>
              <w:rPr>
                <w:rFonts w:hint="eastAsia" w:ascii="宋体" w:hAnsi="宋体" w:cs="宋体"/>
                <w:color w:val="000000" w:themeColor="text1"/>
                <w:sz w:val="18"/>
                <w:szCs w:val="18"/>
                <w:highlight w:val="none"/>
                <w14:textFill>
                  <w14:solidFill>
                    <w14:schemeClr w14:val="tx1"/>
                  </w14:solidFill>
                </w14:textFill>
              </w:rPr>
              <w:t>日前（含</w:t>
            </w:r>
            <w:r>
              <w:rPr>
                <w:rFonts w:ascii="宋体" w:hAnsi="宋体" w:cs="宋体"/>
                <w:color w:val="000000" w:themeColor="text1"/>
                <w:sz w:val="18"/>
                <w:szCs w:val="18"/>
                <w:highlight w:val="none"/>
                <w14:textFill>
                  <w14:solidFill>
                    <w14:schemeClr w14:val="tx1"/>
                  </w14:solidFill>
                </w14:textFill>
              </w:rPr>
              <w:t>10</w:t>
            </w:r>
            <w:r>
              <w:rPr>
                <w:rFonts w:hint="eastAsia" w:ascii="宋体" w:hAnsi="宋体" w:cs="宋体"/>
                <w:color w:val="000000" w:themeColor="text1"/>
                <w:sz w:val="18"/>
                <w:szCs w:val="18"/>
                <w:highlight w:val="none"/>
                <w14:textFill>
                  <w14:solidFill>
                    <w14:schemeClr w14:val="tx1"/>
                  </w14:solidFill>
                </w14:textFill>
              </w:rPr>
              <w:t>日）开标的，则为投标人在上季度前一个季度的企业季度信用分。</w:t>
            </w:r>
          </w:p>
          <w:p w14:paraId="742AB974">
            <w:pPr>
              <w:widowControl/>
              <w:tabs>
                <w:tab w:val="left" w:pos="900"/>
                <w:tab w:val="left" w:pos="1100"/>
              </w:tabs>
              <w:spacing w:line="240" w:lineRule="auto"/>
              <w:ind w:firstLine="374" w:firstLineChars="208"/>
              <w:jc w:val="left"/>
              <w:rPr>
                <w:rFonts w:ascii="宋体"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②福建省勘察设计单位和施工图审查机构信用评价系统（网址：</w:t>
            </w:r>
            <w:r>
              <w:rPr>
                <w:rFonts w:ascii="宋体" w:hAnsi="宋体" w:cs="宋体"/>
                <w:color w:val="000000" w:themeColor="text1"/>
                <w:sz w:val="18"/>
                <w:szCs w:val="18"/>
                <w:highlight w:val="none"/>
                <w14:textFill>
                  <w14:solidFill>
                    <w14:schemeClr w14:val="tx1"/>
                  </w14:solidFill>
                </w14:textFill>
              </w:rPr>
              <w:t>zjt.fujian.gov.cn</w:t>
            </w:r>
            <w:r>
              <w:rPr>
                <w:rFonts w:hint="eastAsia" w:ascii="宋体" w:hAnsi="宋体" w:cs="宋体"/>
                <w:color w:val="000000" w:themeColor="text1"/>
                <w:sz w:val="18"/>
                <w:szCs w:val="18"/>
                <w:highlight w:val="none"/>
                <w14:textFill>
                  <w14:solidFill>
                    <w14:schemeClr w14:val="tx1"/>
                  </w14:solidFill>
                </w14:textFill>
              </w:rPr>
              <w:t>）每季度公布设计单位的企业季度信用分。企业季度信用分和厦门市勘察设计单位信用分以项目截标时在评价系统已发布的数据为准。项目截标后不论何种原因变更的信用评价信息，不在变更前已截标的招投标项目中使用。</w:t>
            </w:r>
          </w:p>
          <w:p w14:paraId="58714EE8">
            <w:pPr>
              <w:widowControl/>
              <w:tabs>
                <w:tab w:val="left" w:pos="900"/>
                <w:tab w:val="left" w:pos="1100"/>
              </w:tabs>
              <w:spacing w:line="240" w:lineRule="auto"/>
              <w:ind w:firstLine="374" w:firstLineChars="208"/>
              <w:jc w:val="left"/>
              <w:rPr>
                <w:rFonts w:ascii="宋体"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③对福建省勘察设计单位和施工图审查机构信用评价系统没有公布企业季度信用得分的投标人，其企业季度信用得分以55分确定。</w:t>
            </w:r>
          </w:p>
          <w:p w14:paraId="704718A3">
            <w:pPr>
              <w:pStyle w:val="40"/>
              <w:spacing w:after="0" w:line="240" w:lineRule="auto"/>
              <w:ind w:left="0" w:leftChars="0" w:firstLine="360"/>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④如由于投标人或联合体成员名称变更，造成福建省住房和城乡建设厅的福建省勘察设计单位和施工图审查机构信用评价系统或厦门市勘察设计单位信用分评价系统公布的与变更后的单位名称不一致的，投标人应当在投标文件中附上名称变更证明材料扫描件。</w:t>
            </w:r>
          </w:p>
          <w:p w14:paraId="27BEDB33">
            <w:pPr>
              <w:pStyle w:val="40"/>
              <w:spacing w:after="0" w:line="240" w:lineRule="auto"/>
              <w:ind w:left="0" w:leftChars="0" w:firstLine="360"/>
              <w:jc w:val="left"/>
              <w:rPr>
                <w:rFonts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fldChar w:fldCharType="begin"/>
            </w:r>
            <w:r>
              <w:rPr>
                <w:rFonts w:ascii="宋体" w:hAnsi="宋体" w:cs="宋体"/>
                <w:color w:val="000000" w:themeColor="text1"/>
                <w:sz w:val="18"/>
                <w:szCs w:val="18"/>
                <w:highlight w:val="none"/>
                <w14:textFill>
                  <w14:solidFill>
                    <w14:schemeClr w14:val="tx1"/>
                  </w14:solidFill>
                </w14:textFill>
              </w:rPr>
              <w:instrText xml:space="preserve"> </w:instrText>
            </w:r>
            <w:r>
              <w:rPr>
                <w:rFonts w:hint="eastAsia" w:ascii="宋体" w:hAnsi="宋体" w:cs="宋体"/>
                <w:color w:val="000000" w:themeColor="text1"/>
                <w:sz w:val="18"/>
                <w:szCs w:val="18"/>
                <w:highlight w:val="none"/>
                <w14:textFill>
                  <w14:solidFill>
                    <w14:schemeClr w14:val="tx1"/>
                  </w14:solidFill>
                </w14:textFill>
              </w:rPr>
              <w:instrText xml:space="preserve">= 5 \* GB3</w:instrText>
            </w:r>
            <w:r>
              <w:rPr>
                <w:rFonts w:ascii="宋体" w:hAnsi="宋体" w:cs="宋体"/>
                <w:color w:val="000000" w:themeColor="text1"/>
                <w:sz w:val="18"/>
                <w:szCs w:val="18"/>
                <w:highlight w:val="none"/>
                <w14:textFill>
                  <w14:solidFill>
                    <w14:schemeClr w14:val="tx1"/>
                  </w14:solidFill>
                </w14:textFill>
              </w:rPr>
              <w:instrText xml:space="preserve"> </w:instrText>
            </w:r>
            <w:r>
              <w:rPr>
                <w:rFonts w:ascii="宋体" w:hAnsi="宋体" w:cs="宋体"/>
                <w:color w:val="000000" w:themeColor="text1"/>
                <w:sz w:val="18"/>
                <w:szCs w:val="18"/>
                <w:highlight w:val="none"/>
                <w14:textFill>
                  <w14:solidFill>
                    <w14:schemeClr w14:val="tx1"/>
                  </w14:solidFill>
                </w14:textFill>
              </w:rPr>
              <w:fldChar w:fldCharType="separate"/>
            </w:r>
            <w:r>
              <w:rPr>
                <w:rFonts w:hint="eastAsia" w:ascii="宋体" w:hAnsi="宋体" w:cs="宋体"/>
                <w:color w:val="000000" w:themeColor="text1"/>
                <w:sz w:val="18"/>
                <w:szCs w:val="18"/>
                <w:highlight w:val="none"/>
                <w14:textFill>
                  <w14:solidFill>
                    <w14:schemeClr w14:val="tx1"/>
                  </w14:solidFill>
                </w14:textFill>
              </w:rPr>
              <w:t>⑤</w:t>
            </w:r>
            <w:r>
              <w:rPr>
                <w:rFonts w:ascii="宋体" w:hAnsi="宋体" w:cs="宋体"/>
                <w:color w:val="000000" w:themeColor="text1"/>
                <w:sz w:val="18"/>
                <w:szCs w:val="18"/>
                <w:highlight w:val="none"/>
                <w14:textFill>
                  <w14:solidFill>
                    <w14:schemeClr w14:val="tx1"/>
                  </w14:solidFill>
                </w14:textFill>
              </w:rPr>
              <w:fldChar w:fldCharType="end"/>
            </w:r>
            <w:r>
              <w:rPr>
                <w:rFonts w:hint="eastAsia" w:ascii="宋体" w:hAnsi="宋体" w:cs="宋体"/>
                <w:color w:val="000000" w:themeColor="text1"/>
                <w:sz w:val="18"/>
                <w:szCs w:val="18"/>
                <w:highlight w:val="none"/>
                <w14:textFill>
                  <w14:solidFill>
                    <w14:schemeClr w14:val="tx1"/>
                  </w14:solidFill>
                </w14:textFill>
              </w:rPr>
              <w:t>厦门勘察设计单位信用得分满分为7.50分，该信用分值应用于工程勘察设计招标投标活动的规则由</w:t>
            </w:r>
            <w:r>
              <w:rPr>
                <w:rFonts w:hint="eastAsia" w:ascii="宋体" w:hAnsi="宋体" w:cs="宋体"/>
                <w:color w:val="000000" w:themeColor="text1"/>
                <w:sz w:val="18"/>
                <w:szCs w:val="18"/>
                <w:highlight w:val="none"/>
                <w:lang w:eastAsia="zh-CN"/>
                <w14:textFill>
                  <w14:solidFill>
                    <w14:schemeClr w14:val="tx1"/>
                  </w14:solidFill>
                </w14:textFill>
              </w:rPr>
              <w:t>厦门市住房和建设局</w:t>
            </w:r>
            <w:r>
              <w:rPr>
                <w:rFonts w:hint="eastAsia" w:ascii="宋体" w:hAnsi="宋体" w:cs="宋体"/>
                <w:color w:val="000000" w:themeColor="text1"/>
                <w:sz w:val="18"/>
                <w:szCs w:val="18"/>
                <w:highlight w:val="none"/>
                <w14:textFill>
                  <w14:solidFill>
                    <w14:schemeClr w14:val="tx1"/>
                  </w14:solidFill>
                </w14:textFill>
              </w:rPr>
              <w:t>另行通知。</w:t>
            </w:r>
          </w:p>
          <w:p w14:paraId="5FAEB255">
            <w:pPr>
              <w:spacing w:line="240" w:lineRule="auto"/>
              <w:ind w:firstLine="360" w:firstLineChars="200"/>
              <w:jc w:val="left"/>
              <w:rPr>
                <w:rFonts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fldChar w:fldCharType="begin"/>
            </w:r>
            <w:r>
              <w:rPr>
                <w:rFonts w:ascii="宋体" w:hAnsi="宋体" w:cs="宋体"/>
                <w:color w:val="000000" w:themeColor="text1"/>
                <w:sz w:val="18"/>
                <w:szCs w:val="18"/>
                <w:highlight w:val="none"/>
                <w14:textFill>
                  <w14:solidFill>
                    <w14:schemeClr w14:val="tx1"/>
                  </w14:solidFill>
                </w14:textFill>
              </w:rPr>
              <w:instrText xml:space="preserve"> </w:instrText>
            </w:r>
            <w:r>
              <w:rPr>
                <w:rFonts w:hint="eastAsia" w:ascii="宋体" w:hAnsi="宋体" w:cs="宋体"/>
                <w:color w:val="000000" w:themeColor="text1"/>
                <w:sz w:val="18"/>
                <w:szCs w:val="18"/>
                <w:highlight w:val="none"/>
                <w14:textFill>
                  <w14:solidFill>
                    <w14:schemeClr w14:val="tx1"/>
                  </w14:solidFill>
                </w14:textFill>
              </w:rPr>
              <w:instrText xml:space="preserve">= 6 \* GB3</w:instrText>
            </w:r>
            <w:r>
              <w:rPr>
                <w:rFonts w:ascii="宋体" w:hAnsi="宋体" w:cs="宋体"/>
                <w:color w:val="000000" w:themeColor="text1"/>
                <w:sz w:val="18"/>
                <w:szCs w:val="18"/>
                <w:highlight w:val="none"/>
                <w14:textFill>
                  <w14:solidFill>
                    <w14:schemeClr w14:val="tx1"/>
                  </w14:solidFill>
                </w14:textFill>
              </w:rPr>
              <w:instrText xml:space="preserve"> </w:instrText>
            </w:r>
            <w:r>
              <w:rPr>
                <w:rFonts w:ascii="宋体" w:hAnsi="宋体" w:cs="宋体"/>
                <w:color w:val="000000" w:themeColor="text1"/>
                <w:sz w:val="18"/>
                <w:szCs w:val="18"/>
                <w:highlight w:val="none"/>
                <w14:textFill>
                  <w14:solidFill>
                    <w14:schemeClr w14:val="tx1"/>
                  </w14:solidFill>
                </w14:textFill>
              </w:rPr>
              <w:fldChar w:fldCharType="separate"/>
            </w:r>
            <w:r>
              <w:rPr>
                <w:rFonts w:hint="eastAsia" w:ascii="宋体" w:hAnsi="宋体" w:cs="宋体"/>
                <w:color w:val="000000" w:themeColor="text1"/>
                <w:sz w:val="18"/>
                <w:szCs w:val="18"/>
                <w:highlight w:val="none"/>
                <w14:textFill>
                  <w14:solidFill>
                    <w14:schemeClr w14:val="tx1"/>
                  </w14:solidFill>
                </w14:textFill>
              </w:rPr>
              <w:t>⑥</w:t>
            </w:r>
            <w:r>
              <w:rPr>
                <w:rFonts w:ascii="宋体" w:hAnsi="宋体" w:cs="宋体"/>
                <w:color w:val="000000" w:themeColor="text1"/>
                <w:sz w:val="18"/>
                <w:szCs w:val="18"/>
                <w:highlight w:val="none"/>
                <w14:textFill>
                  <w14:solidFill>
                    <w14:schemeClr w14:val="tx1"/>
                  </w14:solidFill>
                </w14:textFill>
              </w:rPr>
              <w:fldChar w:fldCharType="end"/>
            </w:r>
            <w:r>
              <w:rPr>
                <w:rFonts w:hint="eastAsia" w:ascii="宋体" w:hAnsi="宋体" w:cs="宋体"/>
                <w:color w:val="000000" w:themeColor="text1"/>
                <w:sz w:val="18"/>
                <w:szCs w:val="18"/>
                <w:highlight w:val="none"/>
                <w14:textFill>
                  <w14:solidFill>
                    <w14:schemeClr w14:val="tx1"/>
                  </w14:solidFill>
                </w14:textFill>
              </w:rPr>
              <w:t>福建省及厦门市勘察设计单位信用分值未明确应用前各投标人信用分值均按满分计。</w:t>
            </w:r>
          </w:p>
          <w:p w14:paraId="5ADAFEF1">
            <w:pPr>
              <w:spacing w:line="240" w:lineRule="auto"/>
              <w:ind w:firstLine="360" w:firstLineChars="200"/>
              <w:jc w:val="left"/>
              <w:rPr>
                <w:rFonts w:ascii="宋体" w:hAnsi="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⑦以联合体参与投标的，按联合体牵头人信用得分确定。</w:t>
            </w:r>
          </w:p>
        </w:tc>
      </w:tr>
    </w:tbl>
    <w:p w14:paraId="1439DCE0">
      <w:pPr>
        <w:pStyle w:val="4"/>
        <w:rPr>
          <w:rFonts w:ascii="黑体" w:hAnsi="黑体" w:eastAsia="黑体"/>
          <w:b w:val="0"/>
          <w:color w:val="000000" w:themeColor="text1"/>
          <w:sz w:val="28"/>
          <w:szCs w:val="28"/>
          <w:highlight w:val="none"/>
          <w14:textFill>
            <w14:solidFill>
              <w14:schemeClr w14:val="tx1"/>
            </w14:solidFill>
          </w14:textFill>
        </w:rPr>
      </w:pPr>
    </w:p>
    <w:p w14:paraId="111C8184">
      <w:pPr>
        <w:rPr>
          <w:color w:val="000000" w:themeColor="text1"/>
          <w:highlight w:val="none"/>
          <w14:textFill>
            <w14:solidFill>
              <w14:schemeClr w14:val="tx1"/>
            </w14:solidFill>
          </w14:textFill>
        </w:rPr>
      </w:pPr>
    </w:p>
    <w:p w14:paraId="54A9DE6C">
      <w:pPr>
        <w:rPr>
          <w:rFonts w:hint="eastAsia" w:ascii="黑体" w:hAnsi="黑体" w:eastAsia="黑体"/>
          <w:b w:val="0"/>
          <w:color w:val="000000" w:themeColor="text1"/>
          <w:sz w:val="28"/>
          <w:szCs w:val="28"/>
          <w:highlight w:val="none"/>
          <w14:textFill>
            <w14:solidFill>
              <w14:schemeClr w14:val="tx1"/>
            </w14:solidFill>
          </w14:textFill>
        </w:rPr>
      </w:pPr>
      <w:bookmarkStart w:id="475" w:name="_Toc5709"/>
      <w:r>
        <w:rPr>
          <w:rFonts w:hint="eastAsia" w:ascii="黑体" w:hAnsi="黑体" w:eastAsia="黑体"/>
          <w:b w:val="0"/>
          <w:color w:val="000000" w:themeColor="text1"/>
          <w:sz w:val="28"/>
          <w:szCs w:val="28"/>
          <w:highlight w:val="none"/>
          <w14:textFill>
            <w14:solidFill>
              <w14:schemeClr w14:val="tx1"/>
            </w14:solidFill>
          </w14:textFill>
        </w:rPr>
        <w:br w:type="page"/>
      </w:r>
    </w:p>
    <w:p w14:paraId="3AB5FFBE">
      <w:pPr>
        <w:pStyle w:val="4"/>
        <w:rPr>
          <w:rFonts w:ascii="黑体" w:hAnsi="黑体" w:eastAsia="黑体"/>
          <w:b w:val="0"/>
          <w:color w:val="000000" w:themeColor="text1"/>
          <w:sz w:val="28"/>
          <w:szCs w:val="28"/>
          <w:highlight w:val="none"/>
          <w14:textFill>
            <w14:solidFill>
              <w14:schemeClr w14:val="tx1"/>
            </w14:solidFill>
          </w14:textFill>
        </w:rPr>
      </w:pPr>
      <w:bookmarkStart w:id="476" w:name="_Toc21456"/>
      <w:bookmarkStart w:id="477" w:name="_Toc13994"/>
      <w:r>
        <w:rPr>
          <w:rFonts w:hint="eastAsia" w:ascii="黑体" w:hAnsi="黑体" w:eastAsia="黑体"/>
          <w:b w:val="0"/>
          <w:color w:val="000000" w:themeColor="text1"/>
          <w:sz w:val="28"/>
          <w:szCs w:val="28"/>
          <w:highlight w:val="none"/>
          <w14:textFill>
            <w14:solidFill>
              <w14:schemeClr w14:val="tx1"/>
            </w14:solidFill>
          </w14:textFill>
        </w:rPr>
        <w:t>评标办法正文</w:t>
      </w:r>
      <w:bookmarkEnd w:id="475"/>
      <w:bookmarkEnd w:id="476"/>
      <w:bookmarkEnd w:id="477"/>
    </w:p>
    <w:p w14:paraId="7F941E8F">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78" w:name="_Toc4519"/>
      <w:bookmarkStart w:id="479" w:name="_Toc10990"/>
      <w:bookmarkStart w:id="480" w:name="_Toc23297"/>
      <w:r>
        <w:rPr>
          <w:rFonts w:hint="eastAsia" w:ascii="黑体" w:hAnsi="黑体" w:eastAsia="黑体"/>
          <w:b w:val="0"/>
          <w:color w:val="000000" w:themeColor="text1"/>
          <w:sz w:val="28"/>
          <w:szCs w:val="28"/>
          <w:highlight w:val="none"/>
          <w14:textFill>
            <w14:solidFill>
              <w14:schemeClr w14:val="tx1"/>
            </w14:solidFill>
          </w14:textFill>
        </w:rPr>
        <w:t>1.评标方法</w:t>
      </w:r>
      <w:bookmarkEnd w:id="478"/>
      <w:bookmarkEnd w:id="479"/>
      <w:bookmarkEnd w:id="480"/>
    </w:p>
    <w:p w14:paraId="71BAA53D">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1.1</w:t>
      </w:r>
      <w:r>
        <w:rPr>
          <w:rFonts w:hint="eastAsia" w:ascii="宋体" w:hAnsi="宋体" w:cs="Times New Roman"/>
          <w:color w:val="000000" w:themeColor="text1"/>
          <w:sz w:val="21"/>
          <w:szCs w:val="21"/>
          <w:highlight w:val="none"/>
          <w:lang w:val="en-US"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本次评标采用“综合评估法”。</w:t>
      </w:r>
      <w:r>
        <w:rPr>
          <w:rFonts w:hint="eastAsia" w:ascii="宋体" w:hAnsi="宋体" w:eastAsia="宋体" w:cs="宋体"/>
          <w:color w:val="000000" w:themeColor="text1"/>
          <w:sz w:val="21"/>
          <w:szCs w:val="21"/>
          <w:highlight w:val="none"/>
          <w14:textFill>
            <w14:solidFill>
              <w14:schemeClr w14:val="tx1"/>
            </w14:solidFill>
          </w14:textFill>
        </w:rPr>
        <w:t>评标委员会对通过资格审查的投标人的投标文件进行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定性</w:t>
      </w:r>
      <w:r>
        <w:rPr>
          <w:rFonts w:hint="eastAsia" w:ascii="宋体" w:hAnsi="宋体" w:eastAsia="宋体" w:cs="宋体"/>
          <w:color w:val="000000" w:themeColor="text1"/>
          <w:sz w:val="21"/>
          <w:szCs w:val="21"/>
          <w:highlight w:val="none"/>
          <w14:textFill>
            <w14:solidFill>
              <w14:schemeClr w14:val="tx1"/>
            </w14:solidFill>
          </w14:textFill>
        </w:rPr>
        <w:t>评审</w:t>
      </w:r>
      <w:r>
        <w:rPr>
          <w:rFonts w:hint="eastAsia" w:ascii="宋体" w:hAnsi="宋体" w:cs="宋体"/>
          <w:color w:val="000000" w:themeColor="text1"/>
          <w:sz w:val="21"/>
          <w:szCs w:val="21"/>
          <w:highlight w:val="none"/>
          <w:lang w:val="en-US" w:eastAsia="zh-CN"/>
          <w14:textFill>
            <w14:solidFill>
              <w14:schemeClr w14:val="tx1"/>
            </w14:solidFill>
          </w14:textFill>
        </w:rPr>
        <w:t>后</w:t>
      </w:r>
      <w:r>
        <w:rPr>
          <w:rFonts w:hint="eastAsia" w:ascii="宋体" w:hAnsi="宋体" w:eastAsia="宋体" w:cs="Times New Roman"/>
          <w:color w:val="000000" w:themeColor="text1"/>
          <w:sz w:val="21"/>
          <w:szCs w:val="21"/>
          <w:highlight w:val="none"/>
          <w14:textFill>
            <w14:solidFill>
              <w14:schemeClr w14:val="tx1"/>
            </w14:solidFill>
          </w14:textFill>
        </w:rPr>
        <w:t>，对技术文件、商务文件和企业信用进行详细评审并采用百分制量化打分，按综合得分由高到低进行排序推荐</w:t>
      </w:r>
      <w:r>
        <w:rPr>
          <w:rFonts w:hint="eastAsia" w:ascii="宋体" w:hAnsi="宋体" w:cs="Times New Roman"/>
          <w:color w:val="000000" w:themeColor="text1"/>
          <w:sz w:val="21"/>
          <w:szCs w:val="21"/>
          <w:highlight w:val="none"/>
          <w:lang w:val="en-US" w:eastAsia="zh-CN"/>
          <w14:textFill>
            <w14:solidFill>
              <w14:schemeClr w14:val="tx1"/>
            </w14:solidFill>
          </w14:textFill>
        </w:rPr>
        <w:t>排序</w:t>
      </w:r>
      <w:r>
        <w:rPr>
          <w:rFonts w:hint="eastAsia" w:ascii="宋体" w:hAnsi="宋体" w:eastAsia="宋体" w:cs="Times New Roman"/>
          <w:color w:val="000000" w:themeColor="text1"/>
          <w:sz w:val="21"/>
          <w:szCs w:val="21"/>
          <w:highlight w:val="none"/>
          <w14:textFill>
            <w14:solidFill>
              <w14:schemeClr w14:val="tx1"/>
            </w14:solidFill>
          </w14:textFill>
        </w:rPr>
        <w:t>前5家的投</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ascii="宋体" w:hAnsi="宋体" w:eastAsia="宋体" w:cs="Times New Roman"/>
          <w:color w:val="000000" w:themeColor="text1"/>
          <w:sz w:val="21"/>
          <w:szCs w:val="21"/>
          <w:highlight w:val="none"/>
          <w14:textFill>
            <w14:solidFill>
              <w14:schemeClr w14:val="tx1"/>
            </w14:solidFill>
          </w14:textFill>
        </w:rPr>
        <w:t>人</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以不排序方式</w:t>
      </w:r>
      <w:r>
        <w:rPr>
          <w:rFonts w:hint="eastAsia" w:ascii="宋体" w:hAnsi="宋体" w:cs="Times New Roman"/>
          <w:color w:val="000000" w:themeColor="text1"/>
          <w:sz w:val="21"/>
          <w:szCs w:val="21"/>
          <w:highlight w:val="none"/>
          <w:lang w:val="en-US" w:eastAsia="zh-CN"/>
          <w14:textFill>
            <w14:solidFill>
              <w14:schemeClr w14:val="tx1"/>
            </w14:solidFill>
          </w14:textFill>
        </w:rPr>
        <w:t>将</w:t>
      </w:r>
      <w:r>
        <w:rPr>
          <w:rFonts w:hint="eastAsia" w:cs="宋体"/>
          <w:color w:val="000000" w:themeColor="text1"/>
          <w:sz w:val="21"/>
          <w:szCs w:val="21"/>
          <w:highlight w:val="none"/>
          <w:lang w:val="en-US" w:eastAsia="zh-CN"/>
          <w14:textFill>
            <w14:solidFill>
              <w14:schemeClr w14:val="tx1"/>
            </w14:solidFill>
          </w14:textFill>
        </w:rPr>
        <w:t>注册人员满足其所持资质证书对应的资质标准要求</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ascii="宋体" w:hAnsi="宋体" w:eastAsia="宋体" w:cs="Times New Roman"/>
          <w:color w:val="000000" w:themeColor="text1"/>
          <w:sz w:val="21"/>
          <w:szCs w:val="21"/>
          <w:highlight w:val="none"/>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ascii="宋体" w:hAnsi="宋体" w:eastAsia="宋体" w:cs="Times New Roman"/>
          <w:color w:val="000000" w:themeColor="text1"/>
          <w:sz w:val="21"/>
          <w:szCs w:val="21"/>
          <w:highlight w:val="none"/>
          <w14:textFill>
            <w14:solidFill>
              <w14:schemeClr w14:val="tx1"/>
            </w14:solidFill>
          </w14:textFill>
        </w:rPr>
        <w:t>人</w:t>
      </w:r>
      <w:r>
        <w:rPr>
          <w:rFonts w:hint="eastAsia" w:ascii="宋体" w:hAnsi="宋体" w:cs="Times New Roman"/>
          <w:color w:val="000000" w:themeColor="text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sz w:val="21"/>
          <w:szCs w:val="21"/>
          <w:highlight w:val="none"/>
          <w14:textFill>
            <w14:solidFill>
              <w14:schemeClr w14:val="tx1"/>
            </w14:solidFill>
          </w14:textFill>
        </w:rPr>
        <w:t>为</w:t>
      </w:r>
      <w:r>
        <w:rPr>
          <w:rFonts w:hint="eastAsia" w:ascii="宋体" w:hAnsi="宋体" w:eastAsia="宋体" w:cs="Times New Roman"/>
          <w:color w:val="000000" w:themeColor="text1"/>
          <w:sz w:val="21"/>
          <w:szCs w:val="21"/>
          <w:highlight w:val="none"/>
          <w14:textFill>
            <w14:solidFill>
              <w14:schemeClr w14:val="tx1"/>
            </w14:solidFill>
          </w14:textFill>
        </w:rPr>
        <w:t>定标候选人</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阐述推荐定标候选方案理由</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参考</w:t>
      </w:r>
      <w:r>
        <w:rPr>
          <w:rFonts w:hint="eastAsia" w:cs="宋体"/>
          <w:color w:val="000000" w:themeColor="text1"/>
          <w:sz w:val="21"/>
          <w:szCs w:val="21"/>
          <w:highlight w:val="none"/>
          <w14:textFill>
            <w14:solidFill>
              <w14:schemeClr w14:val="tx1"/>
            </w14:solidFill>
          </w14:textFill>
        </w:rPr>
        <w:t>意见</w:t>
      </w:r>
      <w:r>
        <w:rPr>
          <w:rFonts w:hint="eastAsia" w:ascii="宋体" w:hAnsi="宋体" w:eastAsia="宋体" w:cs="Times New Roman"/>
          <w:color w:val="000000" w:themeColor="text1"/>
          <w:sz w:val="21"/>
          <w:szCs w:val="21"/>
          <w:highlight w:val="none"/>
          <w14:textFill>
            <w14:solidFill>
              <w14:schemeClr w14:val="tx1"/>
            </w14:solidFill>
          </w14:textFill>
        </w:rPr>
        <w:t>。</w:t>
      </w:r>
    </w:p>
    <w:p w14:paraId="1E129933">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color w:val="000000" w:themeColor="text1"/>
          <w:sz w:val="21"/>
          <w:szCs w:val="21"/>
          <w:highlight w:val="none"/>
          <w14:textFill>
            <w14:solidFill>
              <w14:schemeClr w14:val="tx1"/>
            </w14:solidFill>
          </w14:textFill>
        </w:rPr>
        <w:t>评标规定</w:t>
      </w:r>
    </w:p>
    <w:p w14:paraId="524C1EB6">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采用保密方式进行。公开开标后，凡属于对投标文件的审查、澄清、评价和比较的有关资料及有关定标候选人的推荐情况、与评标有关的其他任何情况均应严格保密，都不应向投标人或与该过程无公务关系的其他人泄露。</w:t>
      </w:r>
    </w:p>
    <w:p w14:paraId="68436EA8">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在投标文件的评审和比较、定标候选人推荐过程中，投标人任何试图影响或干扰招标人和评标委员会的评标活动，都可能导致其投标被拒绝。</w:t>
      </w:r>
    </w:p>
    <w:p w14:paraId="77983EBC">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对技术文件的评审采用暗标式评审，即电子评标系统对各投标人的技术文件进行匿名编号后，交给评标委员会进行评审，技术文件评审汇总意见提交后电子评标系统自动解密对应各编号的投标人。</w:t>
      </w:r>
    </w:p>
    <w:p w14:paraId="556AD13B">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评标应严格按照招标文件中规定的评标办法进行，除了有关法律、法规以及国家标准中规定的强制性条文外，不得引用招标文件规定以外的办法进行评审。</w:t>
      </w:r>
    </w:p>
    <w:p w14:paraId="154A5AC3">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招标文件条款存在含义不清或者相互矛盾的，评标委员会应当针对相应条款作出有利于相应投标人的结论。</w:t>
      </w:r>
    </w:p>
    <w:p w14:paraId="2BFCA738">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评委的评审意见不一致时，应以投票形式进行表决，并按照少数服从多数的原则处理。评审结束后，评标委员会应当对否决投标或不采信投标人说明的情况在评标报告中作详细说明。</w:t>
      </w:r>
    </w:p>
    <w:p w14:paraId="64468F8B">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评标过程中，评标委员会成员有回避事由、擅离职守或者因健康等原因不能继续评标的，招标人有权更换。被更换的评标委员会成员作出的评审结论无效，由更换后的评标委员会成员重新进行评审。</w:t>
      </w:r>
    </w:p>
    <w:p w14:paraId="064BFBCC">
      <w:pPr>
        <w:pStyle w:val="4"/>
        <w:spacing w:beforeLines="50" w:afterLines="50" w:line="360" w:lineRule="auto"/>
        <w:rPr>
          <w:rFonts w:hint="eastAsia" w:ascii="黑体" w:hAnsi="黑体" w:eastAsia="黑体"/>
          <w:b w:val="0"/>
          <w:color w:val="000000" w:themeColor="text1"/>
          <w:sz w:val="28"/>
          <w:szCs w:val="28"/>
          <w:highlight w:val="none"/>
          <w14:textFill>
            <w14:solidFill>
              <w14:schemeClr w14:val="tx1"/>
            </w14:solidFill>
          </w14:textFill>
        </w:rPr>
      </w:pPr>
      <w:bookmarkStart w:id="481" w:name="_Toc8007"/>
      <w:bookmarkStart w:id="482" w:name="_Toc26387"/>
      <w:r>
        <w:rPr>
          <w:rFonts w:hint="eastAsia" w:ascii="黑体" w:hAnsi="黑体" w:eastAsia="黑体"/>
          <w:b w:val="0"/>
          <w:color w:val="000000" w:themeColor="text1"/>
          <w:sz w:val="28"/>
          <w:szCs w:val="28"/>
          <w:highlight w:val="none"/>
          <w:lang w:val="en-US" w:eastAsia="zh-CN"/>
          <w14:textFill>
            <w14:solidFill>
              <w14:schemeClr w14:val="tx1"/>
            </w14:solidFill>
          </w14:textFill>
        </w:rPr>
        <w:t>2</w:t>
      </w:r>
      <w:r>
        <w:rPr>
          <w:rFonts w:hint="eastAsia" w:ascii="黑体" w:hAnsi="黑体" w:eastAsia="黑体"/>
          <w:b w:val="0"/>
          <w:color w:val="000000" w:themeColor="text1"/>
          <w:sz w:val="28"/>
          <w:szCs w:val="28"/>
          <w:highlight w:val="none"/>
          <w14:textFill>
            <w14:solidFill>
              <w14:schemeClr w14:val="tx1"/>
            </w14:solidFill>
          </w14:textFill>
        </w:rPr>
        <w:t>.评标程序</w:t>
      </w:r>
      <w:bookmarkEnd w:id="481"/>
      <w:bookmarkEnd w:id="482"/>
    </w:p>
    <w:p w14:paraId="03B63E9D">
      <w:pPr>
        <w:keepNext w:val="0"/>
        <w:keepLines w:val="0"/>
        <w:pageBreakBefore w:val="0"/>
        <w:widowControl w:val="0"/>
        <w:tabs>
          <w:tab w:val="left" w:pos="510"/>
          <w:tab w:val="left" w:pos="2800"/>
        </w:tabs>
        <w:kinsoku/>
        <w:wordWrap/>
        <w:overflowPunct/>
        <w:topLinePunct w:val="0"/>
        <w:autoSpaceDE/>
        <w:autoSpaceDN/>
        <w:bidi w:val="0"/>
        <w:adjustRightInd/>
        <w:snapToGrid/>
        <w:spacing w:line="360" w:lineRule="auto"/>
        <w:ind w:firstLine="422" w:firstLineChars="201"/>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本招标项目评标将按以下程序进行：</w:t>
      </w:r>
    </w:p>
    <w:p w14:paraId="0041D53C">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bidi="ar-SA"/>
          <w14:textFill>
            <w14:solidFill>
              <w14:schemeClr w14:val="tx1"/>
            </w14:solidFill>
          </w14:textFill>
        </w:rPr>
        <w:t>2.1.</w:t>
      </w:r>
      <w:r>
        <w:rPr>
          <w:rFonts w:hint="eastAsia" w:ascii="宋体" w:hAnsi="宋体" w:eastAsia="宋体" w:cs="Times New Roman"/>
          <w:color w:val="000000" w:themeColor="text1"/>
          <w:sz w:val="21"/>
          <w:szCs w:val="21"/>
          <w:highlight w:val="none"/>
          <w14:textFill>
            <w14:solidFill>
              <w14:schemeClr w14:val="tx1"/>
            </w14:solidFill>
          </w14:textFill>
        </w:rPr>
        <w:t>组建评标委员会</w:t>
      </w:r>
    </w:p>
    <w:p w14:paraId="73D1185F">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bidi="ar-SA"/>
          <w14:textFill>
            <w14:solidFill>
              <w14:schemeClr w14:val="tx1"/>
            </w14:solidFill>
          </w14:textFill>
        </w:rPr>
        <w:t>2.2.</w:t>
      </w:r>
      <w:r>
        <w:rPr>
          <w:rFonts w:hint="eastAsia" w:ascii="宋体" w:hAnsi="宋体" w:eastAsia="宋体" w:cs="Times New Roman"/>
          <w:color w:val="000000" w:themeColor="text1"/>
          <w:sz w:val="21"/>
          <w:szCs w:val="21"/>
          <w:highlight w:val="none"/>
          <w14:textFill>
            <w14:solidFill>
              <w14:schemeClr w14:val="tx1"/>
            </w14:solidFill>
          </w14:textFill>
        </w:rPr>
        <w:t>评标前准备工作</w:t>
      </w:r>
    </w:p>
    <w:p w14:paraId="5095220C">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14:textFill>
            <w14:solidFill>
              <w14:schemeClr w14:val="tx1"/>
            </w14:solidFill>
          </w14:textFill>
        </w:rPr>
        <w:t>2.3.</w:t>
      </w:r>
      <w:r>
        <w:rPr>
          <w:rFonts w:hint="eastAsia" w:ascii="宋体" w:hAnsi="宋体" w:eastAsia="宋体" w:cs="Times New Roman"/>
          <w:color w:val="000000" w:themeColor="text1"/>
          <w:sz w:val="21"/>
          <w:szCs w:val="21"/>
          <w:highlight w:val="none"/>
          <w14:textFill>
            <w14:solidFill>
              <w14:schemeClr w14:val="tx1"/>
            </w14:solidFill>
          </w14:textFill>
        </w:rPr>
        <w:t>资格审查及确定入围投标人</w:t>
      </w:r>
    </w:p>
    <w:p w14:paraId="571219CA">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（1）</w:t>
      </w:r>
      <w:r>
        <w:rPr>
          <w:rFonts w:hint="eastAsia" w:ascii="宋体" w:hAnsi="宋体" w:cs="Times New Roman"/>
          <w:color w:val="000000" w:themeColor="text1"/>
          <w:sz w:val="21"/>
          <w:szCs w:val="21"/>
          <w:highlight w:val="none"/>
          <w:lang w:val="en-US" w:eastAsia="zh-CN"/>
          <w14:textFill>
            <w14:solidFill>
              <w14:schemeClr w14:val="tx1"/>
            </w14:solidFill>
          </w14:textFill>
        </w:rPr>
        <w:t>资格审查</w:t>
      </w:r>
    </w:p>
    <w:p w14:paraId="3FD173D0">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kern w:val="0"/>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2</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kern w:val="0"/>
          <w:sz w:val="21"/>
          <w:szCs w:val="21"/>
          <w:highlight w:val="none"/>
          <w:lang w:val="en-US" w:eastAsia="zh-CN"/>
          <w14:textFill>
            <w14:solidFill>
              <w14:schemeClr w14:val="tx1"/>
            </w14:solidFill>
          </w14:textFill>
        </w:rPr>
        <w:t>资格审查</w:t>
      </w:r>
      <w:r>
        <w:rPr>
          <w:rFonts w:hint="eastAsia" w:ascii="宋体" w:hAnsi="宋体" w:cs="Times New Roman"/>
          <w:color w:val="000000" w:themeColor="text1"/>
          <w:kern w:val="0"/>
          <w:sz w:val="21"/>
          <w:szCs w:val="21"/>
          <w:highlight w:val="none"/>
          <w14:textFill>
            <w14:solidFill>
              <w14:schemeClr w14:val="tx1"/>
            </w14:solidFill>
          </w14:textFill>
        </w:rPr>
        <w:t>文件的澄清、说明和补正</w:t>
      </w:r>
    </w:p>
    <w:p w14:paraId="7ED88251">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3</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14:textFill>
            <w14:solidFill>
              <w14:schemeClr w14:val="tx1"/>
            </w14:solidFill>
          </w14:textFill>
        </w:rPr>
        <w:t>确定入围投标人</w:t>
      </w:r>
    </w:p>
    <w:p w14:paraId="6675241D">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14:textFill>
            <w14:solidFill>
              <w14:schemeClr w14:val="tx1"/>
            </w14:solidFill>
          </w14:textFill>
        </w:rPr>
        <w:t>2.4.定性评审</w:t>
      </w:r>
    </w:p>
    <w:p w14:paraId="5587C76D">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1</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符合性和响应性评审</w:t>
      </w:r>
    </w:p>
    <w:p w14:paraId="265C7E0A">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2</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详细评审</w:t>
      </w:r>
    </w:p>
    <w:p w14:paraId="5A99A495">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3</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投标文件的澄清</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澄清</w:t>
      </w:r>
      <w:r>
        <w:rPr>
          <w:rFonts w:hint="eastAsia" w:ascii="宋体" w:hAnsi="宋体" w:cs="宋体"/>
          <w:b w:val="0"/>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b w:val="0"/>
          <w:color w:val="000000" w:themeColor="text1"/>
          <w:sz w:val="21"/>
          <w:szCs w:val="21"/>
          <w:highlight w:val="none"/>
          <w14:textFill>
            <w14:solidFill>
              <w14:schemeClr w14:val="tx1"/>
            </w14:solidFill>
          </w14:textFill>
        </w:rPr>
        <w:t>和补</w:t>
      </w:r>
      <w:r>
        <w:rPr>
          <w:rFonts w:hint="eastAsia" w:ascii="宋体" w:hAnsi="宋体" w:cs="宋体"/>
          <w:b w:val="0"/>
          <w:color w:val="000000" w:themeColor="text1"/>
          <w:sz w:val="21"/>
          <w:szCs w:val="21"/>
          <w:highlight w:val="none"/>
          <w:lang w:val="en-US" w:eastAsia="zh-CN"/>
          <w14:textFill>
            <w14:solidFill>
              <w14:schemeClr w14:val="tx1"/>
            </w14:solidFill>
          </w14:textFill>
        </w:rPr>
        <w:t>正</w:t>
      </w:r>
    </w:p>
    <w:p w14:paraId="1F921B30">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4</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推荐定标候选人</w:t>
      </w:r>
    </w:p>
    <w:p w14:paraId="472B4CCE">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483" w:name="_Toc22170"/>
      <w:bookmarkStart w:id="484" w:name="_Toc7996"/>
      <w:bookmarkStart w:id="485" w:name="_Toc11341"/>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3.组建评标委员会</w:t>
      </w:r>
      <w:bookmarkEnd w:id="483"/>
      <w:bookmarkEnd w:id="484"/>
      <w:bookmarkEnd w:id="485"/>
    </w:p>
    <w:p w14:paraId="1A0FB1B3">
      <w:pPr>
        <w:tabs>
          <w:tab w:val="left" w:pos="567"/>
        </w:tabs>
        <w:adjustRightInd/>
        <w:spacing w:line="360" w:lineRule="auto"/>
        <w:ind w:firstLine="422" w:firstLineChars="201"/>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招标人依法组建的评标委员会负责评标，具体确定方式见评标办法前附表第1项。</w:t>
      </w:r>
    </w:p>
    <w:p w14:paraId="747FF62E">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3.2.</w:t>
      </w: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评标委员会成员有下列情形之一的，应当回避：</w:t>
      </w:r>
    </w:p>
    <w:p w14:paraId="5233A7ED">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（1）投标人或投标人主要负责人的近亲属；</w:t>
      </w:r>
    </w:p>
    <w:p w14:paraId="28BF266D">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（2）项目主管部门或者行政监督部门的人员；</w:t>
      </w:r>
    </w:p>
    <w:p w14:paraId="56101C9F">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（3）与投标人有经济利益关系，可能影响对投标公正评审的；</w:t>
      </w:r>
    </w:p>
    <w:p w14:paraId="1EC90F65">
      <w:pPr>
        <w:widowControl w:val="0"/>
        <w:adjustRightInd w:val="0"/>
        <w:spacing w:after="0" w:line="360" w:lineRule="auto"/>
        <w:ind w:firstLine="424" w:firstLineChars="202"/>
        <w:jc w:val="left"/>
        <w:textAlignment w:val="baseline"/>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ascii="宋体" w:hAnsi="宋体" w:eastAsia="宋体" w:cstheme="minorBidi"/>
          <w:color w:val="000000" w:themeColor="text1"/>
          <w:kern w:val="2"/>
          <w:sz w:val="21"/>
          <w:szCs w:val="21"/>
          <w:highlight w:val="none"/>
          <w:lang w:val="en-US" w:eastAsia="zh-CN" w:bidi="ar-SA"/>
          <w14:textFill>
            <w14:solidFill>
              <w14:schemeClr w14:val="tx1"/>
            </w14:solidFill>
          </w14:textFill>
        </w:rPr>
        <w:t>（4）曾因在招标、评标以及其他与招标投标有关活动中从事违法行为而受过行政处罚或刑事处罚的；</w:t>
      </w:r>
    </w:p>
    <w:p w14:paraId="100953E0">
      <w:pPr>
        <w:tabs>
          <w:tab w:val="left" w:pos="567"/>
        </w:tabs>
        <w:adjustRightInd/>
        <w:spacing w:line="360" w:lineRule="auto"/>
        <w:ind w:firstLine="422" w:firstLineChars="201"/>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（5）与投标人有其他利害关系。</w:t>
      </w:r>
    </w:p>
    <w:p w14:paraId="34BC4E5B">
      <w:pPr>
        <w:tabs>
          <w:tab w:val="left" w:pos="567"/>
        </w:tabs>
        <w:adjustRightInd/>
        <w:spacing w:line="360" w:lineRule="auto"/>
        <w:ind w:firstLine="422" w:firstLineChars="201"/>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Times New Roman"/>
          <w:color w:val="000000" w:themeColor="text1"/>
          <w:sz w:val="21"/>
          <w:szCs w:val="21"/>
          <w:highlight w:val="none"/>
          <w14:textFill>
            <w14:solidFill>
              <w14:schemeClr w14:val="tx1"/>
            </w14:solidFill>
          </w14:textFill>
        </w:rPr>
        <w:t>评标委员会采用推举或者随机抽取方式确定1名专家评委担任</w:t>
      </w:r>
      <w:r>
        <w:rPr>
          <w:rFonts w:hint="eastAsia" w:ascii="宋体" w:hAnsi="宋体" w:cs="Times New Roman"/>
          <w:color w:val="000000" w:themeColor="text1"/>
          <w:sz w:val="21"/>
          <w:szCs w:val="21"/>
          <w:highlight w:val="none"/>
          <w:lang w:eastAsia="zh-CN"/>
          <w14:textFill>
            <w14:solidFill>
              <w14:schemeClr w14:val="tx1"/>
            </w14:solidFill>
          </w14:textFill>
        </w:rPr>
        <w:t>评标委员会负责人</w:t>
      </w:r>
      <w:r>
        <w:rPr>
          <w:rFonts w:hint="eastAsia" w:ascii="宋体" w:hAnsi="宋体" w:eastAsia="宋体" w:cs="Times New Roman"/>
          <w:color w:val="000000" w:themeColor="text1"/>
          <w:sz w:val="21"/>
          <w:szCs w:val="21"/>
          <w:highlight w:val="none"/>
          <w14:textFill>
            <w14:solidFill>
              <w14:schemeClr w14:val="tx1"/>
            </w14:solidFill>
          </w14:textFill>
        </w:rPr>
        <w:t>，负责组织、协调评标工作。</w:t>
      </w:r>
      <w:r>
        <w:rPr>
          <w:rFonts w:hint="eastAsia" w:ascii="宋体" w:hAnsi="宋体" w:eastAsia="宋体" w:cs="宋体"/>
          <w:color w:val="000000" w:themeColor="text1"/>
          <w:sz w:val="21"/>
          <w:szCs w:val="21"/>
          <w:highlight w:val="none"/>
          <w14:textFill>
            <w14:solidFill>
              <w14:schemeClr w14:val="tx1"/>
            </w14:solidFill>
          </w14:textFill>
        </w:rPr>
        <w:t>评标</w:t>
      </w:r>
      <w:r>
        <w:rPr>
          <w:rFonts w:hint="eastAsia" w:ascii="宋体" w:hAnsi="宋体" w:eastAsia="宋体" w:cs="Times New Roman"/>
          <w:color w:val="000000" w:themeColor="text1"/>
          <w:sz w:val="21"/>
          <w:szCs w:val="21"/>
          <w:highlight w:val="none"/>
          <w14:textFill>
            <w14:solidFill>
              <w14:schemeClr w14:val="tx1"/>
            </w14:solidFill>
          </w14:textFill>
        </w:rPr>
        <w:t>委</w:t>
      </w:r>
      <w:r>
        <w:rPr>
          <w:rFonts w:hint="eastAsia" w:ascii="宋体" w:hAnsi="宋体" w:eastAsia="宋体" w:cs="宋体"/>
          <w:color w:val="000000" w:themeColor="text1"/>
          <w:sz w:val="21"/>
          <w:szCs w:val="21"/>
          <w:highlight w:val="none"/>
          <w14:textFill>
            <w14:solidFill>
              <w14:schemeClr w14:val="tx1"/>
            </w14:solidFill>
          </w14:textFill>
        </w:rPr>
        <w:t>员</w:t>
      </w:r>
      <w:r>
        <w:rPr>
          <w:rFonts w:hint="eastAsia" w:ascii="宋体" w:hAnsi="宋体" w:eastAsia="宋体" w:cs="Times New Roman"/>
          <w:color w:val="000000" w:themeColor="text1"/>
          <w:sz w:val="21"/>
          <w:szCs w:val="21"/>
          <w:highlight w:val="none"/>
          <w14:textFill>
            <w14:solidFill>
              <w14:schemeClr w14:val="tx1"/>
            </w14:solidFill>
          </w14:textFill>
        </w:rPr>
        <w:t>会应根据招标文件规定的评标办法，对投标文件进行评审。</w:t>
      </w:r>
    </w:p>
    <w:p w14:paraId="46C59D8F">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486" w:name="_Toc27628"/>
      <w:bookmarkStart w:id="487" w:name="_Toc8895"/>
      <w:bookmarkStart w:id="488" w:name="_Toc28281"/>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4.评标前工作准备</w:t>
      </w:r>
      <w:bookmarkEnd w:id="486"/>
      <w:bookmarkEnd w:id="487"/>
      <w:bookmarkEnd w:id="488"/>
    </w:p>
    <w:p w14:paraId="10338561">
      <w:pPr>
        <w:tabs>
          <w:tab w:val="left" w:pos="567"/>
        </w:tabs>
        <w:adjustRightInd/>
        <w:spacing w:line="360" w:lineRule="auto"/>
        <w:ind w:firstLine="422" w:firstLineChars="201"/>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4.</w:t>
      </w:r>
      <w:r>
        <w:rPr>
          <w:rFonts w:hint="eastAsia" w:ascii="宋体" w:hAnsi="宋体" w:eastAsia="宋体" w:cs="Times New Roman"/>
          <w:color w:val="000000" w:themeColor="text1"/>
          <w:sz w:val="21"/>
          <w:szCs w:val="21"/>
          <w:highlight w:val="none"/>
          <w14:textFill>
            <w14:solidFill>
              <w14:schemeClr w14:val="tx1"/>
            </w14:solidFill>
          </w14:textFill>
        </w:rPr>
        <w:t>1.评标委员会成员在评标前应当认真研究招标文件，至少应了解和熟悉本招标的目标、招标范围、性质、主要技术要求、标准、商务条款以及评标程序、方法和在评标过程中考虑的相关因素。</w:t>
      </w:r>
    </w:p>
    <w:p w14:paraId="27931B4C">
      <w:pPr>
        <w:tabs>
          <w:tab w:val="left" w:pos="567"/>
        </w:tabs>
        <w:adjustRightInd/>
        <w:spacing w:line="360" w:lineRule="auto"/>
        <w:ind w:firstLine="422" w:firstLineChars="201"/>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4.</w:t>
      </w:r>
      <w:r>
        <w:rPr>
          <w:rFonts w:hint="eastAsia" w:ascii="宋体" w:hAnsi="宋体" w:eastAsia="宋体" w:cs="Times New Roman"/>
          <w:color w:val="000000" w:themeColor="text1"/>
          <w:sz w:val="21"/>
          <w:szCs w:val="21"/>
          <w:highlight w:val="none"/>
          <w14:textFill>
            <w14:solidFill>
              <w14:schemeClr w14:val="tx1"/>
            </w14:solidFill>
          </w14:textFill>
        </w:rPr>
        <w:t>2.评标委员会应当对电子交易平台提供的各项数据、分析结果进行审查、确认，核对电子交易平台按照招标文件设置的评标参数是否与招标文件（含招标文件的澄清、修改）规定的评标办法一致。如有不一致，应要求招标人修正评标参数，经评标委员会核实无误后方可评标。</w:t>
      </w:r>
    </w:p>
    <w:p w14:paraId="134D32CF">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489" w:name="_Toc11347"/>
      <w:bookmarkStart w:id="490" w:name="_Toc2925"/>
      <w:bookmarkStart w:id="491" w:name="_Toc2179"/>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5.资格审查及确定入围投标人</w:t>
      </w:r>
      <w:bookmarkEnd w:id="489"/>
      <w:bookmarkEnd w:id="490"/>
      <w:bookmarkEnd w:id="491"/>
    </w:p>
    <w:p w14:paraId="2DFAAE77">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Times New Roman"/>
          <w:b w:val="0"/>
          <w:bCs w:val="0"/>
          <w:color w:val="000000" w:themeColor="text1"/>
          <w:kern w:val="0"/>
          <w:sz w:val="21"/>
          <w:szCs w:val="21"/>
          <w:highlight w:val="none"/>
          <w14:textFill>
            <w14:solidFill>
              <w14:schemeClr w14:val="tx1"/>
            </w14:solidFill>
          </w14:textFill>
        </w:rPr>
      </w:pPr>
      <w:r>
        <w:rPr>
          <w:rFonts w:hint="eastAsia" w:ascii="宋体" w:hAnsi="宋体" w:eastAsia="宋体" w:cs="Times New Roman"/>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Times New Roman"/>
          <w:b w:val="0"/>
          <w:bCs w:val="0"/>
          <w:color w:val="000000" w:themeColor="text1"/>
          <w:kern w:val="0"/>
          <w:sz w:val="21"/>
          <w:szCs w:val="21"/>
          <w:highlight w:val="none"/>
          <w14:textFill>
            <w14:solidFill>
              <w14:schemeClr w14:val="tx1"/>
            </w14:solidFill>
          </w14:textFill>
        </w:rPr>
        <w:t>.1</w:t>
      </w:r>
      <w:r>
        <w:rPr>
          <w:rFonts w:hint="eastAsia" w:ascii="宋体" w:hAnsi="宋体" w:eastAsia="宋体" w:cs="Times New Roman"/>
          <w:b w:val="0"/>
          <w:bCs w:val="0"/>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Times New Roman"/>
          <w:b w:val="0"/>
          <w:bCs w:val="0"/>
          <w:color w:val="000000" w:themeColor="text1"/>
          <w:kern w:val="0"/>
          <w:sz w:val="21"/>
          <w:szCs w:val="21"/>
          <w:highlight w:val="none"/>
          <w14:textFill>
            <w14:solidFill>
              <w14:schemeClr w14:val="tx1"/>
            </w14:solidFill>
          </w14:textFill>
        </w:rPr>
        <w:t>资格审查</w:t>
      </w:r>
    </w:p>
    <w:p w14:paraId="4E0A0BD8">
      <w:pPr>
        <w:keepNext w:val="0"/>
        <w:keepLines w:val="0"/>
        <w:pageBreakBefore w:val="0"/>
        <w:widowControl w:val="0"/>
        <w:tabs>
          <w:tab w:val="left" w:pos="567"/>
        </w:tabs>
        <w:kinsoku/>
        <w:wordWrap/>
        <w:overflowPunct/>
        <w:topLinePunct w:val="0"/>
        <w:autoSpaceDE/>
        <w:autoSpaceDN/>
        <w:bidi w:val="0"/>
        <w:snapToGrid/>
        <w:spacing w:line="360" w:lineRule="auto"/>
        <w:ind w:firstLine="422" w:firstLineChars="201"/>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.1.1.评标委员会按照评标办法前附表第2项的规定对投标人进行资格审查，</w:t>
      </w:r>
      <w:r>
        <w:rPr>
          <w:rFonts w:hint="eastAsia" w:ascii="宋体" w:hAnsi="宋体" w:cs="宋体"/>
          <w:color w:val="000000" w:themeColor="text1"/>
          <w:sz w:val="21"/>
          <w:szCs w:val="21"/>
          <w:highlight w:val="none"/>
          <w14:textFill>
            <w14:solidFill>
              <w14:schemeClr w14:val="tx1"/>
            </w14:solidFill>
          </w14:textFill>
        </w:rPr>
        <w:t>有一项不符合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“资格审查标准”</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kern w:val="1"/>
          <w:sz w:val="21"/>
          <w:szCs w:val="21"/>
          <w:highlight w:val="none"/>
          <w14:textFill>
            <w14:solidFill>
              <w14:schemeClr w14:val="tx1"/>
            </w14:solidFill>
          </w14:textFill>
        </w:rPr>
        <w:t>资格审查不合格</w:t>
      </w:r>
      <w:r>
        <w:rPr>
          <w:rFonts w:hint="eastAsia" w:ascii="宋体" w:hAnsi="宋体" w:cs="宋体"/>
          <w:color w:val="000000" w:themeColor="text1"/>
          <w:kern w:val="1"/>
          <w:sz w:val="21"/>
          <w:szCs w:val="21"/>
          <w:highlight w:val="none"/>
          <w:lang w:eastAsia="zh-CN"/>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作</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否决投标</w:t>
      </w:r>
      <w:r>
        <w:rPr>
          <w:rFonts w:hint="eastAsia" w:ascii="宋体" w:hAnsi="宋体" w:cs="宋体"/>
          <w:color w:val="000000" w:themeColor="text1"/>
          <w:kern w:val="0"/>
          <w:sz w:val="21"/>
          <w:szCs w:val="21"/>
          <w:highlight w:val="none"/>
          <w:lang w:val="en-US" w:eastAsia="zh-CN"/>
          <w14:textFill>
            <w14:solidFill>
              <w14:schemeClr w14:val="tx1"/>
            </w14:solidFill>
          </w14:textFill>
        </w:rPr>
        <w:t>处理</w:t>
      </w:r>
      <w:r>
        <w:rPr>
          <w:rFonts w:hint="eastAsia" w:ascii="宋体" w:hAnsi="宋体" w:cs="宋体"/>
          <w:color w:val="000000" w:themeColor="text1"/>
          <w:kern w:val="1"/>
          <w:sz w:val="21"/>
          <w:szCs w:val="21"/>
          <w:highlight w:val="none"/>
          <w14:textFill>
            <w14:solidFill>
              <w14:schemeClr w14:val="tx1"/>
            </w14:solidFill>
          </w14:textFill>
        </w:rPr>
        <w:t>，不得进入确定入围投标人程序</w:t>
      </w:r>
      <w:r>
        <w:rPr>
          <w:rFonts w:hint="eastAsia" w:ascii="宋体" w:hAnsi="宋体" w:cs="宋体"/>
          <w:color w:val="000000" w:themeColor="text1"/>
          <w:sz w:val="21"/>
          <w:szCs w:val="21"/>
          <w:highlight w:val="none"/>
          <w14:textFill>
            <w14:solidFill>
              <w14:schemeClr w14:val="tx1"/>
            </w14:solidFill>
          </w14:textFill>
        </w:rPr>
        <w:t>。</w:t>
      </w:r>
    </w:p>
    <w:p w14:paraId="09DF3782">
      <w:pPr>
        <w:keepNext w:val="0"/>
        <w:keepLines w:val="0"/>
        <w:pageBreakBefore w:val="0"/>
        <w:widowControl w:val="0"/>
        <w:tabs>
          <w:tab w:val="left" w:pos="567"/>
        </w:tabs>
        <w:kinsoku/>
        <w:wordWrap/>
        <w:overflowPunct/>
        <w:topLinePunct w:val="0"/>
        <w:autoSpaceDE/>
        <w:autoSpaceDN/>
        <w:bidi w:val="0"/>
        <w:snapToGrid/>
        <w:spacing w:line="360" w:lineRule="auto"/>
        <w:ind w:firstLine="422" w:firstLineChars="201"/>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5.1.2.</w:t>
      </w:r>
      <w:r>
        <w:rPr>
          <w:rFonts w:hint="eastAsia" w:ascii="宋体" w:hAnsi="宋体" w:cs="宋体"/>
          <w:color w:val="000000" w:themeColor="text1"/>
          <w:kern w:val="0"/>
          <w:sz w:val="21"/>
          <w:szCs w:val="21"/>
          <w:highlight w:val="none"/>
          <w:lang w:val="en-US" w:eastAsia="zh-CN"/>
          <w14:textFill>
            <w14:solidFill>
              <w14:schemeClr w14:val="tx1"/>
            </w14:solidFill>
          </w14:textFill>
        </w:rPr>
        <w:t>评标委员会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未按照招标文件规定的程序或审查办法进行评审且影响入围投标人结果的，应当按照招标文件规定的程序或审查办法进行纠正。</w:t>
      </w:r>
    </w:p>
    <w:p w14:paraId="51DE78C3">
      <w:pPr>
        <w:keepNext w:val="0"/>
        <w:keepLines w:val="0"/>
        <w:pageBreakBefore w:val="0"/>
        <w:widowControl w:val="0"/>
        <w:tabs>
          <w:tab w:val="left" w:pos="567"/>
        </w:tabs>
        <w:kinsoku/>
        <w:wordWrap/>
        <w:overflowPunct/>
        <w:topLinePunct w:val="0"/>
        <w:autoSpaceDE/>
        <w:autoSpaceDN/>
        <w:bidi w:val="0"/>
        <w:snapToGrid/>
        <w:spacing w:line="360" w:lineRule="auto"/>
        <w:ind w:firstLine="422" w:firstLineChars="201"/>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5.1.3.</w:t>
      </w:r>
      <w:r>
        <w:rPr>
          <w:rFonts w:hint="eastAsia" w:ascii="宋体" w:hAnsi="宋体" w:cs="宋体"/>
          <w:color w:val="000000" w:themeColor="text1"/>
          <w:sz w:val="21"/>
          <w:szCs w:val="21"/>
          <w:highlight w:val="none"/>
          <w14:textFill>
            <w14:solidFill>
              <w14:schemeClr w14:val="tx1"/>
            </w14:solidFill>
          </w14:textFill>
        </w:rPr>
        <w:t>资格审查合格的投标人数量少于3家的，招标人应当重新招标。</w:t>
      </w:r>
    </w:p>
    <w:p w14:paraId="0E6473EB">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5.2.资格</w:t>
      </w:r>
      <w:r>
        <w:rPr>
          <w:rFonts w:hint="eastAsia" w:ascii="宋体" w:hAnsi="宋体" w:eastAsia="宋体" w:cs="宋体"/>
          <w:color w:val="000000" w:themeColor="text1"/>
          <w:kern w:val="0"/>
          <w:sz w:val="21"/>
          <w:szCs w:val="21"/>
          <w:highlight w:val="none"/>
          <w14:textFill>
            <w14:solidFill>
              <w14:schemeClr w14:val="tx1"/>
            </w14:solidFill>
          </w14:textFill>
        </w:rPr>
        <w:t>文件的澄清、说明和补正</w:t>
      </w:r>
    </w:p>
    <w:p w14:paraId="398E0E24">
      <w:pPr>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5.2.1.</w:t>
      </w:r>
      <w:r>
        <w:rPr>
          <w:rFonts w:hint="eastAsia" w:ascii="宋体" w:hAnsi="宋体" w:cs="宋体"/>
          <w:color w:val="000000" w:themeColor="text1"/>
          <w:kern w:val="1"/>
          <w:sz w:val="21"/>
          <w:szCs w:val="21"/>
          <w:highlight w:val="none"/>
          <w14:textFill>
            <w14:solidFill>
              <w14:schemeClr w14:val="tx1"/>
            </w14:solidFill>
          </w14:textFill>
        </w:rPr>
        <w:t>在</w:t>
      </w:r>
      <w:r>
        <w:rPr>
          <w:rFonts w:hint="eastAsia" w:ascii="宋体" w:hAnsi="宋体" w:cs="宋体"/>
          <w:color w:val="000000" w:themeColor="text1"/>
          <w:kern w:val="1"/>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1"/>
          <w:sz w:val="21"/>
          <w:szCs w:val="21"/>
          <w:highlight w:val="none"/>
          <w14:textFill>
            <w14:solidFill>
              <w14:schemeClr w14:val="tx1"/>
            </w14:solidFill>
          </w14:textFill>
        </w:rPr>
        <w:t>过程中，评标委员会可以通过电子交易平台要求投标人对所提交的</w:t>
      </w:r>
      <w:r>
        <w:rPr>
          <w:rFonts w:hint="eastAsia" w:ascii="宋体" w:hAnsi="宋体" w:cs="宋体"/>
          <w:color w:val="000000" w:themeColor="text1"/>
          <w:kern w:val="1"/>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1"/>
          <w:sz w:val="21"/>
          <w:szCs w:val="21"/>
          <w:highlight w:val="none"/>
          <w14:textFill>
            <w14:solidFill>
              <w14:schemeClr w14:val="tx1"/>
            </w14:solidFill>
          </w14:textFill>
        </w:rPr>
        <w:t>文件中不明确的内容进行书面澄清或说明，或者对细微偏差进行补正。</w:t>
      </w:r>
      <w:r>
        <w:rPr>
          <w:rFonts w:hint="eastAsia" w:ascii="宋体" w:hAnsi="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kern w:val="1"/>
          <w:sz w:val="21"/>
          <w:szCs w:val="21"/>
          <w:highlight w:val="none"/>
          <w14:textFill>
            <w14:solidFill>
              <w14:schemeClr w14:val="tx1"/>
            </w14:solidFill>
          </w14:textFill>
        </w:rPr>
        <w:t>通过电子交易平台</w:t>
      </w:r>
      <w:r>
        <w:rPr>
          <w:rFonts w:hint="eastAsia" w:ascii="宋体" w:hAnsi="宋体" w:cs="宋体"/>
          <w:color w:val="000000" w:themeColor="text1"/>
          <w:sz w:val="21"/>
          <w:szCs w:val="21"/>
          <w:highlight w:val="none"/>
          <w14:textFill>
            <w14:solidFill>
              <w14:schemeClr w14:val="tx1"/>
            </w14:solidFill>
          </w14:textFill>
        </w:rPr>
        <w:t>回复澄清、说明、补正，时限要求详见评标办法前附表第</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kern w:val="1"/>
          <w:sz w:val="21"/>
          <w:szCs w:val="21"/>
          <w:highlight w:val="none"/>
          <w14:textFill>
            <w14:solidFill>
              <w14:schemeClr w14:val="tx1"/>
            </w14:solidFill>
          </w14:textFill>
        </w:rPr>
        <w:t>评标委员会不接受投标人主动提出的澄清、说明或补正。</w:t>
      </w:r>
      <w:r>
        <w:rPr>
          <w:rFonts w:hint="eastAsia" w:ascii="宋体" w:hAnsi="宋体" w:eastAsia="宋体" w:cs="宋体"/>
          <w:color w:val="000000" w:themeColor="text1"/>
          <w:kern w:val="0"/>
          <w:sz w:val="21"/>
          <w:szCs w:val="21"/>
          <w:highlight w:val="none"/>
          <w14:textFill>
            <w14:solidFill>
              <w14:schemeClr w14:val="tx1"/>
            </w14:solidFill>
          </w14:textFill>
        </w:rPr>
        <w:t>澄清、说明和补正</w:t>
      </w:r>
      <w:r>
        <w:rPr>
          <w:rFonts w:hint="eastAsia" w:ascii="宋体" w:hAnsi="宋体" w:cs="宋体"/>
          <w:color w:val="000000" w:themeColor="text1"/>
          <w:kern w:val="1"/>
          <w:sz w:val="21"/>
          <w:szCs w:val="21"/>
          <w:highlight w:val="none"/>
          <w14:textFill>
            <w14:solidFill>
              <w14:schemeClr w14:val="tx1"/>
            </w14:solidFill>
          </w14:textFill>
        </w:rPr>
        <w:t>格式见附件3-</w:t>
      </w:r>
      <w:r>
        <w:rPr>
          <w:rFonts w:hint="eastAsia" w:ascii="宋体" w:hAnsi="宋体" w:cs="宋体"/>
          <w:color w:val="000000" w:themeColor="text1"/>
          <w:kern w:val="1"/>
          <w:sz w:val="21"/>
          <w:szCs w:val="21"/>
          <w:highlight w:val="none"/>
          <w:lang w:val="en-US" w:eastAsia="zh-CN"/>
          <w14:textFill>
            <w14:solidFill>
              <w14:schemeClr w14:val="tx1"/>
            </w14:solidFill>
          </w14:textFill>
        </w:rPr>
        <w:t>2</w:t>
      </w:r>
      <w:r>
        <w:rPr>
          <w:rFonts w:hint="eastAsia" w:ascii="宋体" w:hAnsi="宋体" w:cs="宋体"/>
          <w:color w:val="000000" w:themeColor="text1"/>
          <w:kern w:val="1"/>
          <w:sz w:val="21"/>
          <w:szCs w:val="21"/>
          <w:highlight w:val="none"/>
          <w14:textFill>
            <w14:solidFill>
              <w14:schemeClr w14:val="tx1"/>
            </w14:solidFill>
          </w14:textFill>
        </w:rPr>
        <w:t>、3-</w:t>
      </w:r>
      <w:r>
        <w:rPr>
          <w:rFonts w:hint="eastAsia" w:ascii="宋体" w:hAnsi="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cs="宋体"/>
          <w:color w:val="000000" w:themeColor="text1"/>
          <w:kern w:val="1"/>
          <w:sz w:val="21"/>
          <w:szCs w:val="21"/>
          <w:highlight w:val="none"/>
          <w14:textFill>
            <w14:solidFill>
              <w14:schemeClr w14:val="tx1"/>
            </w14:solidFill>
          </w14:textFill>
        </w:rPr>
        <w:t>。</w:t>
      </w:r>
    </w:p>
    <w:p w14:paraId="22F5DCA5">
      <w:pPr>
        <w:keepNext w:val="0"/>
        <w:keepLines w:val="0"/>
        <w:pageBreakBefore w:val="0"/>
        <w:widowControl w:val="0"/>
        <w:kinsoku/>
        <w:wordWrap/>
        <w:overflowPunct/>
        <w:topLinePunct w:val="0"/>
        <w:autoSpaceDE/>
        <w:autoSpaceDN/>
        <w:bidi w:val="0"/>
        <w:snapToGrid/>
        <w:spacing w:line="360" w:lineRule="auto"/>
        <w:ind w:firstLine="424" w:firstLineChars="202"/>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细微偏差是指投标文件在实质上响应招标文件要求，但在个别地方存在漏项或者提供了不完整的信息和数据等情况，并且补正这些遗漏或者不完整不会对其他投标人造成不公平的结果。细微偏差不影响投标文件的有效性。</w:t>
      </w:r>
    </w:p>
    <w:p w14:paraId="18886C50">
      <w:pPr>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5.2.2.</w:t>
      </w:r>
      <w:r>
        <w:rPr>
          <w:rFonts w:hint="eastAsia" w:ascii="宋体" w:hAnsi="宋体" w:cs="宋体"/>
          <w:color w:val="000000" w:themeColor="text1"/>
          <w:kern w:val="1"/>
          <w:sz w:val="21"/>
          <w:szCs w:val="21"/>
          <w:highlight w:val="none"/>
          <w14:textFill>
            <w14:solidFill>
              <w14:schemeClr w14:val="tx1"/>
            </w14:solidFill>
          </w14:textFill>
        </w:rPr>
        <w:t>澄清、说明和补正不得改变投标文件的实质性内容。投标人的书面澄清、说明和补正属于</w:t>
      </w:r>
      <w:r>
        <w:rPr>
          <w:rFonts w:hint="eastAsia" w:ascii="宋体" w:hAnsi="宋体" w:cs="宋体"/>
          <w:color w:val="000000" w:themeColor="text1"/>
          <w:kern w:val="1"/>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1"/>
          <w:sz w:val="21"/>
          <w:szCs w:val="21"/>
          <w:highlight w:val="none"/>
          <w14:textFill>
            <w14:solidFill>
              <w14:schemeClr w14:val="tx1"/>
            </w14:solidFill>
          </w14:textFill>
        </w:rPr>
        <w:t>文件的组成部分。</w:t>
      </w:r>
    </w:p>
    <w:p w14:paraId="2ADEB2CD">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5.2.3.</w:t>
      </w:r>
      <w:r>
        <w:rPr>
          <w:rFonts w:hint="eastAsia" w:ascii="宋体" w:hAnsi="宋体" w:cs="宋体"/>
          <w:color w:val="000000" w:themeColor="text1"/>
          <w:kern w:val="1"/>
          <w:sz w:val="2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14:paraId="0A189064">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5.2.4.投标人</w:t>
      </w:r>
      <w:r>
        <w:rPr>
          <w:rFonts w:hint="eastAsia" w:ascii="宋体" w:hAnsi="宋体" w:cs="宋体"/>
          <w:color w:val="000000" w:themeColor="text1"/>
          <w:kern w:val="1"/>
          <w:sz w:val="21"/>
          <w:szCs w:val="21"/>
          <w:highlight w:val="none"/>
          <w14:textFill>
            <w14:solidFill>
              <w14:schemeClr w14:val="tx1"/>
            </w14:solidFill>
          </w14:textFill>
        </w:rPr>
        <w:t>不按评标委员会要求</w:t>
      </w:r>
      <w:r>
        <w:rPr>
          <w:rFonts w:hint="eastAsia" w:ascii="宋体" w:hAnsi="宋体" w:cs="宋体"/>
          <w:color w:val="000000" w:themeColor="text1"/>
          <w:kern w:val="1"/>
          <w:sz w:val="21"/>
          <w:szCs w:val="21"/>
          <w:highlight w:val="none"/>
          <w:lang w:val="en-US" w:eastAsia="zh-CN"/>
          <w14:textFill>
            <w14:solidFill>
              <w14:schemeClr w14:val="tx1"/>
            </w14:solidFill>
          </w14:textFill>
        </w:rPr>
        <w:t>对资格文件</w:t>
      </w:r>
      <w:r>
        <w:rPr>
          <w:rFonts w:hint="eastAsia" w:ascii="宋体" w:hAnsi="宋体" w:cs="宋体"/>
          <w:color w:val="000000" w:themeColor="text1"/>
          <w:kern w:val="1"/>
          <w:sz w:val="21"/>
          <w:szCs w:val="21"/>
          <w:highlight w:val="none"/>
          <w14:textFill>
            <w14:solidFill>
              <w14:schemeClr w14:val="tx1"/>
            </w14:solidFill>
          </w14:textFill>
        </w:rPr>
        <w:t>澄清、说明或补正的，</w:t>
      </w:r>
      <w:r>
        <w:rPr>
          <w:rFonts w:hint="default" w:ascii="宋体" w:hAnsi="宋体" w:cs="宋体"/>
          <w:color w:val="000000" w:themeColor="text1"/>
          <w:kern w:val="1"/>
          <w:sz w:val="21"/>
          <w:szCs w:val="21"/>
          <w:highlight w:val="none"/>
          <w14:textFill>
            <w14:solidFill>
              <w14:schemeClr w14:val="tx1"/>
            </w14:solidFill>
          </w14:textFill>
        </w:rPr>
        <w:t>或无法作出合理说明</w:t>
      </w:r>
      <w:r>
        <w:rPr>
          <w:rFonts w:hint="eastAsia" w:ascii="宋体" w:hAnsi="宋体" w:cs="宋体"/>
          <w:color w:val="000000" w:themeColor="text1"/>
          <w:kern w:val="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评标委员会应当</w:t>
      </w:r>
      <w:r>
        <w:rPr>
          <w:rFonts w:hint="eastAsia" w:ascii="宋体" w:hAnsi="宋体" w:cs="宋体"/>
          <w:color w:val="000000" w:themeColor="text1"/>
          <w:sz w:val="21"/>
          <w:szCs w:val="21"/>
          <w:highlight w:val="none"/>
          <w:lang w:val="en-US" w:eastAsia="zh-CN"/>
          <w14:textFill>
            <w14:solidFill>
              <w14:schemeClr w14:val="tx1"/>
            </w14:solidFill>
          </w14:textFill>
        </w:rPr>
        <w:t>作出资格审查不合格的审查结论</w:t>
      </w:r>
      <w:r>
        <w:rPr>
          <w:rFonts w:hint="eastAsia" w:ascii="宋体" w:hAnsi="宋体" w:cs="宋体"/>
          <w:color w:val="000000" w:themeColor="text1"/>
          <w:sz w:val="21"/>
          <w:szCs w:val="21"/>
          <w:highlight w:val="none"/>
          <w:lang w:eastAsia="zh-CN"/>
          <w14:textFill>
            <w14:solidFill>
              <w14:schemeClr w14:val="tx1"/>
            </w14:solidFill>
          </w14:textFill>
        </w:rPr>
        <w:t>。</w:t>
      </w:r>
    </w:p>
    <w:p w14:paraId="0410A060">
      <w:pPr>
        <w:keepNext w:val="0"/>
        <w:keepLines w:val="0"/>
        <w:pageBreakBefore w:val="0"/>
        <w:widowControl w:val="0"/>
        <w:tabs>
          <w:tab w:val="left" w:pos="567"/>
        </w:tabs>
        <w:kinsoku/>
        <w:wordWrap/>
        <w:overflowPunct/>
        <w:topLinePunct w:val="0"/>
        <w:autoSpaceDE/>
        <w:autoSpaceDN/>
        <w:bidi w:val="0"/>
        <w:snapToGrid/>
        <w:spacing w:line="360" w:lineRule="auto"/>
        <w:ind w:firstLine="422" w:firstLineChars="201"/>
        <w:jc w:val="left"/>
        <w:rPr>
          <w:rFonts w:hint="eastAsia" w:ascii="宋体" w:hAnsi="宋体" w:eastAsia="宋体" w:cs="Times New Roman"/>
          <w:b w:val="0"/>
          <w:bCs w:val="0"/>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5.3.</w:t>
      </w:r>
      <w:r>
        <w:rPr>
          <w:rFonts w:hint="eastAsia" w:ascii="宋体" w:hAnsi="宋体" w:cs="宋体"/>
          <w:color w:val="000000" w:themeColor="text1"/>
          <w:sz w:val="21"/>
          <w:szCs w:val="21"/>
          <w:highlight w:val="none"/>
          <w14:textFill>
            <w14:solidFill>
              <w14:schemeClr w14:val="tx1"/>
            </w14:solidFill>
          </w14:textFill>
        </w:rPr>
        <w:t>确定入围投标人</w:t>
      </w:r>
    </w:p>
    <w:p w14:paraId="48D34224">
      <w:pPr>
        <w:keepNext w:val="0"/>
        <w:keepLines w:val="0"/>
        <w:pageBreakBefore w:val="0"/>
        <w:widowControl w:val="0"/>
        <w:tabs>
          <w:tab w:val="left" w:pos="567"/>
        </w:tabs>
        <w:kinsoku/>
        <w:wordWrap/>
        <w:overflowPunct/>
        <w:topLinePunct w:val="0"/>
        <w:autoSpaceDE/>
        <w:autoSpaceDN/>
        <w:bidi w:val="0"/>
        <w:snapToGrid/>
        <w:spacing w:line="360" w:lineRule="auto"/>
        <w:ind w:firstLine="422" w:firstLineChars="201"/>
        <w:jc w:val="left"/>
        <w:rPr>
          <w:rFonts w:hint="eastAsia" w:ascii="宋体" w:hAnsi="宋体"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0"/>
          <w:sz w:val="21"/>
          <w:szCs w:val="21"/>
          <w:highlight w:val="none"/>
          <w:lang w:val="en-US" w:eastAsia="zh-CN"/>
          <w14:textFill>
            <w14:solidFill>
              <w14:schemeClr w14:val="tx1"/>
            </w14:solidFill>
          </w14:textFill>
        </w:rPr>
        <w:t>本招标项目采用合格制方式确定入围投标人。评标委员会对投标人是否满足招标文件的资格条件要求进行审查，满足资格条件要求的投标人均为入围投标人。</w:t>
      </w:r>
    </w:p>
    <w:p w14:paraId="1B1FFCAF">
      <w:pPr>
        <w:pStyle w:val="4"/>
        <w:spacing w:beforeLines="50" w:afterLines="50" w:line="360" w:lineRule="auto"/>
        <w:rPr>
          <w:rFonts w:hint="default" w:ascii="黑体" w:hAnsi="黑体" w:eastAsia="黑体"/>
          <w:b w:val="0"/>
          <w:color w:val="000000" w:themeColor="text1"/>
          <w:sz w:val="28"/>
          <w:szCs w:val="28"/>
          <w:highlight w:val="none"/>
          <w:lang w:val="en-US" w:eastAsia="zh-CN"/>
          <w14:textFill>
            <w14:solidFill>
              <w14:schemeClr w14:val="tx1"/>
            </w14:solidFill>
          </w14:textFill>
        </w:rPr>
      </w:pPr>
      <w:bookmarkStart w:id="492" w:name="_Toc19200"/>
      <w:bookmarkStart w:id="493" w:name="_Toc27775"/>
      <w:bookmarkStart w:id="494" w:name="_Toc27807"/>
      <w:r>
        <w:rPr>
          <w:rFonts w:hint="eastAsia" w:ascii="黑体" w:hAnsi="黑体" w:eastAsia="黑体"/>
          <w:b w:val="0"/>
          <w:color w:val="000000" w:themeColor="text1"/>
          <w:sz w:val="28"/>
          <w:szCs w:val="28"/>
          <w:highlight w:val="none"/>
          <w:lang w:val="en-US" w:eastAsia="zh-CN"/>
          <w14:textFill>
            <w14:solidFill>
              <w14:schemeClr w14:val="tx1"/>
            </w14:solidFill>
          </w14:textFill>
        </w:rPr>
        <w:t>6</w:t>
      </w:r>
      <w:r>
        <w:rPr>
          <w:rFonts w:hint="eastAsia"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lang w:val="en-US" w:eastAsia="zh-CN"/>
          <w14:textFill>
            <w14:solidFill>
              <w14:schemeClr w14:val="tx1"/>
            </w14:solidFill>
          </w14:textFill>
        </w:rPr>
        <w:t>定性评审</w:t>
      </w:r>
      <w:bookmarkEnd w:id="492"/>
      <w:bookmarkEnd w:id="493"/>
      <w:bookmarkEnd w:id="494"/>
    </w:p>
    <w:p w14:paraId="7DB2E18B">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6.1.</w:t>
      </w:r>
      <w:r>
        <w:rPr>
          <w:rFonts w:hint="eastAsia" w:ascii="宋体" w:hAnsi="宋体" w:eastAsia="宋体" w:cs="宋体"/>
          <w:color w:val="000000" w:themeColor="text1"/>
          <w:sz w:val="21"/>
          <w:szCs w:val="21"/>
          <w:highlight w:val="none"/>
          <w14:textFill>
            <w14:solidFill>
              <w14:schemeClr w14:val="tx1"/>
            </w14:solidFill>
          </w14:textFill>
        </w:rPr>
        <w:t>符合性和响应性评审</w:t>
      </w:r>
    </w:p>
    <w:p w14:paraId="061A47BC">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按照评标办法前附表第</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项的规定对入围投标人的投标文件进行符合性检查和响应性评审，只有全部通过符合性检查和响应性评审的投标人，才能进入详细评审，否则应否决其投标。</w:t>
      </w:r>
    </w:p>
    <w:p w14:paraId="7D69E6DB">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b w:val="0"/>
          <w:color w:val="000000" w:themeColor="text1"/>
          <w:sz w:val="21"/>
          <w:szCs w:val="21"/>
          <w:highlight w:val="none"/>
          <w14:textFill>
            <w14:solidFill>
              <w14:schemeClr w14:val="tx1"/>
            </w14:solidFill>
          </w14:textFill>
        </w:rPr>
        <w:t>.详细评审</w:t>
      </w:r>
    </w:p>
    <w:p w14:paraId="1F0B8F85">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分值构成</w:t>
      </w:r>
      <w:r>
        <w:rPr>
          <w:rFonts w:hint="eastAsia" w:ascii="宋体" w:hAnsi="宋体"/>
          <w:color w:val="000000" w:themeColor="text1"/>
          <w:sz w:val="21"/>
          <w:szCs w:val="21"/>
          <w:highlight w:val="none"/>
          <w14:textFill>
            <w14:solidFill>
              <w14:schemeClr w14:val="tx1"/>
            </w14:solidFill>
          </w14:textFill>
        </w:rPr>
        <w:t>：本招标项目采用百分制量化打分，分值组构成见</w:t>
      </w:r>
      <w:r>
        <w:rPr>
          <w:rFonts w:ascii="宋体" w:hAnsi="宋体"/>
          <w:color w:val="000000" w:themeColor="text1"/>
          <w:sz w:val="21"/>
          <w:szCs w:val="21"/>
          <w:highlight w:val="none"/>
          <w14:textFill>
            <w14:solidFill>
              <w14:schemeClr w14:val="tx1"/>
            </w14:solidFill>
          </w14:textFill>
        </w:rPr>
        <w:t>评标办法前附表</w:t>
      </w:r>
      <w:r>
        <w:rPr>
          <w:rFonts w:hint="eastAsia" w:ascii="宋体" w:hAnsi="宋体"/>
          <w:color w:val="000000" w:themeColor="text1"/>
          <w:sz w:val="21"/>
          <w:szCs w:val="21"/>
          <w:highlight w:val="none"/>
          <w14:textFill>
            <w14:solidFill>
              <w14:schemeClr w14:val="tx1"/>
            </w14:solidFill>
          </w14:textFill>
        </w:rPr>
        <w:t>第</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项</w:t>
      </w:r>
      <w:r>
        <w:rPr>
          <w:rFonts w:ascii="宋体" w:hAnsi="宋体"/>
          <w:color w:val="000000" w:themeColor="text1"/>
          <w:sz w:val="21"/>
          <w:szCs w:val="21"/>
          <w:highlight w:val="none"/>
          <w14:textFill>
            <w14:solidFill>
              <w14:schemeClr w14:val="tx1"/>
            </w14:solidFill>
          </w14:textFill>
        </w:rPr>
        <w:t>规定</w:t>
      </w:r>
      <w:r>
        <w:rPr>
          <w:rFonts w:hint="eastAsia" w:ascii="宋体" w:hAnsi="宋体"/>
          <w:color w:val="000000" w:themeColor="text1"/>
          <w:sz w:val="21"/>
          <w:szCs w:val="21"/>
          <w:highlight w:val="none"/>
          <w14:textFill>
            <w14:solidFill>
              <w14:schemeClr w14:val="tx1"/>
            </w14:solidFill>
          </w14:textFill>
        </w:rPr>
        <w:t>。在评分项目分值总数不变的原则框架内，结合项目实际，由招标人自行确定各评审内容分值，分值分布应当准确、合理。</w:t>
      </w:r>
    </w:p>
    <w:p w14:paraId="3D7DD84A">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按照</w:t>
      </w:r>
      <w:r>
        <w:rPr>
          <w:rFonts w:ascii="宋体" w:hAnsi="宋体"/>
          <w:color w:val="000000" w:themeColor="text1"/>
          <w:sz w:val="21"/>
          <w:szCs w:val="21"/>
          <w:highlight w:val="none"/>
          <w14:textFill>
            <w14:solidFill>
              <w14:schemeClr w14:val="tx1"/>
            </w14:solidFill>
          </w14:textFill>
        </w:rPr>
        <w:t>评标办法前附表</w:t>
      </w:r>
      <w:r>
        <w:rPr>
          <w:rFonts w:hint="eastAsia" w:ascii="宋体" w:hAnsi="宋体"/>
          <w:color w:val="000000" w:themeColor="text1"/>
          <w:sz w:val="21"/>
          <w:szCs w:val="21"/>
          <w:highlight w:val="none"/>
          <w14:textFill>
            <w14:solidFill>
              <w14:schemeClr w14:val="tx1"/>
            </w14:solidFill>
          </w14:textFill>
        </w:rPr>
        <w:t>第</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项、第</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项、第</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项</w:t>
      </w:r>
      <w:r>
        <w:rPr>
          <w:rFonts w:ascii="宋体" w:hAnsi="宋体"/>
          <w:color w:val="000000" w:themeColor="text1"/>
          <w:sz w:val="21"/>
          <w:szCs w:val="21"/>
          <w:highlight w:val="none"/>
          <w14:textFill>
            <w14:solidFill>
              <w14:schemeClr w14:val="tx1"/>
            </w14:solidFill>
          </w14:textFill>
        </w:rPr>
        <w:t>规定的量化因素和分值进行</w:t>
      </w:r>
      <w:r>
        <w:rPr>
          <w:rFonts w:hint="eastAsia" w:ascii="宋体" w:hAnsi="宋体"/>
          <w:color w:val="000000" w:themeColor="text1"/>
          <w:sz w:val="21"/>
          <w:szCs w:val="21"/>
          <w:highlight w:val="none"/>
          <w14:textFill>
            <w14:solidFill>
              <w14:schemeClr w14:val="tx1"/>
            </w14:solidFill>
          </w14:textFill>
        </w:rPr>
        <w:t>独立、客观、公正地</w:t>
      </w:r>
      <w:r>
        <w:rPr>
          <w:rFonts w:ascii="宋体" w:hAnsi="宋体"/>
          <w:color w:val="000000" w:themeColor="text1"/>
          <w:sz w:val="21"/>
          <w:szCs w:val="21"/>
          <w:highlight w:val="none"/>
          <w14:textFill>
            <w14:solidFill>
              <w14:schemeClr w14:val="tx1"/>
            </w14:solidFill>
          </w14:textFill>
        </w:rPr>
        <w:t>打分。</w:t>
      </w:r>
    </w:p>
    <w:p w14:paraId="682CAC20">
      <w:pPr>
        <w:pStyle w:val="17"/>
        <w:keepNext w:val="0"/>
        <w:keepLines w:val="0"/>
        <w:pageBreakBefore w:val="0"/>
        <w:widowControl w:val="0"/>
        <w:kinsoku/>
        <w:wordWrap/>
        <w:overflowPunct/>
        <w:topLinePunct w:val="0"/>
        <w:autoSpaceDE/>
        <w:autoSpaceDN/>
        <w:bidi w:val="0"/>
        <w:snapToGrid/>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技术文件：按照</w:t>
      </w:r>
      <w:r>
        <w:rPr>
          <w:rFonts w:ascii="宋体" w:hAnsi="宋体"/>
          <w:color w:val="000000" w:themeColor="text1"/>
          <w:sz w:val="21"/>
          <w:szCs w:val="21"/>
          <w:highlight w:val="none"/>
          <w14:textFill>
            <w14:solidFill>
              <w14:schemeClr w14:val="tx1"/>
            </w14:solidFill>
          </w14:textFill>
        </w:rPr>
        <w:t>评标办法前附表</w:t>
      </w:r>
      <w:r>
        <w:rPr>
          <w:rFonts w:hint="eastAsia" w:ascii="宋体" w:hAnsi="宋体"/>
          <w:color w:val="000000" w:themeColor="text1"/>
          <w:sz w:val="21"/>
          <w:szCs w:val="21"/>
          <w:highlight w:val="none"/>
          <w14:textFill>
            <w14:solidFill>
              <w14:schemeClr w14:val="tx1"/>
            </w14:solidFill>
          </w14:textFill>
        </w:rPr>
        <w:t>第</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项</w:t>
      </w:r>
      <w:r>
        <w:rPr>
          <w:rFonts w:ascii="宋体" w:hAnsi="宋体"/>
          <w:color w:val="000000" w:themeColor="text1"/>
          <w:sz w:val="21"/>
          <w:szCs w:val="21"/>
          <w:highlight w:val="none"/>
          <w14:textFill>
            <w14:solidFill>
              <w14:schemeClr w14:val="tx1"/>
            </w14:solidFill>
          </w14:textFill>
        </w:rPr>
        <w:t>规定的评审因素和分值对</w:t>
      </w:r>
      <w:r>
        <w:rPr>
          <w:rFonts w:hint="eastAsia" w:ascii="宋体" w:hAnsi="宋体"/>
          <w:color w:val="000000" w:themeColor="text1"/>
          <w:sz w:val="21"/>
          <w:szCs w:val="21"/>
          <w:highlight w:val="none"/>
          <w14:textFill>
            <w14:solidFill>
              <w14:schemeClr w14:val="tx1"/>
            </w14:solidFill>
          </w14:textFill>
        </w:rPr>
        <w:t>技术文件</w:t>
      </w:r>
      <w:r>
        <w:rPr>
          <w:rFonts w:ascii="宋体" w:hAnsi="宋体"/>
          <w:color w:val="000000" w:themeColor="text1"/>
          <w:sz w:val="21"/>
          <w:szCs w:val="21"/>
          <w:highlight w:val="none"/>
          <w14:textFill>
            <w14:solidFill>
              <w14:schemeClr w14:val="tx1"/>
            </w14:solidFill>
          </w14:textFill>
        </w:rPr>
        <w:t>计算出得分</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14:textFill>
            <w14:solidFill>
              <w14:schemeClr w14:val="tx1"/>
            </w14:solidFill>
          </w14:textFill>
        </w:rPr>
        <w:t>在评标委员会各成员的最后评分中去掉一个最高分，去掉一个最低分后取其算术平均值作为该投标人的最终得分（小数点后取2位数，第3位“四舍五入”）</w:t>
      </w:r>
      <w:r>
        <w:rPr>
          <w:rFonts w:hint="eastAsia" w:ascii="宋体" w:hAnsi="宋体"/>
          <w:color w:val="000000" w:themeColor="text1"/>
          <w:sz w:val="21"/>
          <w:szCs w:val="21"/>
          <w:highlight w:val="none"/>
          <w14:textFill>
            <w14:solidFill>
              <w14:schemeClr w14:val="tx1"/>
            </w14:solidFill>
          </w14:textFill>
        </w:rPr>
        <w:t>。</w:t>
      </w:r>
    </w:p>
    <w:p w14:paraId="1C6A2CA3">
      <w:pPr>
        <w:pStyle w:val="17"/>
        <w:keepNext w:val="0"/>
        <w:keepLines w:val="0"/>
        <w:pageBreakBefore w:val="0"/>
        <w:widowControl w:val="0"/>
        <w:kinsoku/>
        <w:wordWrap/>
        <w:overflowPunct/>
        <w:topLinePunct w:val="0"/>
        <w:autoSpaceDE/>
        <w:autoSpaceDN/>
        <w:bidi w:val="0"/>
        <w:snapToGrid/>
        <w:spacing w:after="0" w:line="360" w:lineRule="auto"/>
        <w:ind w:firstLine="315" w:firstLineChars="15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商务文件：按照</w:t>
      </w:r>
      <w:r>
        <w:rPr>
          <w:rFonts w:ascii="宋体" w:hAnsi="宋体"/>
          <w:color w:val="000000" w:themeColor="text1"/>
          <w:sz w:val="21"/>
          <w:szCs w:val="21"/>
          <w:highlight w:val="none"/>
          <w14:textFill>
            <w14:solidFill>
              <w14:schemeClr w14:val="tx1"/>
            </w14:solidFill>
          </w14:textFill>
        </w:rPr>
        <w:t>评标办法前附表</w:t>
      </w:r>
      <w:r>
        <w:rPr>
          <w:rFonts w:hint="eastAsia" w:ascii="宋体" w:hAnsi="宋体"/>
          <w:color w:val="000000" w:themeColor="text1"/>
          <w:sz w:val="21"/>
          <w:szCs w:val="21"/>
          <w:highlight w:val="none"/>
          <w14:textFill>
            <w14:solidFill>
              <w14:schemeClr w14:val="tx1"/>
            </w14:solidFill>
          </w14:textFill>
        </w:rPr>
        <w:t>第</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项</w:t>
      </w:r>
      <w:r>
        <w:rPr>
          <w:rFonts w:ascii="宋体" w:hAnsi="宋体"/>
          <w:color w:val="000000" w:themeColor="text1"/>
          <w:sz w:val="21"/>
          <w:szCs w:val="21"/>
          <w:highlight w:val="none"/>
          <w14:textFill>
            <w14:solidFill>
              <w14:schemeClr w14:val="tx1"/>
            </w14:solidFill>
          </w14:textFill>
        </w:rPr>
        <w:t>规定的评审因素和分值对</w:t>
      </w:r>
      <w:r>
        <w:rPr>
          <w:rFonts w:hint="eastAsia" w:ascii="宋体" w:hAnsi="宋体"/>
          <w:color w:val="000000" w:themeColor="text1"/>
          <w:sz w:val="21"/>
          <w:szCs w:val="21"/>
          <w:highlight w:val="none"/>
          <w14:textFill>
            <w14:solidFill>
              <w14:schemeClr w14:val="tx1"/>
            </w14:solidFill>
          </w14:textFill>
        </w:rPr>
        <w:t>商务文件</w:t>
      </w:r>
      <w:r>
        <w:rPr>
          <w:rFonts w:ascii="宋体" w:hAnsi="宋体"/>
          <w:color w:val="000000" w:themeColor="text1"/>
          <w:sz w:val="21"/>
          <w:szCs w:val="21"/>
          <w:highlight w:val="none"/>
          <w14:textFill>
            <w14:solidFill>
              <w14:schemeClr w14:val="tx1"/>
            </w14:solidFill>
          </w14:textFill>
        </w:rPr>
        <w:t>计算出得分</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14:textFill>
            <w14:solidFill>
              <w14:schemeClr w14:val="tx1"/>
            </w14:solidFill>
          </w14:textFill>
        </w:rPr>
        <w:t>在评标委员会各成员的最后评分中去掉一个最高分，去掉一个最低分后取其算术平均值作为该投标人的最终得分（小数点后取2位数，第3位“四舍五入”）</w:t>
      </w:r>
      <w:r>
        <w:rPr>
          <w:rFonts w:hint="eastAsia" w:ascii="宋体" w:hAnsi="宋体"/>
          <w:color w:val="000000" w:themeColor="text1"/>
          <w:sz w:val="21"/>
          <w:szCs w:val="21"/>
          <w:highlight w:val="none"/>
          <w14:textFill>
            <w14:solidFill>
              <w14:schemeClr w14:val="tx1"/>
            </w14:solidFill>
          </w14:textFill>
        </w:rPr>
        <w:t>。</w:t>
      </w:r>
    </w:p>
    <w:p w14:paraId="60A9134E">
      <w:pPr>
        <w:pStyle w:val="17"/>
        <w:keepNext w:val="0"/>
        <w:keepLines w:val="0"/>
        <w:pageBreakBefore w:val="0"/>
        <w:widowControl w:val="0"/>
        <w:kinsoku/>
        <w:wordWrap/>
        <w:overflowPunct/>
        <w:topLinePunct w:val="0"/>
        <w:autoSpaceDE/>
        <w:autoSpaceDN/>
        <w:bidi w:val="0"/>
        <w:snapToGrid/>
        <w:spacing w:after="0" w:line="360" w:lineRule="auto"/>
        <w:ind w:firstLine="315" w:firstLineChars="15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企业信用：按照</w:t>
      </w:r>
      <w:r>
        <w:rPr>
          <w:rFonts w:ascii="宋体" w:hAnsi="宋体"/>
          <w:color w:val="000000" w:themeColor="text1"/>
          <w:sz w:val="21"/>
          <w:szCs w:val="21"/>
          <w:highlight w:val="none"/>
          <w14:textFill>
            <w14:solidFill>
              <w14:schemeClr w14:val="tx1"/>
            </w14:solidFill>
          </w14:textFill>
        </w:rPr>
        <w:t>评标办法前附表</w:t>
      </w:r>
      <w:r>
        <w:rPr>
          <w:rFonts w:hint="eastAsia" w:ascii="宋体" w:hAnsi="宋体"/>
          <w:color w:val="000000" w:themeColor="text1"/>
          <w:sz w:val="21"/>
          <w:szCs w:val="21"/>
          <w:highlight w:val="none"/>
          <w14:textFill>
            <w14:solidFill>
              <w14:schemeClr w14:val="tx1"/>
            </w14:solidFill>
          </w14:textFill>
        </w:rPr>
        <w:t>第</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项</w:t>
      </w:r>
      <w:r>
        <w:rPr>
          <w:rFonts w:ascii="宋体" w:hAnsi="宋体"/>
          <w:color w:val="000000" w:themeColor="text1"/>
          <w:sz w:val="21"/>
          <w:szCs w:val="21"/>
          <w:highlight w:val="none"/>
          <w14:textFill>
            <w14:solidFill>
              <w14:schemeClr w14:val="tx1"/>
            </w14:solidFill>
          </w14:textFill>
        </w:rPr>
        <w:t>规定的评审因素和分值对</w:t>
      </w:r>
      <w:r>
        <w:rPr>
          <w:rFonts w:hint="eastAsia" w:ascii="宋体" w:hAnsi="宋体"/>
          <w:color w:val="000000" w:themeColor="text1"/>
          <w:sz w:val="21"/>
          <w:szCs w:val="21"/>
          <w:highlight w:val="none"/>
          <w14:textFill>
            <w14:solidFill>
              <w14:schemeClr w14:val="tx1"/>
            </w14:solidFill>
          </w14:textFill>
        </w:rPr>
        <w:t>投标人信用</w:t>
      </w:r>
      <w:r>
        <w:rPr>
          <w:rFonts w:ascii="宋体" w:hAnsi="宋体"/>
          <w:color w:val="000000" w:themeColor="text1"/>
          <w:sz w:val="21"/>
          <w:szCs w:val="21"/>
          <w:highlight w:val="none"/>
          <w14:textFill>
            <w14:solidFill>
              <w14:schemeClr w14:val="tx1"/>
            </w14:solidFill>
          </w14:textFill>
        </w:rPr>
        <w:t>计算出得分</w:t>
      </w:r>
      <w:r>
        <w:rPr>
          <w:rFonts w:hint="eastAsia" w:ascii="宋体" w:hAnsi="宋体"/>
          <w:color w:val="000000" w:themeColor="text1"/>
          <w:sz w:val="21"/>
          <w:szCs w:val="21"/>
          <w:highlight w:val="none"/>
          <w14:textFill>
            <w14:solidFill>
              <w14:schemeClr w14:val="tx1"/>
            </w14:solidFill>
          </w14:textFill>
        </w:rPr>
        <w:t>。</w:t>
      </w:r>
    </w:p>
    <w:p w14:paraId="13CBA94A">
      <w:pPr>
        <w:pStyle w:val="17"/>
        <w:keepNext w:val="0"/>
        <w:keepLines w:val="0"/>
        <w:pageBreakBefore w:val="0"/>
        <w:widowControl w:val="0"/>
        <w:kinsoku/>
        <w:wordWrap/>
        <w:overflowPunct/>
        <w:topLinePunct w:val="0"/>
        <w:autoSpaceDE/>
        <w:autoSpaceDN/>
        <w:bidi w:val="0"/>
        <w:snapToGrid/>
        <w:spacing w:after="0" w:line="360" w:lineRule="auto"/>
        <w:ind w:firstLine="424" w:firstLineChars="202"/>
        <w:jc w:val="left"/>
        <w:rPr>
          <w:rFonts w:ascii="宋体" w:hAnsi="宋体"/>
          <w:bCs/>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评标委员会成员应在</w:t>
      </w:r>
      <w:r>
        <w:rPr>
          <w:rFonts w:hint="eastAsia" w:ascii="宋体" w:hAnsi="宋体"/>
          <w:bCs/>
          <w:color w:val="000000" w:themeColor="text1"/>
          <w:sz w:val="21"/>
          <w:szCs w:val="21"/>
          <w:highlight w:val="none"/>
          <w14:textFill>
            <w14:solidFill>
              <w14:schemeClr w14:val="tx1"/>
            </w14:solidFill>
          </w14:textFill>
        </w:rPr>
        <w:t>评分范围内评分，超出评分范围的评分将视为无效评分。</w:t>
      </w:r>
      <w:r>
        <w:rPr>
          <w:rFonts w:ascii="宋体" w:hAnsi="宋体"/>
          <w:color w:val="000000" w:themeColor="text1"/>
          <w:sz w:val="21"/>
          <w:szCs w:val="21"/>
          <w:highlight w:val="none"/>
          <w14:textFill>
            <w14:solidFill>
              <w14:schemeClr w14:val="tx1"/>
            </w14:solidFill>
          </w14:textFill>
        </w:rPr>
        <w:t>评分分值计算保留小数点</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两位，小数点后第</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位“四舍五入”。</w:t>
      </w:r>
    </w:p>
    <w:p w14:paraId="6B0E337B">
      <w:pPr>
        <w:pStyle w:val="17"/>
        <w:keepNext w:val="0"/>
        <w:keepLines w:val="0"/>
        <w:pageBreakBefore w:val="0"/>
        <w:widowControl w:val="0"/>
        <w:kinsoku/>
        <w:wordWrap/>
        <w:overflowPunct/>
        <w:topLinePunct w:val="0"/>
        <w:autoSpaceDE/>
        <w:autoSpaceDN/>
        <w:bidi w:val="0"/>
        <w:snapToGrid/>
        <w:spacing w:after="0" w:line="360" w:lineRule="auto"/>
        <w:ind w:firstLine="424" w:firstLineChars="202"/>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14:textFill>
            <w14:solidFill>
              <w14:schemeClr w14:val="tx1"/>
            </w14:solidFill>
          </w14:textFill>
        </w:rPr>
        <w:t>4</w:t>
      </w:r>
      <w:r>
        <w:rPr>
          <w:rFonts w:hint="eastAsia" w:ascii="宋体" w:hAnsi="宋体"/>
          <w:bCs/>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评标委员会全体成员详细评审且打分完成，</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cs="宋体"/>
          <w:color w:val="000000" w:themeColor="text1"/>
          <w:sz w:val="21"/>
          <w:szCs w:val="21"/>
          <w:highlight w:val="none"/>
          <w:lang w:eastAsia="zh-CN"/>
          <w14:textFill>
            <w14:solidFill>
              <w14:schemeClr w14:val="tx1"/>
            </w14:solidFill>
          </w14:textFill>
        </w:rPr>
        <w:t>阐述</w:t>
      </w:r>
      <w:r>
        <w:rPr>
          <w:rFonts w:hint="eastAsia" w:ascii="宋体" w:hAnsi="宋体" w:eastAsia="宋体" w:cs="宋体"/>
          <w:color w:val="000000" w:themeColor="text1"/>
          <w:sz w:val="21"/>
          <w:szCs w:val="21"/>
          <w:highlight w:val="none"/>
          <w14:textFill>
            <w14:solidFill>
              <w14:schemeClr w14:val="tx1"/>
            </w14:solidFill>
          </w14:textFill>
        </w:rPr>
        <w:t>推荐定标候选方案理由</w:t>
      </w:r>
      <w:r>
        <w:rPr>
          <w:rFonts w:hint="eastAsia" w:ascii="宋体" w:hAnsi="宋体" w:cs="宋体"/>
          <w:color w:val="000000" w:themeColor="text1"/>
          <w:sz w:val="21"/>
          <w:szCs w:val="21"/>
          <w:highlight w:val="none"/>
          <w:lang w:val="en-US" w:eastAsia="zh-CN"/>
          <w14:textFill>
            <w14:solidFill>
              <w14:schemeClr w14:val="tx1"/>
            </w14:solidFill>
          </w14:textFill>
        </w:rPr>
        <w:t>且推荐理由</w:t>
      </w:r>
      <w:r>
        <w:rPr>
          <w:rFonts w:hint="eastAsia" w:ascii="宋体" w:hAnsi="宋体" w:eastAsia="宋体" w:cs="宋体"/>
          <w:color w:val="000000" w:themeColor="text1"/>
          <w:sz w:val="21"/>
          <w:szCs w:val="21"/>
          <w:highlight w:val="none"/>
          <w:lang w:eastAsia="zh-CN"/>
          <w14:textFill>
            <w14:solidFill>
              <w14:schemeClr w14:val="tx1"/>
            </w14:solidFill>
          </w14:textFill>
        </w:rPr>
        <w:t>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50个字</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评标委员会负责人</w:t>
      </w:r>
      <w:r>
        <w:rPr>
          <w:rFonts w:hint="eastAsia" w:ascii="宋体" w:hAnsi="宋体" w:cs="宋体"/>
          <w:color w:val="000000" w:themeColor="text1"/>
          <w:sz w:val="21"/>
          <w:szCs w:val="21"/>
          <w:highlight w:val="none"/>
          <w14:textFill>
            <w14:solidFill>
              <w14:schemeClr w14:val="tx1"/>
            </w14:solidFill>
          </w14:textFill>
        </w:rPr>
        <w:t>负责整理、汇总</w:t>
      </w:r>
      <w:r>
        <w:rPr>
          <w:rFonts w:hint="eastAsia" w:ascii="宋体" w:hAnsi="宋体" w:cs="宋体"/>
          <w:color w:val="000000" w:themeColor="text1"/>
          <w:sz w:val="21"/>
          <w:szCs w:val="21"/>
          <w:highlight w:val="none"/>
          <w:lang w:eastAsia="zh-CN"/>
          <w14:textFill>
            <w14:solidFill>
              <w14:schemeClr w14:val="tx1"/>
            </w14:solidFill>
          </w14:textFill>
        </w:rPr>
        <w:t>推荐理由，</w:t>
      </w:r>
      <w:r>
        <w:rPr>
          <w:rFonts w:hint="eastAsia" w:cs="宋体"/>
          <w:color w:val="000000" w:themeColor="text1"/>
          <w:sz w:val="21"/>
          <w:szCs w:val="21"/>
          <w:highlight w:val="none"/>
          <w14:textFill>
            <w14:solidFill>
              <w14:schemeClr w14:val="tx1"/>
            </w14:solidFill>
          </w14:textFill>
        </w:rPr>
        <w:t>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参考</w:t>
      </w:r>
      <w:r>
        <w:rPr>
          <w:rFonts w:hint="eastAsia" w:cs="宋体"/>
          <w:color w:val="000000" w:themeColor="text1"/>
          <w:sz w:val="21"/>
          <w:szCs w:val="21"/>
          <w:highlight w:val="none"/>
          <w14:textFill>
            <w14:solidFill>
              <w14:schemeClr w14:val="tx1"/>
            </w14:solidFill>
          </w14:textFill>
        </w:rPr>
        <w:t>意见</w:t>
      </w:r>
      <w:r>
        <w:rPr>
          <w:rFonts w:hint="eastAsia" w:ascii="宋体" w:hAnsi="宋体" w:cs="宋体"/>
          <w:color w:val="000000" w:themeColor="text1"/>
          <w:sz w:val="21"/>
          <w:szCs w:val="21"/>
          <w:highlight w:val="none"/>
          <w14:textFill>
            <w14:solidFill>
              <w14:schemeClr w14:val="tx1"/>
            </w14:solidFill>
          </w14:textFill>
        </w:rPr>
        <w:t>。</w:t>
      </w:r>
    </w:p>
    <w:p w14:paraId="68089CD3">
      <w:pPr>
        <w:pStyle w:val="17"/>
        <w:keepNext w:val="0"/>
        <w:keepLines w:val="0"/>
        <w:pageBreakBefore w:val="0"/>
        <w:widowControl w:val="0"/>
        <w:kinsoku/>
        <w:wordWrap/>
        <w:overflowPunct/>
        <w:topLinePunct w:val="0"/>
        <w:autoSpaceDE/>
        <w:autoSpaceDN/>
        <w:bidi w:val="0"/>
        <w:snapToGrid/>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6.2.5.推荐理由</w:t>
      </w:r>
      <w:r>
        <w:rPr>
          <w:rFonts w:hint="eastAsia" w:ascii="宋体" w:hAnsi="宋体" w:cs="宋体"/>
          <w:color w:val="000000" w:themeColor="text1"/>
          <w:sz w:val="21"/>
          <w:szCs w:val="21"/>
          <w:highlight w:val="none"/>
          <w14:textFill>
            <w14:solidFill>
              <w14:schemeClr w14:val="tx1"/>
            </w14:solidFill>
          </w14:textFill>
        </w:rPr>
        <w:t>汇总提交后</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电子评标系统自动解密对应各编号的投标人，并计算各投标人综合得分，</w:t>
      </w:r>
      <w:r>
        <w:rPr>
          <w:rFonts w:hint="eastAsia" w:ascii="宋体" w:hAnsi="宋体"/>
          <w:bCs/>
          <w:color w:val="000000" w:themeColor="text1"/>
          <w:sz w:val="21"/>
          <w:szCs w:val="21"/>
          <w:highlight w:val="none"/>
          <w14:textFill>
            <w14:solidFill>
              <w14:schemeClr w14:val="tx1"/>
            </w14:solidFill>
          </w14:textFill>
        </w:rPr>
        <w:t>投标人综合得分=</w:t>
      </w:r>
      <w:r>
        <w:rPr>
          <w:rFonts w:hint="eastAsia" w:ascii="宋体" w:hAnsi="宋体"/>
          <w:color w:val="000000" w:themeColor="text1"/>
          <w:kern w:val="2"/>
          <w:sz w:val="21"/>
          <w:szCs w:val="21"/>
          <w:highlight w:val="none"/>
          <w14:textFill>
            <w14:solidFill>
              <w14:schemeClr w14:val="tx1"/>
            </w14:solidFill>
          </w14:textFill>
        </w:rPr>
        <w:t>技术文件得分+商务文件得分+</w:t>
      </w:r>
      <w:r>
        <w:rPr>
          <w:rFonts w:hint="eastAsia" w:ascii="宋体" w:hAnsi="宋体"/>
          <w:color w:val="000000" w:themeColor="text1"/>
          <w:sz w:val="21"/>
          <w:szCs w:val="21"/>
          <w:highlight w:val="none"/>
          <w14:textFill>
            <w14:solidFill>
              <w14:schemeClr w14:val="tx1"/>
            </w14:solidFill>
          </w14:textFill>
        </w:rPr>
        <w:t>企业信用得分</w:t>
      </w:r>
      <w:r>
        <w:rPr>
          <w:rFonts w:hint="eastAsia" w:ascii="宋体" w:hAnsi="宋体" w:cs="宋体"/>
          <w:color w:val="000000" w:themeColor="text1"/>
          <w:sz w:val="21"/>
          <w:szCs w:val="21"/>
          <w:highlight w:val="none"/>
          <w14:textFill>
            <w14:solidFill>
              <w14:schemeClr w14:val="tx1"/>
            </w14:solidFill>
          </w14:textFill>
        </w:rPr>
        <w:t>。</w:t>
      </w:r>
    </w:p>
    <w:p w14:paraId="6B3BFC1A">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投标文件的澄清</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澄清</w:t>
      </w:r>
      <w:r>
        <w:rPr>
          <w:rFonts w:hint="eastAsia" w:ascii="宋体" w:hAnsi="宋体" w:cs="宋体"/>
          <w:b w:val="0"/>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b w:val="0"/>
          <w:color w:val="000000" w:themeColor="text1"/>
          <w:sz w:val="21"/>
          <w:szCs w:val="21"/>
          <w:highlight w:val="none"/>
          <w14:textFill>
            <w14:solidFill>
              <w14:schemeClr w14:val="tx1"/>
            </w14:solidFill>
          </w14:textFill>
        </w:rPr>
        <w:t>和补</w:t>
      </w:r>
      <w:r>
        <w:rPr>
          <w:rFonts w:hint="eastAsia" w:ascii="宋体" w:hAnsi="宋体" w:cs="宋体"/>
          <w:b w:val="0"/>
          <w:color w:val="000000" w:themeColor="text1"/>
          <w:sz w:val="21"/>
          <w:szCs w:val="21"/>
          <w:highlight w:val="none"/>
          <w:lang w:val="en-US" w:eastAsia="zh-CN"/>
          <w14:textFill>
            <w14:solidFill>
              <w14:schemeClr w14:val="tx1"/>
            </w14:solidFill>
          </w14:textFill>
        </w:rPr>
        <w:t>正</w:t>
      </w:r>
    </w:p>
    <w:p w14:paraId="0AF03B4A">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kern w:val="1"/>
          <w:sz w:val="21"/>
          <w:szCs w:val="21"/>
          <w:highlight w:val="none"/>
          <w14:textFill>
            <w14:solidFill>
              <w14:schemeClr w14:val="tx1"/>
            </w14:solidFill>
          </w14:textFill>
        </w:rPr>
        <w:t>在评标过程中，评标委员会可以通过电子交易平台要求投标人对所提交的投标文件中不明确的内容进行书面澄清或说明，或者对细微偏差进行补正</w:t>
      </w:r>
      <w:r>
        <w:rPr>
          <w:rFonts w:hint="eastAsia" w:ascii="宋体" w:hAnsi="宋体" w:cs="宋体"/>
          <w:color w:val="000000" w:themeColor="text1"/>
          <w:sz w:val="21"/>
          <w:szCs w:val="21"/>
          <w:highlight w:val="none"/>
          <w14:textFill>
            <w14:solidFill>
              <w14:schemeClr w14:val="tx1"/>
            </w14:solidFill>
          </w14:textFill>
        </w:rPr>
        <w:t>，但不应寻求、提出或允许更改投标价格或投标文件的实质性内容</w:t>
      </w:r>
      <w:r>
        <w:rPr>
          <w:rFonts w:hint="eastAsia" w:ascii="宋体" w:hAnsi="宋体" w:cs="宋体"/>
          <w:color w:val="000000" w:themeColor="text1"/>
          <w:kern w:val="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kern w:val="1"/>
          <w:sz w:val="21"/>
          <w:szCs w:val="21"/>
          <w:highlight w:val="none"/>
          <w14:textFill>
            <w14:solidFill>
              <w14:schemeClr w14:val="tx1"/>
            </w14:solidFill>
          </w14:textFill>
        </w:rPr>
        <w:t>通过电子交易平台</w:t>
      </w:r>
      <w:r>
        <w:rPr>
          <w:rFonts w:hint="eastAsia" w:ascii="宋体" w:hAnsi="宋体" w:cs="宋体"/>
          <w:color w:val="000000" w:themeColor="text1"/>
          <w:sz w:val="21"/>
          <w:szCs w:val="21"/>
          <w:highlight w:val="none"/>
          <w14:textFill>
            <w14:solidFill>
              <w14:schemeClr w14:val="tx1"/>
            </w14:solidFill>
          </w14:textFill>
        </w:rPr>
        <w:t>回复澄清、说明、补正，时限要求详见评标办法前附表第</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kern w:val="1"/>
          <w:sz w:val="21"/>
          <w:szCs w:val="21"/>
          <w:highlight w:val="none"/>
          <w14:textFill>
            <w14:solidFill>
              <w14:schemeClr w14:val="tx1"/>
            </w14:solidFill>
          </w14:textFill>
        </w:rPr>
        <w:t>评标委员会不接受投标人主动提出的澄清、说明或补正。</w:t>
      </w:r>
      <w:r>
        <w:rPr>
          <w:rFonts w:hint="eastAsia" w:ascii="宋体" w:hAnsi="宋体" w:eastAsia="宋体" w:cs="宋体"/>
          <w:color w:val="000000" w:themeColor="text1"/>
          <w:kern w:val="0"/>
          <w:sz w:val="21"/>
          <w:szCs w:val="21"/>
          <w:highlight w:val="none"/>
          <w14:textFill>
            <w14:solidFill>
              <w14:schemeClr w14:val="tx1"/>
            </w14:solidFill>
          </w14:textFill>
        </w:rPr>
        <w:t>澄清、说明和补正</w:t>
      </w:r>
      <w:r>
        <w:rPr>
          <w:rFonts w:hint="eastAsia" w:ascii="宋体" w:hAnsi="宋体" w:eastAsia="宋体" w:cs="宋体"/>
          <w:color w:val="000000" w:themeColor="text1"/>
          <w:kern w:val="1"/>
          <w:sz w:val="21"/>
          <w:szCs w:val="21"/>
          <w:highlight w:val="none"/>
          <w14:textFill>
            <w14:solidFill>
              <w14:schemeClr w14:val="tx1"/>
            </w14:solidFill>
          </w14:textFill>
        </w:rPr>
        <w:t>格式见附件3-</w:t>
      </w:r>
      <w:r>
        <w:rPr>
          <w:rFonts w:hint="eastAsia" w:ascii="宋体" w:hAnsi="宋体"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14:textFill>
            <w14:solidFill>
              <w14:schemeClr w14:val="tx1"/>
            </w14:solidFill>
          </w14:textFill>
        </w:rPr>
        <w:t>、3-</w:t>
      </w:r>
      <w:r>
        <w:rPr>
          <w:rFonts w:hint="eastAsia" w:ascii="宋体" w:hAnsi="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1"/>
          <w:sz w:val="21"/>
          <w:szCs w:val="21"/>
          <w:highlight w:val="none"/>
          <w14:textFill>
            <w14:solidFill>
              <w14:schemeClr w14:val="tx1"/>
            </w14:solidFill>
          </w14:textFill>
        </w:rPr>
        <w:t>。</w:t>
      </w:r>
    </w:p>
    <w:p w14:paraId="276000B4">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拒不补正的，在详细评审时可以对细微偏差作不利于该投标人的量化，量化标准按照下列约定：</w:t>
      </w:r>
    </w:p>
    <w:p w14:paraId="4018D80E">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（1）投标文件中填报的</w:t>
      </w:r>
      <w:r>
        <w:rPr>
          <w:rFonts w:hint="eastAsia" w:ascii="宋体" w:hAnsi="宋体"/>
          <w:color w:val="000000" w:themeColor="text1"/>
          <w:kern w:val="2"/>
          <w:sz w:val="21"/>
          <w:szCs w:val="21"/>
          <w:highlight w:val="none"/>
          <w14:textFill>
            <w14:solidFill>
              <w14:schemeClr w14:val="tx1"/>
            </w14:solidFill>
          </w14:textFill>
        </w:rPr>
        <w:t>设计（勘察）费投标金额</w:t>
      </w:r>
      <w:r>
        <w:rPr>
          <w:rFonts w:hint="eastAsia" w:ascii="宋体" w:hAnsi="宋体"/>
          <w:color w:val="000000" w:themeColor="text1"/>
          <w:sz w:val="21"/>
          <w:szCs w:val="21"/>
          <w:highlight w:val="none"/>
          <w14:textFill>
            <w14:solidFill>
              <w14:schemeClr w14:val="tx1"/>
            </w14:solidFill>
          </w14:textFill>
        </w:rPr>
        <w:t>前后不一致时，以投标函数据为准。</w:t>
      </w:r>
    </w:p>
    <w:p w14:paraId="6CD7F972">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（2）投标文件中填写的工程名称有误时，以招标项目的实际内容为准。</w:t>
      </w:r>
    </w:p>
    <w:p w14:paraId="097466AF">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（3）投标报价金额大写与小写不一致的，以大写为准。</w:t>
      </w:r>
    </w:p>
    <w:p w14:paraId="5AAFFFFF">
      <w:pPr>
        <w:keepNext w:val="0"/>
        <w:keepLines w:val="0"/>
        <w:pageBreakBefore w:val="0"/>
        <w:widowControl w:val="0"/>
        <w:kinsoku/>
        <w:wordWrap/>
        <w:overflowPunct/>
        <w:topLinePunct w:val="0"/>
        <w:autoSpaceDE/>
        <w:autoSpaceDN/>
        <w:bidi w:val="0"/>
        <w:snapToGrid/>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cs="宋体"/>
          <w:color w:val="000000" w:themeColor="text1"/>
          <w:kern w:val="1"/>
          <w:sz w:val="21"/>
          <w:szCs w:val="21"/>
          <w:highlight w:val="none"/>
          <w14:textFill>
            <w14:solidFill>
              <w14:schemeClr w14:val="tx1"/>
            </w14:solidFill>
          </w14:textFill>
        </w:rPr>
        <w:t>澄清、说明和补正不得改变投标文件的实质性内容。投标人的书面澄清、说明和补正属于投标文件的组成部分。</w:t>
      </w:r>
    </w:p>
    <w:p w14:paraId="1EDD412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14:paraId="4237FE90">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不按评标委员会要求澄清、说明或补正的，</w:t>
      </w:r>
      <w:r>
        <w:rPr>
          <w:rFonts w:hint="eastAsia" w:cs="宋体"/>
          <w:color w:val="000000" w:themeColor="text1"/>
          <w:sz w:val="21"/>
          <w:szCs w:val="21"/>
          <w:highlight w:val="none"/>
          <w14:textFill>
            <w14:solidFill>
              <w14:schemeClr w14:val="tx1"/>
            </w14:solidFill>
          </w14:textFill>
        </w:rPr>
        <w:t>评标委员会应当否决其投标</w:t>
      </w:r>
      <w:r>
        <w:rPr>
          <w:rFonts w:hint="eastAsia" w:ascii="宋体" w:hAnsi="宋体"/>
          <w:color w:val="000000" w:themeColor="text1"/>
          <w:sz w:val="21"/>
          <w:szCs w:val="21"/>
          <w:highlight w:val="none"/>
          <w14:textFill>
            <w14:solidFill>
              <w14:schemeClr w14:val="tx1"/>
            </w14:solidFill>
          </w14:textFill>
        </w:rPr>
        <w:t>。</w:t>
      </w:r>
    </w:p>
    <w:p w14:paraId="50D33D89">
      <w:pPr>
        <w:keepNext w:val="0"/>
        <w:keepLines w:val="0"/>
        <w:pageBreakBefore w:val="0"/>
        <w:widowControl w:val="0"/>
        <w:tabs>
          <w:tab w:val="left" w:pos="510"/>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6.4</w:t>
      </w:r>
      <w:r>
        <w:rPr>
          <w:rFonts w:hint="eastAsia" w:ascii="宋体" w:hAnsi="宋体" w:eastAsia="宋体" w:cs="宋体"/>
          <w:b w:val="0"/>
          <w:color w:val="000000" w:themeColor="text1"/>
          <w:sz w:val="21"/>
          <w:szCs w:val="21"/>
          <w:highlight w:val="none"/>
          <w14:textFill>
            <w14:solidFill>
              <w14:schemeClr w14:val="tx1"/>
            </w14:solidFill>
          </w14:textFill>
        </w:rPr>
        <w:t>.推荐定标候选人</w:t>
      </w:r>
    </w:p>
    <w:p w14:paraId="49CBBD9A">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cs="Times New Roman"/>
          <w:color w:val="000000" w:themeColor="text1"/>
          <w:sz w:val="21"/>
          <w:szCs w:val="21"/>
          <w:highlight w:val="none"/>
          <w:lang w:val="en-US" w:eastAsia="zh-CN"/>
          <w14:textFill>
            <w14:solidFill>
              <w14:schemeClr w14:val="tx1"/>
            </w14:solidFill>
          </w14:textFill>
        </w:rPr>
        <w:t>6.4</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w:t>
      </w:r>
      <w:r>
        <w:rPr>
          <w:rFonts w:hint="eastAsia" w:ascii="宋体" w:hAnsi="宋体" w:cs="Times New Roman"/>
          <w:color w:val="000000" w:themeColor="text1"/>
          <w:sz w:val="21"/>
          <w:szCs w:val="21"/>
          <w:highlight w:val="none"/>
          <w:lang w:val="en-US"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在推荐定标候选人前，评标委员会应当对拟推荐的定标候选人相关信息进行核对。</w:t>
      </w:r>
    </w:p>
    <w:p w14:paraId="5D54EABE">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评标委员会通过全国建筑市场监管公共服务平台（四库一平台，网址：jzsc.mohurd.gov.cn）查询拟推荐定标候选人注册人员是否满足其所持资质证书对应的资质标准要求（如有），如不满足的，不得推荐为定标候选人。招标人如有发现投标人注册人员不满足资质标准要求，应在7个工作日内书面函告该投标人资质审批机构。</w:t>
      </w:r>
    </w:p>
    <w:p w14:paraId="42D2C46C">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Times New Roman"/>
          <w:color w:val="000000" w:themeColor="text1"/>
          <w:sz w:val="21"/>
          <w:szCs w:val="21"/>
          <w:highlight w:val="none"/>
          <w:lang w:val="en-US" w:eastAsia="zh-CN"/>
          <w14:textFill>
            <w14:solidFill>
              <w14:schemeClr w14:val="tx1"/>
            </w14:solidFill>
          </w14:textFill>
        </w:rPr>
        <w:t>6.4</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2</w:t>
      </w:r>
      <w:r>
        <w:rPr>
          <w:rFonts w:hint="eastAsia" w:ascii="宋体" w:hAnsi="宋体" w:cs="Times New Roman"/>
          <w:color w:val="000000" w:themeColor="text1"/>
          <w:sz w:val="21"/>
          <w:szCs w:val="21"/>
          <w:highlight w:val="none"/>
          <w:lang w:val="en-US"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评标委员会按照各投标人综合得分高到低进行排序，推荐综合得分高的前5家投标人</w:t>
      </w:r>
      <w:r>
        <w:rPr>
          <w:rFonts w:hint="eastAsia" w:ascii="宋体" w:hAnsi="宋体" w:cs="Times New Roman"/>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以不排序方式</w:t>
      </w:r>
      <w:r>
        <w:rPr>
          <w:rFonts w:hint="eastAsia" w:ascii="宋体" w:hAnsi="宋体" w:cs="宋体"/>
          <w:color w:val="000000" w:themeColor="text1"/>
          <w:sz w:val="21"/>
          <w:szCs w:val="21"/>
          <w:highlight w:val="none"/>
          <w:lang w:val="en-US" w:eastAsia="zh-CN"/>
          <w14:textFill>
            <w14:solidFill>
              <w14:schemeClr w14:val="tx1"/>
            </w14:solidFill>
          </w14:textFill>
        </w:rPr>
        <w:t>将注册人员满足其所持资质证书对应的资质标准要求</w:t>
      </w:r>
      <w:r>
        <w:rPr>
          <w:rFonts w:hint="eastAsia" w:ascii="宋体" w:hAnsi="宋体" w:cs="宋体"/>
          <w:color w:val="000000" w:themeColor="text1"/>
          <w:kern w:val="0"/>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sz w:val="21"/>
          <w:szCs w:val="21"/>
          <w:highlight w:val="none"/>
          <w14:textFill>
            <w14:solidFill>
              <w14:schemeClr w14:val="tx1"/>
            </w14:solidFill>
          </w14:textFill>
        </w:rPr>
        <w:t>为定标候选人</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337896E4">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当排序在第5</w:t>
      </w:r>
      <w:r>
        <w:rPr>
          <w:rFonts w:hint="eastAsia" w:ascii="宋体" w:hAnsi="宋体" w:cs="Times New Roman"/>
          <w:color w:val="000000" w:themeColor="text1"/>
          <w:sz w:val="21"/>
          <w:szCs w:val="21"/>
          <w:highlight w:val="none"/>
          <w:lang w:val="en-US" w:eastAsia="zh-CN"/>
          <w14:textFill>
            <w14:solidFill>
              <w14:schemeClr w14:val="tx1"/>
            </w14:solidFill>
          </w14:textFill>
        </w:rPr>
        <w:t>家</w:t>
      </w:r>
      <w:r>
        <w:rPr>
          <w:rFonts w:hint="eastAsia" w:ascii="宋体" w:hAnsi="宋体" w:eastAsia="宋体" w:cs="Times New Roman"/>
          <w:color w:val="000000" w:themeColor="text1"/>
          <w:sz w:val="21"/>
          <w:szCs w:val="21"/>
          <w:highlight w:val="none"/>
          <w14:textFill>
            <w14:solidFill>
              <w14:schemeClr w14:val="tx1"/>
            </w14:solidFill>
          </w14:textFill>
        </w:rPr>
        <w:t>投标人的综合得分出现2家或以上相等时，由评标委员会依次按投标人的技术得分、商务得分、信用得分高低进行排序，即先确定技术得分高的优先，如技术得分相同时，则以商务得分高的优先，以此类推。若技术得分、商务得分和信用三项均相同时，应由</w:t>
      </w:r>
      <w:r>
        <w:rPr>
          <w:rFonts w:hint="eastAsia" w:ascii="宋体" w:hAnsi="宋体" w:cs="Times New Roman"/>
          <w:color w:val="000000" w:themeColor="text1"/>
          <w:sz w:val="21"/>
          <w:szCs w:val="21"/>
          <w:highlight w:val="none"/>
          <w:lang w:eastAsia="zh-CN"/>
          <w14:textFill>
            <w14:solidFill>
              <w14:schemeClr w14:val="tx1"/>
            </w14:solidFill>
          </w14:textFill>
        </w:rPr>
        <w:t>评标委员会负责人</w:t>
      </w:r>
      <w:r>
        <w:rPr>
          <w:rFonts w:hint="eastAsia" w:ascii="宋体" w:hAnsi="宋体" w:eastAsia="宋体" w:cs="Times New Roman"/>
          <w:color w:val="000000" w:themeColor="text1"/>
          <w:sz w:val="21"/>
          <w:szCs w:val="21"/>
          <w:highlight w:val="none"/>
          <w14:textFill>
            <w14:solidFill>
              <w14:schemeClr w14:val="tx1"/>
            </w14:solidFill>
          </w14:textFill>
        </w:rPr>
        <w:t>发起票决，评标委员会票决确定定标候选人（每人投一票），以少数服从多数方式确定第5名定标候选人。</w:t>
      </w:r>
    </w:p>
    <w:p w14:paraId="5B8299E8">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当通过资格性评审、符合性检查和响应性评审的投标人不超过5家（含本数）时，</w:t>
      </w:r>
      <w:r>
        <w:rPr>
          <w:rFonts w:hint="eastAsia" w:ascii="宋体" w:hAnsi="宋体" w:eastAsia="宋体" w:cs="宋体"/>
          <w:color w:val="000000" w:themeColor="text1"/>
          <w:sz w:val="21"/>
          <w:szCs w:val="21"/>
          <w:highlight w:val="none"/>
          <w14:textFill>
            <w14:solidFill>
              <w14:schemeClr w14:val="tx1"/>
            </w14:solidFill>
          </w14:textFill>
        </w:rPr>
        <w:t>评标</w:t>
      </w:r>
      <w:r>
        <w:rPr>
          <w:rFonts w:hint="eastAsia" w:ascii="宋体" w:hAnsi="宋体" w:eastAsia="宋体" w:cs="Times New Roman"/>
          <w:color w:val="000000" w:themeColor="text1"/>
          <w:sz w:val="21"/>
          <w:szCs w:val="21"/>
          <w:highlight w:val="none"/>
          <w14:textFill>
            <w14:solidFill>
              <w14:schemeClr w14:val="tx1"/>
            </w14:solidFill>
          </w14:textFill>
        </w:rPr>
        <w:t>委</w:t>
      </w:r>
      <w:r>
        <w:rPr>
          <w:rFonts w:hint="eastAsia" w:ascii="宋体" w:hAnsi="宋体" w:eastAsia="宋体" w:cs="宋体"/>
          <w:color w:val="000000" w:themeColor="text1"/>
          <w:sz w:val="21"/>
          <w:szCs w:val="21"/>
          <w:highlight w:val="none"/>
          <w14:textFill>
            <w14:solidFill>
              <w14:schemeClr w14:val="tx1"/>
            </w14:solidFill>
          </w14:textFill>
        </w:rPr>
        <w:t>员</w:t>
      </w:r>
      <w:r>
        <w:rPr>
          <w:rFonts w:hint="eastAsia" w:ascii="宋体" w:hAnsi="宋体" w:eastAsia="宋体" w:cs="Times New Roman"/>
          <w:color w:val="000000" w:themeColor="text1"/>
          <w:sz w:val="21"/>
          <w:szCs w:val="21"/>
          <w:highlight w:val="none"/>
          <w14:textFill>
            <w14:solidFill>
              <w14:schemeClr w14:val="tx1"/>
            </w14:solidFill>
          </w14:textFill>
        </w:rPr>
        <w:t>会对投标人的投</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ascii="宋体" w:hAnsi="宋体" w:eastAsia="宋体" w:cs="Times New Roman"/>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进</w:t>
      </w:r>
      <w:r>
        <w:rPr>
          <w:rFonts w:hint="eastAsia" w:ascii="宋体" w:hAnsi="宋体" w:eastAsia="宋体" w:cs="Times New Roman"/>
          <w:color w:val="000000" w:themeColor="text1"/>
          <w:sz w:val="21"/>
          <w:szCs w:val="21"/>
          <w:highlight w:val="none"/>
          <w14:textFill>
            <w14:solidFill>
              <w14:schemeClr w14:val="tx1"/>
            </w14:solidFill>
          </w14:textFill>
        </w:rPr>
        <w:t>行</w:t>
      </w:r>
      <w:r>
        <w:rPr>
          <w:rFonts w:hint="eastAsia" w:ascii="宋体" w:hAnsi="宋体" w:cs="宋体"/>
          <w:color w:val="000000" w:themeColor="text1"/>
          <w:sz w:val="21"/>
          <w:szCs w:val="21"/>
          <w:highlight w:val="none"/>
          <w:lang w:val="en-US" w:eastAsia="zh-CN"/>
          <w14:textFill>
            <w14:solidFill>
              <w14:schemeClr w14:val="tx1"/>
            </w14:solidFill>
          </w14:textFill>
        </w:rPr>
        <w:t>定性</w:t>
      </w:r>
      <w:r>
        <w:rPr>
          <w:rFonts w:hint="eastAsia" w:ascii="宋体" w:hAnsi="宋体" w:eastAsia="宋体" w:cs="宋体"/>
          <w:color w:val="000000" w:themeColor="text1"/>
          <w:sz w:val="21"/>
          <w:szCs w:val="21"/>
          <w:highlight w:val="none"/>
          <w14:textFill>
            <w14:solidFill>
              <w14:schemeClr w14:val="tx1"/>
            </w14:solidFill>
          </w14:textFill>
        </w:rPr>
        <w:t>评审，</w:t>
      </w:r>
      <w:r>
        <w:rPr>
          <w:rFonts w:hint="eastAsia" w:ascii="宋体" w:hAnsi="宋体" w:eastAsia="宋体" w:cs="Times New Roman"/>
          <w:color w:val="000000" w:themeColor="text1"/>
          <w:sz w:val="21"/>
          <w:szCs w:val="21"/>
          <w:highlight w:val="none"/>
          <w14:textFill>
            <w14:solidFill>
              <w14:schemeClr w14:val="tx1"/>
            </w14:solidFill>
          </w14:textFill>
        </w:rPr>
        <w:t>不再采用百分制量化打分，以不排序方式</w:t>
      </w:r>
      <w:r>
        <w:rPr>
          <w:rFonts w:hint="eastAsia" w:ascii="宋体" w:hAnsi="宋体" w:cs="Times New Roman"/>
          <w:color w:val="000000" w:themeColor="text1"/>
          <w:sz w:val="21"/>
          <w:szCs w:val="21"/>
          <w:highlight w:val="none"/>
          <w:lang w:val="en-US" w:eastAsia="zh-CN"/>
          <w14:textFill>
            <w14:solidFill>
              <w14:schemeClr w14:val="tx1"/>
            </w14:solidFill>
          </w14:textFill>
        </w:rPr>
        <w:t>将</w:t>
      </w:r>
      <w:r>
        <w:rPr>
          <w:rFonts w:hint="eastAsia" w:cs="宋体"/>
          <w:color w:val="000000" w:themeColor="text1"/>
          <w:sz w:val="21"/>
          <w:szCs w:val="21"/>
          <w:highlight w:val="none"/>
          <w:lang w:val="en-US" w:eastAsia="zh-CN"/>
          <w14:textFill>
            <w14:solidFill>
              <w14:schemeClr w14:val="tx1"/>
            </w14:solidFill>
          </w14:textFill>
        </w:rPr>
        <w:t>注册人员满足其所持资质证书对应的资质标准要求</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ascii="宋体" w:hAnsi="宋体" w:eastAsia="宋体" w:cs="Times New Roman"/>
          <w:color w:val="000000" w:themeColor="text1"/>
          <w:sz w:val="21"/>
          <w:szCs w:val="21"/>
          <w:highlight w:val="none"/>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ascii="宋体" w:hAnsi="宋体" w:eastAsia="宋体" w:cs="Times New Roman"/>
          <w:color w:val="000000" w:themeColor="text1"/>
          <w:sz w:val="21"/>
          <w:szCs w:val="21"/>
          <w:highlight w:val="none"/>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全部</w:t>
      </w:r>
      <w:r>
        <w:rPr>
          <w:rFonts w:hint="eastAsia" w:ascii="宋体" w:hAnsi="宋体" w:cs="宋体"/>
          <w:color w:val="000000" w:themeColor="text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sz w:val="21"/>
          <w:szCs w:val="21"/>
          <w:highlight w:val="none"/>
          <w14:textFill>
            <w14:solidFill>
              <w14:schemeClr w14:val="tx1"/>
            </w14:solidFill>
          </w14:textFill>
        </w:rPr>
        <w:t>为定标候选人</w:t>
      </w:r>
      <w:r>
        <w:rPr>
          <w:rFonts w:hint="eastAsia" w:ascii="宋体" w:hAnsi="宋体" w:eastAsia="宋体" w:cs="Times New Roman"/>
          <w:color w:val="000000" w:themeColor="text1"/>
          <w:sz w:val="21"/>
          <w:szCs w:val="21"/>
          <w:highlight w:val="none"/>
          <w:lang w:val="zh-CN" w:eastAsia="zh-CN"/>
          <w14:textFill>
            <w14:solidFill>
              <w14:schemeClr w14:val="tx1"/>
            </w14:solidFill>
          </w14:textFill>
        </w:rPr>
        <w:t>。</w:t>
      </w:r>
    </w:p>
    <w:p w14:paraId="152B1A65">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6.4</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通过评审合格的投标人</w:t>
      </w:r>
      <w:r>
        <w:rPr>
          <w:rFonts w:hint="eastAsia" w:ascii="宋体" w:hAnsi="宋体"/>
          <w:color w:val="000000" w:themeColor="text1"/>
          <w:sz w:val="21"/>
          <w:szCs w:val="21"/>
          <w:highlight w:val="none"/>
          <w:lang w:eastAsia="zh-CN"/>
          <w14:textFill>
            <w14:solidFill>
              <w14:schemeClr w14:val="tx1"/>
            </w14:solidFill>
          </w14:textFill>
        </w:rPr>
        <w:t>或定标候选人数量</w:t>
      </w:r>
      <w:r>
        <w:rPr>
          <w:rFonts w:hint="eastAsia" w:ascii="宋体" w:hAnsi="宋体"/>
          <w:color w:val="000000" w:themeColor="text1"/>
          <w:sz w:val="21"/>
          <w:szCs w:val="21"/>
          <w:highlight w:val="none"/>
          <w14:textFill>
            <w14:solidFill>
              <w14:schemeClr w14:val="tx1"/>
            </w14:solidFill>
          </w14:textFill>
        </w:rPr>
        <w:t>少于3家（不含3家），评标委员会认为投标明显缺乏竞争的，可以否决全部投标</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招标人将重新招标</w:t>
      </w:r>
      <w:r>
        <w:rPr>
          <w:rFonts w:hint="eastAsia" w:ascii="宋体" w:hAnsi="宋体"/>
          <w:color w:val="000000" w:themeColor="text1"/>
          <w:sz w:val="21"/>
          <w:szCs w:val="21"/>
          <w:highlight w:val="none"/>
          <w14:textFill>
            <w14:solidFill>
              <w14:schemeClr w14:val="tx1"/>
            </w14:solidFill>
          </w14:textFill>
        </w:rPr>
        <w:t>。经评审，评标委员会认为所有投标都不符合招标文件要求的，可以否决所有投标。所有投标被否决后，评标委员会应当在评标报告中说明具体理由，招标人在分析招标失败的原因并采取相应措施后，应当依法重新招标。</w:t>
      </w:r>
    </w:p>
    <w:p w14:paraId="2D4AC5FB">
      <w:pPr>
        <w:pStyle w:val="4"/>
        <w:spacing w:beforeLines="50" w:afterLines="50" w:line="360" w:lineRule="auto"/>
        <w:rPr>
          <w:color w:val="000000" w:themeColor="text1"/>
          <w:highlight w:val="none"/>
          <w14:textFill>
            <w14:solidFill>
              <w14:schemeClr w14:val="tx1"/>
            </w14:solidFill>
          </w14:textFill>
        </w:rPr>
      </w:pPr>
      <w:bookmarkStart w:id="495" w:name="_Toc14732"/>
      <w:bookmarkStart w:id="496" w:name="_Toc3636"/>
      <w:bookmarkStart w:id="497" w:name="_Toc27759"/>
      <w:r>
        <w:rPr>
          <w:rFonts w:hint="default" w:ascii="黑体" w:hAnsi="黑体" w:eastAsia="黑体"/>
          <w:b w:val="0"/>
          <w:color w:val="000000" w:themeColor="text1"/>
          <w:sz w:val="28"/>
          <w:szCs w:val="28"/>
          <w:highlight w:val="none"/>
          <w:lang w:val="en-US" w:eastAsia="zh-CN"/>
          <w14:textFill>
            <w14:solidFill>
              <w14:schemeClr w14:val="tx1"/>
            </w14:solidFill>
          </w14:textFill>
        </w:rPr>
        <w:t>7.</w:t>
      </w:r>
      <w:r>
        <w:rPr>
          <w:rFonts w:hint="default" w:ascii="黑体" w:hAnsi="黑体" w:eastAsia="黑体" w:cs="Times New Roman"/>
          <w:b w:val="0"/>
          <w:color w:val="000000" w:themeColor="text1"/>
          <w:sz w:val="28"/>
          <w:szCs w:val="28"/>
          <w:highlight w:val="none"/>
          <w14:textFill>
            <w14:solidFill>
              <w14:schemeClr w14:val="tx1"/>
            </w14:solidFill>
          </w14:textFill>
        </w:rPr>
        <w:t>提交评标报告</w:t>
      </w:r>
      <w:bookmarkEnd w:id="495"/>
      <w:bookmarkEnd w:id="496"/>
      <w:bookmarkEnd w:id="497"/>
    </w:p>
    <w:p w14:paraId="5EFA0514">
      <w:pPr>
        <w:tabs>
          <w:tab w:val="left" w:pos="567"/>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7.1.</w:t>
      </w:r>
      <w:r>
        <w:rPr>
          <w:rFonts w:hint="eastAsia" w:ascii="宋体" w:hAnsi="宋体"/>
          <w:color w:val="000000" w:themeColor="text1"/>
          <w:kern w:val="2"/>
          <w:sz w:val="21"/>
          <w:szCs w:val="21"/>
          <w:highlight w:val="none"/>
          <w14:textFill>
            <w14:solidFill>
              <w14:schemeClr w14:val="tx1"/>
            </w14:solidFill>
          </w14:textFill>
        </w:rPr>
        <w:t>完成评标后，评标委员会应当向招标人提交书面评标报告</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kern w:val="2"/>
          <w:sz w:val="21"/>
          <w:szCs w:val="21"/>
          <w:highlight w:val="none"/>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决定否决所有投标的，应当在</w:t>
      </w:r>
      <w:r>
        <w:rPr>
          <w:rFonts w:hint="eastAsia" w:ascii="宋体" w:hAnsi="宋体"/>
          <w:color w:val="000000" w:themeColor="text1"/>
          <w:kern w:val="2"/>
          <w:sz w:val="21"/>
          <w:szCs w:val="21"/>
          <w:highlight w:val="none"/>
          <w14:textFill>
            <w14:solidFill>
              <w14:schemeClr w14:val="tx1"/>
            </w14:solidFill>
          </w14:textFill>
        </w:rPr>
        <w:t>评标报告</w:t>
      </w:r>
      <w:r>
        <w:rPr>
          <w:rFonts w:hint="eastAsia" w:ascii="宋体" w:hAnsi="宋体"/>
          <w:color w:val="000000" w:themeColor="text1"/>
          <w:sz w:val="21"/>
          <w:szCs w:val="21"/>
          <w:highlight w:val="none"/>
          <w14:textFill>
            <w14:solidFill>
              <w14:schemeClr w14:val="tx1"/>
            </w14:solidFill>
          </w14:textFill>
        </w:rPr>
        <w:t>中说明具体理由。</w:t>
      </w:r>
      <w:r>
        <w:rPr>
          <w:rFonts w:hint="eastAsia" w:ascii="宋体" w:hAnsi="宋体"/>
          <w:color w:val="000000" w:themeColor="text1"/>
          <w:kern w:val="2"/>
          <w:sz w:val="21"/>
          <w:szCs w:val="21"/>
          <w:highlight w:val="none"/>
          <w14:textFill>
            <w14:solidFill>
              <w14:schemeClr w14:val="tx1"/>
            </w14:solidFill>
          </w14:textFill>
        </w:rPr>
        <w:t>评标报告</w:t>
      </w:r>
      <w:r>
        <w:rPr>
          <w:rFonts w:hint="eastAsia" w:ascii="宋体" w:hAnsi="宋体"/>
          <w:color w:val="000000" w:themeColor="text1"/>
          <w:sz w:val="21"/>
          <w:szCs w:val="21"/>
          <w:highlight w:val="none"/>
          <w14:textFill>
            <w14:solidFill>
              <w14:schemeClr w14:val="tx1"/>
            </w14:solidFill>
          </w14:textFill>
        </w:rPr>
        <w:t>应当列明投标文件雷同情况。</w:t>
      </w:r>
    </w:p>
    <w:p w14:paraId="086F041C">
      <w:pPr>
        <w:tabs>
          <w:tab w:val="left" w:pos="567"/>
        </w:tabs>
        <w:adjustRightInd/>
        <w:spacing w:line="360" w:lineRule="auto"/>
        <w:ind w:firstLine="422" w:firstLineChars="201"/>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7.2</w:t>
      </w:r>
      <w:r>
        <w:rPr>
          <w:rFonts w:hint="eastAsia" w:ascii="宋体" w:hAnsi="宋体"/>
          <w:color w:val="000000" w:themeColor="text1"/>
          <w:sz w:val="21"/>
          <w:szCs w:val="21"/>
          <w:highlight w:val="none"/>
          <w14:textFill>
            <w14:solidFill>
              <w14:schemeClr w14:val="tx1"/>
            </w14:solidFill>
          </w14:textFill>
        </w:rPr>
        <w:t>评标报告由评标委员会全体成员签字。对评标结论持有异议的，评标委员会成员可以在评标报告中阐述其不同意见和理由。评标委员会成员拒绝在评标报告上签字且不陈述其不同意见和理由的，视为同意评标结论，并由评标委员会作出书面说明并存档。</w:t>
      </w:r>
    </w:p>
    <w:p w14:paraId="1EA436E8">
      <w:pPr>
        <w:keepNext/>
        <w:keepLines/>
        <w:widowControl w:val="0"/>
        <w:adjustRightInd w:val="0"/>
        <w:spacing w:before="260" w:beforeLines="50" w:after="260" w:afterLines="50" w:line="360" w:lineRule="auto"/>
        <w:jc w:val="both"/>
        <w:textAlignment w:val="baseline"/>
        <w:outlineLvl w:val="2"/>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498" w:name="_Toc16557"/>
      <w:bookmarkStart w:id="499" w:name="_Toc3911"/>
      <w:bookmarkStart w:id="500" w:name="_Toc30502"/>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8.评标报告的审查</w:t>
      </w:r>
      <w:bookmarkEnd w:id="498"/>
      <w:bookmarkEnd w:id="499"/>
      <w:bookmarkEnd w:id="500"/>
    </w:p>
    <w:p w14:paraId="7AC82802">
      <w:pPr>
        <w:tabs>
          <w:tab w:val="left" w:pos="510"/>
        </w:tabs>
        <w:adjustRightInd/>
        <w:spacing w:line="360" w:lineRule="auto"/>
        <w:ind w:firstLine="422" w:firstLineChars="201"/>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招标人履行主体责任，有权审查评标委员会提交的评标报告，发现评标报告存在错误的，有权要求评标委员会依据本章规定复核纠正。</w:t>
      </w:r>
    </w:p>
    <w:p w14:paraId="6AF3B45C">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01" w:name="_Toc12131"/>
      <w:bookmarkStart w:id="502" w:name="_Toc18311"/>
      <w:bookmarkStart w:id="503" w:name="_Toc11239"/>
      <w:r>
        <w:rPr>
          <w:rFonts w:hint="eastAsia" w:ascii="黑体" w:hAnsi="黑体" w:eastAsia="黑体"/>
          <w:b w:val="0"/>
          <w:color w:val="000000" w:themeColor="text1"/>
          <w:sz w:val="28"/>
          <w:szCs w:val="28"/>
          <w:highlight w:val="none"/>
          <w:lang w:val="en-US" w:eastAsia="zh-CN"/>
          <w14:textFill>
            <w14:solidFill>
              <w14:schemeClr w14:val="tx1"/>
            </w14:solidFill>
          </w14:textFill>
        </w:rPr>
        <w:t>9</w:t>
      </w:r>
      <w:r>
        <w:rPr>
          <w:rFonts w:hint="eastAsia" w:ascii="黑体" w:hAnsi="黑体" w:eastAsia="黑体"/>
          <w:b w:val="0"/>
          <w:color w:val="000000" w:themeColor="text1"/>
          <w:sz w:val="28"/>
          <w:szCs w:val="28"/>
          <w:highlight w:val="none"/>
          <w14:textFill>
            <w14:solidFill>
              <w14:schemeClr w14:val="tx1"/>
            </w14:solidFill>
          </w14:textFill>
        </w:rPr>
        <w:t>.附则</w:t>
      </w:r>
      <w:bookmarkEnd w:id="501"/>
      <w:bookmarkEnd w:id="502"/>
      <w:bookmarkEnd w:id="503"/>
    </w:p>
    <w:p w14:paraId="3472B46D">
      <w:pPr>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投标人应对所递交的投标文件以及与投标有关的证明资料的真实性负责，若以弄虚作假骗取中标的，中标无效，给招标人造成损失的依法承担赔偿责任。</w:t>
      </w:r>
    </w:p>
    <w:p w14:paraId="45F0CF81">
      <w:pPr>
        <w:tabs>
          <w:tab w:val="left" w:pos="510"/>
        </w:tabs>
        <w:adjustRightInd/>
        <w:spacing w:line="360" w:lineRule="auto"/>
        <w:jc w:val="left"/>
        <w:textAlignment w:val="auto"/>
        <w:rPr>
          <w:rFonts w:ascii="宋体" w:hAnsi="宋体"/>
          <w:color w:val="000000" w:themeColor="text1"/>
          <w:sz w:val="21"/>
          <w:szCs w:val="21"/>
          <w:highlight w:val="none"/>
          <w14:textFill>
            <w14:solidFill>
              <w14:schemeClr w14:val="tx1"/>
            </w14:solidFill>
          </w14:textFill>
        </w:rPr>
      </w:pPr>
    </w:p>
    <w:p w14:paraId="43F76B46">
      <w:pPr>
        <w:tabs>
          <w:tab w:val="left" w:pos="510"/>
        </w:tabs>
        <w:adjustRightInd/>
        <w:spacing w:afterLines="100" w:line="360" w:lineRule="auto"/>
        <w:jc w:val="center"/>
        <w:textAlignment w:val="auto"/>
        <w:rPr>
          <w:rFonts w:ascii="黑体" w:hAnsi="黑体" w:eastAsia="黑体"/>
          <w:color w:val="000000" w:themeColor="text1"/>
          <w:sz w:val="44"/>
          <w:szCs w:val="44"/>
          <w:highlight w:val="none"/>
          <w14:textFill>
            <w14:solidFill>
              <w14:schemeClr w14:val="tx1"/>
            </w14:solidFill>
          </w14:textFill>
        </w:rPr>
      </w:pPr>
      <w:bookmarkStart w:id="504" w:name="_Toc516753538"/>
      <w:bookmarkStart w:id="505" w:name="_Toc300038977"/>
      <w:bookmarkStart w:id="506" w:name="_Toc31111"/>
      <w:bookmarkStart w:id="507" w:name="_Toc32176"/>
    </w:p>
    <w:p w14:paraId="40101089">
      <w:pPr>
        <w:tabs>
          <w:tab w:val="left" w:pos="510"/>
        </w:tabs>
        <w:adjustRightInd/>
        <w:spacing w:afterLines="100" w:line="360" w:lineRule="auto"/>
        <w:jc w:val="center"/>
        <w:textAlignment w:val="auto"/>
        <w:rPr>
          <w:rFonts w:ascii="黑体" w:hAnsi="黑体" w:eastAsia="黑体"/>
          <w:color w:val="000000" w:themeColor="text1"/>
          <w:sz w:val="44"/>
          <w:szCs w:val="44"/>
          <w:highlight w:val="none"/>
          <w14:textFill>
            <w14:solidFill>
              <w14:schemeClr w14:val="tx1"/>
            </w14:solidFill>
          </w14:textFill>
        </w:rPr>
      </w:pPr>
    </w:p>
    <w:p w14:paraId="5FE18247">
      <w:pPr>
        <w:spacing w:line="360" w:lineRule="auto"/>
        <w:ind w:firstLine="4620" w:firstLineChars="2200"/>
        <w:rPr>
          <w:rFonts w:ascii="宋体" w:hAnsi="宋体" w:eastAsia="宋体" w:cs="Times New Roman"/>
          <w:color w:val="000000" w:themeColor="text1"/>
          <w:sz w:val="21"/>
          <w:szCs w:val="21"/>
          <w:highlight w:val="none"/>
          <w14:textFill>
            <w14:solidFill>
              <w14:schemeClr w14:val="tx1"/>
            </w14:solidFill>
          </w14:textFill>
        </w:rPr>
      </w:pPr>
    </w:p>
    <w:p w14:paraId="6E9B6157">
      <w:pPr>
        <w:adjustRightInd/>
        <w:spacing w:line="240" w:lineRule="auto"/>
        <w:jc w:val="left"/>
        <w:textAlignment w:val="auto"/>
        <w:rPr>
          <w:rFonts w:hint="eastAsia" w:ascii="黑体" w:hAnsi="黑体" w:eastAsia="黑体" w:cs="Arial"/>
          <w:color w:val="000000" w:themeColor="text1"/>
          <w:sz w:val="21"/>
          <w:szCs w:val="21"/>
          <w:highlight w:val="none"/>
          <w14:textFill>
            <w14:solidFill>
              <w14:schemeClr w14:val="tx1"/>
            </w14:solidFill>
          </w14:textFill>
        </w:rPr>
      </w:pPr>
      <w:r>
        <w:rPr>
          <w:rFonts w:hint="eastAsia" w:ascii="黑体" w:hAnsi="黑体" w:eastAsia="黑体" w:cs="Arial"/>
          <w:color w:val="000000" w:themeColor="text1"/>
          <w:sz w:val="21"/>
          <w:szCs w:val="21"/>
          <w:highlight w:val="none"/>
          <w14:textFill>
            <w14:solidFill>
              <w14:schemeClr w14:val="tx1"/>
            </w14:solidFill>
          </w14:textFill>
        </w:rPr>
        <w:br w:type="page"/>
      </w:r>
    </w:p>
    <w:p w14:paraId="0A7EA789">
      <w:pPr>
        <w:tabs>
          <w:tab w:val="left" w:pos="510"/>
        </w:tabs>
        <w:adjustRightInd/>
        <w:spacing w:afterLines="100" w:line="360" w:lineRule="auto"/>
        <w:jc w:val="left"/>
        <w:textAlignment w:val="auto"/>
        <w:rPr>
          <w:rFonts w:ascii="黑体" w:hAnsi="黑体" w:eastAsia="黑体"/>
          <w:color w:val="000000" w:themeColor="text1"/>
          <w:sz w:val="44"/>
          <w:szCs w:val="44"/>
          <w:highlight w:val="none"/>
          <w14:textFill>
            <w14:solidFill>
              <w14:schemeClr w14:val="tx1"/>
            </w14:solidFill>
          </w14:textFill>
        </w:rPr>
      </w:pPr>
    </w:p>
    <w:p w14:paraId="14E61BE4">
      <w:pPr>
        <w:pStyle w:val="3"/>
        <w:spacing w:before="3000"/>
        <w:jc w:val="center"/>
        <w:rPr>
          <w:rFonts w:ascii="黑体" w:hAnsi="黑体" w:eastAsia="黑体"/>
          <w:b w:val="0"/>
          <w:color w:val="000000" w:themeColor="text1"/>
          <w:sz w:val="44"/>
          <w:szCs w:val="44"/>
          <w:highlight w:val="none"/>
          <w14:textFill>
            <w14:solidFill>
              <w14:schemeClr w14:val="tx1"/>
            </w14:solidFill>
          </w14:textFill>
        </w:rPr>
      </w:pPr>
      <w:bookmarkStart w:id="508" w:name="_Toc22782"/>
      <w:bookmarkStart w:id="509" w:name="_Toc27672"/>
      <w:bookmarkStart w:id="510" w:name="_Toc24750"/>
      <w:r>
        <w:rPr>
          <w:rFonts w:hint="eastAsia" w:ascii="黑体" w:hAnsi="黑体" w:eastAsia="黑体"/>
          <w:b w:val="0"/>
          <w:color w:val="000000" w:themeColor="text1"/>
          <w:sz w:val="44"/>
          <w:szCs w:val="44"/>
          <w:highlight w:val="none"/>
          <w14:textFill>
            <w14:solidFill>
              <w14:schemeClr w14:val="tx1"/>
            </w14:solidFill>
          </w14:textFill>
        </w:rPr>
        <w:t xml:space="preserve">第四章 </w:t>
      </w:r>
      <w:r>
        <w:rPr>
          <w:rFonts w:hint="eastAsia" w:ascii="黑体" w:hAnsi="黑体" w:eastAsia="黑体"/>
          <w:b w:val="0"/>
          <w:color w:val="000000" w:themeColor="text1"/>
          <w:sz w:val="44"/>
          <w:szCs w:val="44"/>
          <w:highlight w:val="none"/>
          <w:lang w:eastAsia="zh-CN"/>
          <w14:textFill>
            <w14:solidFill>
              <w14:schemeClr w14:val="tx1"/>
            </w14:solidFill>
          </w14:textFill>
        </w:rPr>
        <w:t>定标方案</w:t>
      </w:r>
      <w:bookmarkEnd w:id="508"/>
      <w:bookmarkEnd w:id="509"/>
      <w:bookmarkEnd w:id="510"/>
    </w:p>
    <w:p w14:paraId="6830A882">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6F5A2E29">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0C33EB98">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38D3810B">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02FF6F63">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50A4AF7F">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0604ECAE">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03AAD902">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2A719981">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4CCE9456">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14F118D7">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7C936383">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72D69A02">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155D8BC2">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5EAE634A">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3B36C028">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0475ACE5">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4B5578F8">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14:paraId="75286D55">
      <w:pPr>
        <w:pStyle w:val="4"/>
        <w:jc w:val="center"/>
        <w:rPr>
          <w:rFonts w:hint="eastAsia" w:ascii="黑体" w:hAnsi="黑体" w:eastAsia="黑体"/>
          <w:b w:val="0"/>
          <w:color w:val="000000" w:themeColor="text1"/>
          <w:sz w:val="28"/>
          <w:szCs w:val="28"/>
          <w:highlight w:val="none"/>
          <w14:textFill>
            <w14:solidFill>
              <w14:schemeClr w14:val="tx1"/>
            </w14:solidFill>
          </w14:textFill>
        </w:rPr>
        <w:sectPr>
          <w:footnotePr>
            <w:numFmt w:val="decimalEnclosedCircleChinese"/>
            <w:numRestart w:val="eachPage"/>
          </w:footnotePr>
          <w:pgSz w:w="11906" w:h="16838"/>
          <w:pgMar w:top="1276" w:right="1559" w:bottom="1559" w:left="1418" w:header="851" w:footer="992" w:gutter="0"/>
          <w:pgBorders>
            <w:top w:val="none" w:sz="0" w:space="0"/>
            <w:left w:val="none" w:sz="0" w:space="0"/>
            <w:bottom w:val="none" w:sz="0" w:space="0"/>
            <w:right w:val="none" w:sz="0" w:space="0"/>
          </w:pgBorders>
          <w:cols w:space="720" w:num="1"/>
          <w:docGrid w:type="linesAndChars" w:linePitch="312" w:charSpace="0"/>
        </w:sectPr>
      </w:pPr>
    </w:p>
    <w:p w14:paraId="139C68C2">
      <w:pPr>
        <w:pStyle w:val="4"/>
        <w:keepNext/>
        <w:keepLines/>
        <w:pageBreakBefore w:val="0"/>
        <w:widowControl w:val="0"/>
        <w:kinsoku/>
        <w:wordWrap/>
        <w:overflowPunct/>
        <w:topLinePunct w:val="0"/>
        <w:autoSpaceDE/>
        <w:autoSpaceDN/>
        <w:bidi w:val="0"/>
        <w:adjustRightInd w:val="0"/>
        <w:snapToGrid/>
        <w:spacing w:beforeLines="50" w:after="0" w:line="360" w:lineRule="auto"/>
        <w:jc w:val="center"/>
        <w:textAlignment w:val="baseline"/>
        <w:rPr>
          <w:rFonts w:hint="default" w:ascii="黑体" w:hAnsi="黑体" w:eastAsia="黑体" w:cs="黑体"/>
          <w:b w:val="0"/>
          <w:bCs w:val="0"/>
          <w:color w:val="000000" w:themeColor="text1"/>
          <w:sz w:val="28"/>
          <w:szCs w:val="28"/>
          <w:highlight w:val="none"/>
          <w:lang w:val="en-US" w:eastAsia="zh-CN"/>
          <w14:textFill>
            <w14:solidFill>
              <w14:schemeClr w14:val="tx1"/>
            </w14:solidFill>
          </w14:textFill>
        </w:rPr>
      </w:pPr>
      <w:bookmarkStart w:id="511" w:name="_Toc8903"/>
      <w:bookmarkStart w:id="512" w:name="_Toc106703297"/>
      <w:bookmarkStart w:id="513" w:name="_Toc17250"/>
      <w:bookmarkStart w:id="514" w:name="_Toc15158"/>
      <w:bookmarkStart w:id="515" w:name="_Toc61877311"/>
      <w:bookmarkStart w:id="516" w:name="_Toc12143"/>
      <w:bookmarkStart w:id="517" w:name="_Toc5771"/>
      <w:bookmarkStart w:id="518" w:name="_Toc52112968"/>
      <w:bookmarkStart w:id="519" w:name="_Toc17239"/>
      <w:bookmarkStart w:id="520" w:name="_Toc13546"/>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第四章  定标方案</w:t>
      </w:r>
      <w:bookmarkEnd w:id="511"/>
    </w:p>
    <w:p w14:paraId="47519EFE">
      <w:pPr>
        <w:pStyle w:val="4"/>
        <w:keepNext/>
        <w:keepLines/>
        <w:pageBreakBefore w:val="0"/>
        <w:widowControl w:val="0"/>
        <w:kinsoku/>
        <w:wordWrap/>
        <w:overflowPunct/>
        <w:topLinePunct w:val="0"/>
        <w:autoSpaceDE/>
        <w:autoSpaceDN/>
        <w:bidi w:val="0"/>
        <w:adjustRightInd w:val="0"/>
        <w:snapToGrid/>
        <w:spacing w:beforeLines="50" w:after="0" w:line="360" w:lineRule="auto"/>
        <w:jc w:val="left"/>
        <w:textAlignment w:val="baseline"/>
        <w:rPr>
          <w:rFonts w:hint="eastAsia" w:ascii="黑体" w:hAnsi="黑体" w:eastAsia="黑体" w:cs="黑体"/>
          <w:b w:val="0"/>
          <w:color w:val="000000" w:themeColor="text1"/>
          <w:sz w:val="21"/>
          <w:szCs w:val="21"/>
          <w:highlight w:val="none"/>
          <w14:textFill>
            <w14:solidFill>
              <w14:schemeClr w14:val="tx1"/>
            </w14:solidFill>
          </w14:textFill>
        </w:rPr>
      </w:pPr>
      <w:bookmarkStart w:id="521" w:name="_Toc12226"/>
      <w:r>
        <w:rPr>
          <w:rFonts w:hint="eastAsia" w:ascii="黑体" w:hAnsi="黑体" w:eastAsia="黑体" w:cs="黑体"/>
          <w:color w:val="000000" w:themeColor="text1"/>
          <w:sz w:val="21"/>
          <w:szCs w:val="21"/>
          <w:highlight w:val="none"/>
          <w14:textFill>
            <w14:solidFill>
              <w14:schemeClr w14:val="tx1"/>
            </w14:solidFill>
          </w14:textFill>
        </w:rPr>
        <w:t>定标</w:t>
      </w:r>
      <w:r>
        <w:rPr>
          <w:rFonts w:hint="eastAsia" w:ascii="黑体" w:hAnsi="黑体" w:eastAsia="黑体" w:cs="黑体"/>
          <w:color w:val="000000" w:themeColor="text1"/>
          <w:sz w:val="21"/>
          <w:szCs w:val="21"/>
          <w:highlight w:val="none"/>
          <w:lang w:val="en-US" w:eastAsia="zh-CN"/>
          <w14:textFill>
            <w14:solidFill>
              <w14:schemeClr w14:val="tx1"/>
            </w14:solidFill>
          </w14:textFill>
        </w:rPr>
        <w:t>方案</w:t>
      </w:r>
      <w:r>
        <w:rPr>
          <w:rFonts w:hint="eastAsia" w:ascii="黑体" w:hAnsi="黑体" w:eastAsia="黑体" w:cs="黑体"/>
          <w:color w:val="000000" w:themeColor="text1"/>
          <w:sz w:val="21"/>
          <w:szCs w:val="21"/>
          <w:highlight w:val="none"/>
          <w14:textFill>
            <w14:solidFill>
              <w14:schemeClr w14:val="tx1"/>
            </w14:solidFill>
          </w14:textFill>
        </w:rPr>
        <w:t>前附表</w:t>
      </w:r>
      <w:bookmarkEnd w:id="512"/>
      <w:bookmarkEnd w:id="513"/>
      <w:bookmarkEnd w:id="514"/>
      <w:bookmarkEnd w:id="515"/>
      <w:bookmarkEnd w:id="516"/>
      <w:bookmarkEnd w:id="517"/>
      <w:bookmarkEnd w:id="518"/>
      <w:r>
        <w:rPr>
          <w:rFonts w:hint="eastAsia" w:ascii="黑体" w:hAnsi="黑体" w:eastAsia="黑体" w:cs="黑体"/>
          <w:color w:val="000000" w:themeColor="text1"/>
          <w:position w:val="-2"/>
          <w:sz w:val="21"/>
          <w:szCs w:val="21"/>
          <w:highlight w:val="none"/>
          <w:vertAlign w:val="superscript"/>
          <w14:textFill>
            <w14:solidFill>
              <w14:schemeClr w14:val="tx1"/>
            </w14:solidFill>
          </w14:textFill>
        </w:rPr>
        <w:footnoteReference w:id="60"/>
      </w:r>
      <w:bookmarkEnd w:id="519"/>
      <w:bookmarkEnd w:id="520"/>
      <w:bookmarkEnd w:id="521"/>
    </w:p>
    <w:tbl>
      <w:tblPr>
        <w:tblStyle w:val="41"/>
        <w:tblW w:w="13899"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905"/>
        <w:gridCol w:w="1501"/>
        <w:gridCol w:w="3724"/>
        <w:gridCol w:w="7085"/>
      </w:tblGrid>
      <w:tr w14:paraId="3CD99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684" w:type="dxa"/>
            <w:tcBorders>
              <w:tl2br w:val="nil"/>
              <w:tr2bl w:val="nil"/>
            </w:tcBorders>
            <w:vAlign w:val="center"/>
          </w:tcPr>
          <w:p w14:paraId="29842D7C">
            <w:pPr>
              <w:adjustRightInd/>
              <w:spacing w:line="300" w:lineRule="auto"/>
              <w:jc w:val="center"/>
              <w:textAlignment w:val="auto"/>
              <w:rPr>
                <w:rFonts w:ascii="宋体" w:hAnsi="宋体" w:eastAsia="宋体" w:cs="宋体"/>
                <w:b/>
                <w:color w:val="000000" w:themeColor="text1"/>
                <w:kern w:val="1"/>
                <w:sz w:val="21"/>
                <w:szCs w:val="21"/>
                <w:highlight w:val="none"/>
                <w14:textFill>
                  <w14:solidFill>
                    <w14:schemeClr w14:val="tx1"/>
                  </w14:solidFill>
                </w14:textFill>
              </w:rPr>
            </w:pPr>
            <w:r>
              <w:rPr>
                <w:rFonts w:hint="eastAsia" w:ascii="宋体" w:hAnsi="宋体" w:eastAsia="宋体" w:cs="宋体"/>
                <w:b/>
                <w:color w:val="000000" w:themeColor="text1"/>
                <w:kern w:val="1"/>
                <w:sz w:val="21"/>
                <w:szCs w:val="21"/>
                <w:highlight w:val="none"/>
                <w14:textFill>
                  <w14:solidFill>
                    <w14:schemeClr w14:val="tx1"/>
                  </w14:solidFill>
                </w14:textFill>
              </w:rPr>
              <w:t>项</w:t>
            </w:r>
            <w:r>
              <w:rPr>
                <w:rFonts w:ascii="宋体" w:hAnsi="宋体" w:eastAsia="宋体" w:cs="宋体"/>
                <w:b/>
                <w:color w:val="000000" w:themeColor="text1"/>
                <w:kern w:val="1"/>
                <w:sz w:val="21"/>
                <w:szCs w:val="21"/>
                <w:highlight w:val="none"/>
                <w14:textFill>
                  <w14:solidFill>
                    <w14:schemeClr w14:val="tx1"/>
                  </w14:solidFill>
                </w14:textFill>
              </w:rPr>
              <w:t>号</w:t>
            </w:r>
          </w:p>
        </w:tc>
        <w:tc>
          <w:tcPr>
            <w:tcW w:w="905" w:type="dxa"/>
            <w:tcBorders>
              <w:tl2br w:val="nil"/>
              <w:tr2bl w:val="nil"/>
            </w:tcBorders>
            <w:vAlign w:val="center"/>
          </w:tcPr>
          <w:p w14:paraId="51B493B7">
            <w:pPr>
              <w:adjustRightInd/>
              <w:spacing w:line="300" w:lineRule="auto"/>
              <w:jc w:val="center"/>
              <w:textAlignment w:val="auto"/>
              <w:rPr>
                <w:rFonts w:ascii="宋体" w:hAnsi="宋体" w:eastAsia="宋体" w:cs="宋体"/>
                <w:b/>
                <w:color w:val="000000" w:themeColor="text1"/>
                <w:kern w:val="1"/>
                <w:sz w:val="21"/>
                <w:szCs w:val="21"/>
                <w:highlight w:val="none"/>
                <w14:textFill>
                  <w14:solidFill>
                    <w14:schemeClr w14:val="tx1"/>
                  </w14:solidFill>
                </w14:textFill>
              </w:rPr>
            </w:pPr>
            <w:r>
              <w:rPr>
                <w:rFonts w:hint="eastAsia" w:ascii="宋体" w:hAnsi="宋体" w:eastAsia="宋体" w:cs="宋体"/>
                <w:b/>
                <w:color w:val="000000" w:themeColor="text1"/>
                <w:kern w:val="1"/>
                <w:sz w:val="21"/>
                <w:szCs w:val="21"/>
                <w:highlight w:val="none"/>
                <w14:textFill>
                  <w14:solidFill>
                    <w14:schemeClr w14:val="tx1"/>
                  </w14:solidFill>
                </w14:textFill>
              </w:rPr>
              <w:t>条款号</w:t>
            </w:r>
          </w:p>
        </w:tc>
        <w:tc>
          <w:tcPr>
            <w:tcW w:w="1501" w:type="dxa"/>
            <w:tcBorders>
              <w:tl2br w:val="nil"/>
              <w:tr2bl w:val="nil"/>
            </w:tcBorders>
            <w:vAlign w:val="center"/>
          </w:tcPr>
          <w:p w14:paraId="7229F199">
            <w:pPr>
              <w:adjustRightInd/>
              <w:spacing w:line="300" w:lineRule="auto"/>
              <w:jc w:val="center"/>
              <w:textAlignment w:val="auto"/>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t>定标要素</w:t>
            </w:r>
          </w:p>
        </w:tc>
        <w:tc>
          <w:tcPr>
            <w:tcW w:w="10809" w:type="dxa"/>
            <w:gridSpan w:val="2"/>
            <w:tcBorders>
              <w:tl2br w:val="nil"/>
              <w:tr2bl w:val="nil"/>
            </w:tcBorders>
            <w:vAlign w:val="center"/>
          </w:tcPr>
          <w:p w14:paraId="0F16570A">
            <w:pPr>
              <w:adjustRightInd/>
              <w:spacing w:line="300" w:lineRule="auto"/>
              <w:ind w:firstLine="0"/>
              <w:jc w:val="center"/>
              <w:textAlignment w:val="auto"/>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t>编列内容</w:t>
            </w:r>
          </w:p>
        </w:tc>
      </w:tr>
      <w:tr w14:paraId="51A687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84" w:type="dxa"/>
            <w:vMerge w:val="restart"/>
            <w:tcBorders>
              <w:tl2br w:val="nil"/>
              <w:tr2bl w:val="nil"/>
            </w:tcBorders>
            <w:vAlign w:val="center"/>
          </w:tcPr>
          <w:p w14:paraId="49CCD473">
            <w:pPr>
              <w:autoSpaceDE w:val="0"/>
              <w:autoSpaceDN w:val="0"/>
              <w:adjustRightInd/>
              <w:spacing w:line="300" w:lineRule="auto"/>
              <w:jc w:val="center"/>
              <w:textAlignment w:val="auto"/>
              <w:rPr>
                <w:rFonts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1</w:t>
            </w:r>
          </w:p>
        </w:tc>
        <w:tc>
          <w:tcPr>
            <w:tcW w:w="905" w:type="dxa"/>
            <w:vMerge w:val="restart"/>
            <w:tcBorders>
              <w:tl2br w:val="nil"/>
              <w:tr2bl w:val="nil"/>
            </w:tcBorders>
            <w:vAlign w:val="center"/>
          </w:tcPr>
          <w:p w14:paraId="79B10A3B">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3.2.</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2</w:t>
            </w:r>
          </w:p>
        </w:tc>
        <w:tc>
          <w:tcPr>
            <w:tcW w:w="1501" w:type="dxa"/>
            <w:vMerge w:val="restart"/>
            <w:tcBorders>
              <w:tl2br w:val="nil"/>
              <w:tr2bl w:val="nil"/>
            </w:tcBorders>
            <w:vAlign w:val="center"/>
          </w:tcPr>
          <w:p w14:paraId="74DE7856">
            <w:pPr>
              <w:autoSpaceDE w:val="0"/>
              <w:autoSpaceDN w:val="0"/>
              <w:adjustRightInd/>
              <w:spacing w:line="300" w:lineRule="auto"/>
              <w:jc w:val="center"/>
              <w:textAlignment w:val="auto"/>
              <w:rPr>
                <w:rFonts w:ascii="Calibri" w:hAnsi="Calibri"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信用</w:t>
            </w:r>
            <w:r>
              <w:rPr>
                <w:rFonts w:ascii="宋体" w:hAnsi="宋体" w:eastAsia="宋体" w:cs="宋体"/>
                <w:color w:val="000000" w:themeColor="text1"/>
                <w:kern w:val="1"/>
                <w:sz w:val="21"/>
                <w:szCs w:val="21"/>
                <w:highlight w:val="none"/>
                <w14:textFill>
                  <w14:solidFill>
                    <w14:schemeClr w14:val="tx1"/>
                  </w14:solidFill>
                </w14:textFill>
              </w:rPr>
              <w:t>要素</w:t>
            </w:r>
          </w:p>
        </w:tc>
        <w:tc>
          <w:tcPr>
            <w:tcW w:w="3724" w:type="dxa"/>
            <w:tcBorders>
              <w:tl2br w:val="nil"/>
              <w:tr2bl w:val="nil"/>
            </w:tcBorders>
            <w:vAlign w:val="center"/>
          </w:tcPr>
          <w:p w14:paraId="4E2DE53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Calibri" w:eastAsia="宋体"/>
                <w:color w:val="000000" w:themeColor="text1"/>
                <w:sz w:val="21"/>
                <w:szCs w:val="21"/>
                <w:highlight w:val="none"/>
                <w:u w:val="none"/>
                <w:lang w:val="en-US" w:eastAsia="zh-CN"/>
                <w14:textFill>
                  <w14:solidFill>
                    <w14:schemeClr w14:val="tx1"/>
                  </w14:solidFill>
                </w14:textFill>
              </w:rPr>
            </w:pPr>
            <w:r>
              <w:rPr>
                <w:rFonts w:hint="eastAsia" w:ascii="宋体" w:hAnsi="Calibri" w:eastAsia="宋体"/>
                <w:color w:val="000000" w:themeColor="text1"/>
                <w:sz w:val="21"/>
                <w:szCs w:val="21"/>
                <w:highlight w:val="none"/>
                <w:u w:val="none"/>
                <w:lang w:val="en-US" w:eastAsia="zh-CN"/>
                <w14:textFill>
                  <w14:solidFill>
                    <w14:schemeClr w14:val="tx1"/>
                  </w14:solidFill>
                </w14:textFill>
              </w:rPr>
              <w:t>子要素内容</w:t>
            </w:r>
          </w:p>
        </w:tc>
        <w:tc>
          <w:tcPr>
            <w:tcW w:w="7085" w:type="dxa"/>
            <w:tcBorders>
              <w:tl2br w:val="nil"/>
              <w:tr2bl w:val="nil"/>
            </w:tcBorders>
            <w:vAlign w:val="center"/>
          </w:tcPr>
          <w:p w14:paraId="1D101364">
            <w:pPr>
              <w:autoSpaceDE w:val="0"/>
              <w:autoSpaceDN w:val="0"/>
              <w:adjustRightInd/>
              <w:spacing w:line="360" w:lineRule="auto"/>
              <w:jc w:val="center"/>
              <w:textAlignment w:val="auto"/>
              <w:rPr>
                <w:rFonts w:hint="eastAsia" w:ascii="宋体" w:hAnsi="Calibri" w:eastAsia="宋体"/>
                <w:color w:val="000000" w:themeColor="text1"/>
                <w:sz w:val="21"/>
                <w:szCs w:val="21"/>
                <w:highlight w:val="none"/>
                <w:u w:val="none"/>
                <w:lang w:val="en-US" w:eastAsia="zh-CN"/>
                <w14:textFill>
                  <w14:solidFill>
                    <w14:schemeClr w14:val="tx1"/>
                  </w14:solidFill>
                </w14:textFill>
              </w:rPr>
            </w:pPr>
            <w:r>
              <w:rPr>
                <w:rFonts w:hint="eastAsia" w:ascii="宋体" w:hAnsi="Calibri" w:eastAsia="宋体"/>
                <w:color w:val="000000" w:themeColor="text1"/>
                <w:sz w:val="21"/>
                <w:szCs w:val="21"/>
                <w:highlight w:val="none"/>
                <w:u w:val="none"/>
                <w:lang w:val="en-US" w:eastAsia="zh-CN"/>
                <w14:textFill>
                  <w14:solidFill>
                    <w14:schemeClr w14:val="tx1"/>
                  </w14:solidFill>
                </w14:textFill>
              </w:rPr>
              <w:t>证明材料要求</w:t>
            </w:r>
          </w:p>
        </w:tc>
      </w:tr>
      <w:tr w14:paraId="77B501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76" w:hRule="atLeast"/>
        </w:trPr>
        <w:tc>
          <w:tcPr>
            <w:tcW w:w="684" w:type="dxa"/>
            <w:vMerge w:val="continue"/>
            <w:tcBorders>
              <w:tl2br w:val="nil"/>
              <w:tr2bl w:val="nil"/>
            </w:tcBorders>
            <w:vAlign w:val="center"/>
          </w:tcPr>
          <w:p w14:paraId="5E329139">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5" w:type="dxa"/>
            <w:vMerge w:val="continue"/>
            <w:tcBorders>
              <w:tl2br w:val="nil"/>
              <w:tr2bl w:val="nil"/>
            </w:tcBorders>
            <w:vAlign w:val="center"/>
          </w:tcPr>
          <w:p w14:paraId="3E5FC797">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501" w:type="dxa"/>
            <w:vMerge w:val="continue"/>
            <w:tcBorders>
              <w:tl2br w:val="nil"/>
              <w:tr2bl w:val="nil"/>
            </w:tcBorders>
            <w:vAlign w:val="center"/>
          </w:tcPr>
          <w:p w14:paraId="32FF4C2D">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3724" w:type="dxa"/>
            <w:tcBorders>
              <w:tl2br w:val="nil"/>
              <w:tr2bl w:val="nil"/>
            </w:tcBorders>
            <w:vAlign w:val="center"/>
          </w:tcPr>
          <w:p w14:paraId="2B67B9B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Calibri" w:eastAsia="宋体"/>
                <w:color w:val="000000" w:themeColor="text1"/>
                <w:sz w:val="21"/>
                <w:szCs w:val="21"/>
                <w:highlight w:val="none"/>
                <w:u w:val="none"/>
                <w14:textFill>
                  <w14:solidFill>
                    <w14:schemeClr w14:val="tx1"/>
                  </w14:solidFill>
                </w14:textFill>
              </w:rPr>
            </w:pPr>
          </w:p>
        </w:tc>
        <w:tc>
          <w:tcPr>
            <w:tcW w:w="7085" w:type="dxa"/>
            <w:tcBorders>
              <w:tl2br w:val="nil"/>
              <w:tr2bl w:val="nil"/>
            </w:tcBorders>
            <w:vAlign w:val="center"/>
          </w:tcPr>
          <w:p w14:paraId="3CC842AE">
            <w:pPr>
              <w:autoSpaceDE w:val="0"/>
              <w:autoSpaceDN w:val="0"/>
              <w:adjustRightInd/>
              <w:spacing w:line="360" w:lineRule="auto"/>
              <w:jc w:val="center"/>
              <w:textAlignment w:val="auto"/>
              <w:rPr>
                <w:rFonts w:hint="eastAsia" w:ascii="宋体" w:hAnsi="Calibri" w:eastAsia="宋体"/>
                <w:color w:val="000000" w:themeColor="text1"/>
                <w:sz w:val="21"/>
                <w:szCs w:val="21"/>
                <w:highlight w:val="none"/>
                <w:u w:val="single"/>
                <w:lang w:val="en-US" w:eastAsia="zh-CN"/>
                <w14:textFill>
                  <w14:solidFill>
                    <w14:schemeClr w14:val="tx1"/>
                  </w14:solidFill>
                </w14:textFill>
              </w:rPr>
            </w:pPr>
          </w:p>
        </w:tc>
      </w:tr>
      <w:tr w14:paraId="7F7B28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684" w:type="dxa"/>
            <w:vMerge w:val="continue"/>
            <w:tcBorders>
              <w:tl2br w:val="nil"/>
              <w:tr2bl w:val="nil"/>
            </w:tcBorders>
            <w:vAlign w:val="center"/>
          </w:tcPr>
          <w:p w14:paraId="6634F529">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5" w:type="dxa"/>
            <w:vMerge w:val="continue"/>
            <w:tcBorders>
              <w:tl2br w:val="nil"/>
              <w:tr2bl w:val="nil"/>
            </w:tcBorders>
            <w:vAlign w:val="center"/>
          </w:tcPr>
          <w:p w14:paraId="581BA220">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501" w:type="dxa"/>
            <w:vMerge w:val="continue"/>
            <w:tcBorders>
              <w:tl2br w:val="nil"/>
              <w:tr2bl w:val="nil"/>
            </w:tcBorders>
            <w:vAlign w:val="center"/>
          </w:tcPr>
          <w:p w14:paraId="005FC968">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3724" w:type="dxa"/>
            <w:tcBorders>
              <w:tl2br w:val="nil"/>
              <w:tr2bl w:val="nil"/>
            </w:tcBorders>
            <w:vAlign w:val="center"/>
          </w:tcPr>
          <w:p w14:paraId="48B455D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Calibri" w:eastAsia="宋体"/>
                <w:color w:val="000000" w:themeColor="text1"/>
                <w:sz w:val="21"/>
                <w:szCs w:val="21"/>
                <w:highlight w:val="none"/>
                <w:u w:val="none"/>
                <w:lang w:eastAsia="zh-CN"/>
                <w14:textFill>
                  <w14:solidFill>
                    <w14:schemeClr w14:val="tx1"/>
                  </w14:solidFill>
                </w14:textFill>
              </w:rPr>
            </w:pPr>
            <w:r>
              <w:rPr>
                <w:rFonts w:hint="eastAsia" w:ascii="宋体" w:hAnsi="Calibri" w:eastAsia="宋体"/>
                <w:color w:val="000000" w:themeColor="text1"/>
                <w:sz w:val="21"/>
                <w:szCs w:val="21"/>
                <w:highlight w:val="none"/>
                <w:u w:val="none"/>
                <w:lang w:eastAsia="zh-CN"/>
                <w14:textFill>
                  <w14:solidFill>
                    <w14:schemeClr w14:val="tx1"/>
                  </w14:solidFill>
                </w14:textFill>
              </w:rPr>
              <w:t>……</w:t>
            </w:r>
          </w:p>
        </w:tc>
        <w:tc>
          <w:tcPr>
            <w:tcW w:w="7085" w:type="dxa"/>
            <w:tcBorders>
              <w:tl2br w:val="nil"/>
              <w:tr2bl w:val="nil"/>
            </w:tcBorders>
            <w:vAlign w:val="center"/>
          </w:tcPr>
          <w:p w14:paraId="2D2468FC">
            <w:pPr>
              <w:autoSpaceDE w:val="0"/>
              <w:autoSpaceDN w:val="0"/>
              <w:adjustRightInd/>
              <w:spacing w:line="360" w:lineRule="auto"/>
              <w:jc w:val="center"/>
              <w:textAlignment w:val="auto"/>
              <w:rPr>
                <w:rFonts w:ascii="宋体" w:hAnsi="Calibri" w:eastAsia="宋体"/>
                <w:color w:val="000000" w:themeColor="text1"/>
                <w:sz w:val="21"/>
                <w:szCs w:val="21"/>
                <w:highlight w:val="none"/>
                <w:u w:val="none"/>
                <w14:textFill>
                  <w14:solidFill>
                    <w14:schemeClr w14:val="tx1"/>
                  </w14:solidFill>
                </w14:textFill>
              </w:rPr>
            </w:pPr>
          </w:p>
        </w:tc>
      </w:tr>
      <w:tr w14:paraId="31EA9F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684" w:type="dxa"/>
            <w:vMerge w:val="restart"/>
            <w:tcBorders>
              <w:tl2br w:val="nil"/>
              <w:tr2bl w:val="nil"/>
            </w:tcBorders>
            <w:vAlign w:val="center"/>
          </w:tcPr>
          <w:p w14:paraId="394FB718">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2</w:t>
            </w:r>
          </w:p>
        </w:tc>
        <w:tc>
          <w:tcPr>
            <w:tcW w:w="905" w:type="dxa"/>
            <w:vMerge w:val="restart"/>
            <w:tcBorders>
              <w:tl2br w:val="nil"/>
              <w:tr2bl w:val="nil"/>
            </w:tcBorders>
            <w:vAlign w:val="center"/>
          </w:tcPr>
          <w:p w14:paraId="0176334E">
            <w:pPr>
              <w:autoSpaceDE w:val="0"/>
              <w:autoSpaceDN w:val="0"/>
              <w:adjustRightInd/>
              <w:spacing w:line="300" w:lineRule="auto"/>
              <w:jc w:val="center"/>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3.2.2</w:t>
            </w:r>
          </w:p>
        </w:tc>
        <w:tc>
          <w:tcPr>
            <w:tcW w:w="1501" w:type="dxa"/>
            <w:vMerge w:val="restart"/>
            <w:tcBorders>
              <w:tl2br w:val="nil"/>
              <w:tr2bl w:val="nil"/>
            </w:tcBorders>
            <w:vAlign w:val="center"/>
          </w:tcPr>
          <w:p w14:paraId="3C11F8B3">
            <w:pPr>
              <w:autoSpaceDE w:val="0"/>
              <w:autoSpaceDN w:val="0"/>
              <w:adjustRightInd/>
              <w:spacing w:line="300" w:lineRule="auto"/>
              <w:jc w:val="center"/>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实力要素</w:t>
            </w:r>
          </w:p>
        </w:tc>
        <w:tc>
          <w:tcPr>
            <w:tcW w:w="3724" w:type="dxa"/>
            <w:tcBorders>
              <w:tl2br w:val="nil"/>
              <w:tr2bl w:val="nil"/>
            </w:tcBorders>
            <w:vAlign w:val="center"/>
          </w:tcPr>
          <w:p w14:paraId="74044CE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Calibri" w:eastAsia="宋体"/>
                <w:color w:val="000000" w:themeColor="text1"/>
                <w:sz w:val="21"/>
                <w:szCs w:val="21"/>
                <w:highlight w:val="none"/>
                <w:u w:val="none"/>
                <w:lang w:val="en-US" w:eastAsia="zh-CN"/>
                <w14:textFill>
                  <w14:solidFill>
                    <w14:schemeClr w14:val="tx1"/>
                  </w14:solidFill>
                </w14:textFill>
              </w:rPr>
              <w:t>子要素内容</w:t>
            </w:r>
          </w:p>
        </w:tc>
        <w:tc>
          <w:tcPr>
            <w:tcW w:w="7085" w:type="dxa"/>
            <w:tcBorders>
              <w:tl2br w:val="nil"/>
              <w:tr2bl w:val="nil"/>
            </w:tcBorders>
            <w:vAlign w:val="center"/>
          </w:tcPr>
          <w:p w14:paraId="222BBDB8">
            <w:pPr>
              <w:autoSpaceDE w:val="0"/>
              <w:autoSpaceDN w:val="0"/>
              <w:adjustRightInd/>
              <w:spacing w:line="360" w:lineRule="auto"/>
              <w:jc w:val="center"/>
              <w:textAlignment w:val="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Calibri" w:eastAsia="宋体"/>
                <w:color w:val="000000" w:themeColor="text1"/>
                <w:sz w:val="21"/>
                <w:szCs w:val="21"/>
                <w:highlight w:val="none"/>
                <w:u w:val="none"/>
                <w:lang w:val="en-US" w:eastAsia="zh-CN"/>
                <w14:textFill>
                  <w14:solidFill>
                    <w14:schemeClr w14:val="tx1"/>
                  </w14:solidFill>
                </w14:textFill>
              </w:rPr>
              <w:t>证明材料要求</w:t>
            </w:r>
          </w:p>
        </w:tc>
      </w:tr>
      <w:tr w14:paraId="50149C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26" w:hRule="atLeast"/>
        </w:trPr>
        <w:tc>
          <w:tcPr>
            <w:tcW w:w="684" w:type="dxa"/>
            <w:vMerge w:val="continue"/>
            <w:tcBorders>
              <w:tl2br w:val="nil"/>
              <w:tr2bl w:val="nil"/>
            </w:tcBorders>
            <w:vAlign w:val="center"/>
          </w:tcPr>
          <w:p w14:paraId="6D39681D">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tl2br w:val="nil"/>
              <w:tr2bl w:val="nil"/>
            </w:tcBorders>
            <w:vAlign w:val="center"/>
          </w:tcPr>
          <w:p w14:paraId="681E62F3">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1501" w:type="dxa"/>
            <w:vMerge w:val="continue"/>
            <w:tcBorders>
              <w:tl2br w:val="nil"/>
              <w:tr2bl w:val="nil"/>
            </w:tcBorders>
            <w:vAlign w:val="center"/>
          </w:tcPr>
          <w:p w14:paraId="5FAAD63D">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3724" w:type="dxa"/>
            <w:tcBorders>
              <w:tl2br w:val="nil"/>
              <w:tr2bl w:val="nil"/>
            </w:tcBorders>
            <w:vAlign w:val="center"/>
          </w:tcPr>
          <w:p w14:paraId="70844EE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Calibri" w:eastAsia="宋体"/>
                <w:color w:val="000000" w:themeColor="text1"/>
                <w:sz w:val="21"/>
                <w:szCs w:val="21"/>
                <w:highlight w:val="none"/>
                <w:u w:val="none"/>
                <w14:textFill>
                  <w14:solidFill>
                    <w14:schemeClr w14:val="tx1"/>
                  </w14:solidFill>
                </w14:textFill>
              </w:rPr>
            </w:pPr>
          </w:p>
        </w:tc>
        <w:tc>
          <w:tcPr>
            <w:tcW w:w="7085" w:type="dxa"/>
            <w:tcBorders>
              <w:tl2br w:val="nil"/>
              <w:tr2bl w:val="nil"/>
            </w:tcBorders>
            <w:vAlign w:val="center"/>
          </w:tcPr>
          <w:p w14:paraId="7DAF3563">
            <w:pPr>
              <w:autoSpaceDE w:val="0"/>
              <w:autoSpaceDN w:val="0"/>
              <w:adjustRightInd/>
              <w:spacing w:line="360" w:lineRule="auto"/>
              <w:jc w:val="center"/>
              <w:textAlignment w:val="auto"/>
              <w:rPr>
                <w:rFonts w:hint="eastAsia" w:ascii="宋体" w:hAnsi="Calibri" w:eastAsia="宋体"/>
                <w:color w:val="000000" w:themeColor="text1"/>
                <w:sz w:val="21"/>
                <w:szCs w:val="21"/>
                <w:highlight w:val="none"/>
                <w:u w:val="none"/>
                <w14:textFill>
                  <w14:solidFill>
                    <w14:schemeClr w14:val="tx1"/>
                  </w14:solidFill>
                </w14:textFill>
              </w:rPr>
            </w:pPr>
          </w:p>
        </w:tc>
      </w:tr>
      <w:tr w14:paraId="0B5F02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684" w:type="dxa"/>
            <w:vMerge w:val="continue"/>
            <w:tcBorders>
              <w:tl2br w:val="nil"/>
              <w:tr2bl w:val="nil"/>
            </w:tcBorders>
            <w:vAlign w:val="center"/>
          </w:tcPr>
          <w:p w14:paraId="6959056B">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tl2br w:val="nil"/>
              <w:tr2bl w:val="nil"/>
            </w:tcBorders>
            <w:vAlign w:val="center"/>
          </w:tcPr>
          <w:p w14:paraId="44F8F68A">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1501" w:type="dxa"/>
            <w:vMerge w:val="continue"/>
            <w:tcBorders>
              <w:tl2br w:val="nil"/>
              <w:tr2bl w:val="nil"/>
            </w:tcBorders>
            <w:vAlign w:val="center"/>
          </w:tcPr>
          <w:p w14:paraId="311F36B2">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3724" w:type="dxa"/>
            <w:tcBorders>
              <w:tl2br w:val="nil"/>
              <w:tr2bl w:val="nil"/>
            </w:tcBorders>
            <w:vAlign w:val="center"/>
          </w:tcPr>
          <w:p w14:paraId="623F349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Calibri" w:eastAsia="宋体"/>
                <w:color w:val="000000" w:themeColor="text1"/>
                <w:sz w:val="21"/>
                <w:szCs w:val="21"/>
                <w:highlight w:val="none"/>
                <w:u w:val="none"/>
                <w:lang w:eastAsia="zh-CN"/>
                <w14:textFill>
                  <w14:solidFill>
                    <w14:schemeClr w14:val="tx1"/>
                  </w14:solidFill>
                </w14:textFill>
              </w:rPr>
            </w:pPr>
            <w:r>
              <w:rPr>
                <w:rFonts w:hint="eastAsia" w:ascii="宋体" w:hAnsi="Calibri" w:eastAsia="宋体"/>
                <w:color w:val="000000" w:themeColor="text1"/>
                <w:sz w:val="21"/>
                <w:szCs w:val="21"/>
                <w:highlight w:val="none"/>
                <w:u w:val="none"/>
                <w:lang w:eastAsia="zh-CN"/>
                <w14:textFill>
                  <w14:solidFill>
                    <w14:schemeClr w14:val="tx1"/>
                  </w14:solidFill>
                </w14:textFill>
              </w:rPr>
              <w:t>……</w:t>
            </w:r>
          </w:p>
        </w:tc>
        <w:tc>
          <w:tcPr>
            <w:tcW w:w="7085" w:type="dxa"/>
            <w:tcBorders>
              <w:tl2br w:val="nil"/>
              <w:tr2bl w:val="nil"/>
            </w:tcBorders>
            <w:vAlign w:val="center"/>
          </w:tcPr>
          <w:p w14:paraId="46C53A2E">
            <w:pPr>
              <w:autoSpaceDE w:val="0"/>
              <w:autoSpaceDN w:val="0"/>
              <w:adjustRightInd/>
              <w:spacing w:line="360" w:lineRule="auto"/>
              <w:jc w:val="center"/>
              <w:textAlignment w:val="auto"/>
              <w:rPr>
                <w:rFonts w:hint="eastAsia" w:ascii="宋体" w:hAnsi="Calibri" w:eastAsia="宋体"/>
                <w:color w:val="000000" w:themeColor="text1"/>
                <w:sz w:val="21"/>
                <w:szCs w:val="21"/>
                <w:highlight w:val="none"/>
                <w:u w:val="none"/>
                <w14:textFill>
                  <w14:solidFill>
                    <w14:schemeClr w14:val="tx1"/>
                  </w14:solidFill>
                </w14:textFill>
              </w:rPr>
            </w:pPr>
          </w:p>
        </w:tc>
      </w:tr>
      <w:tr w14:paraId="08BB72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684" w:type="dxa"/>
            <w:tcBorders>
              <w:tl2br w:val="nil"/>
              <w:tr2bl w:val="nil"/>
            </w:tcBorders>
            <w:vAlign w:val="center"/>
          </w:tcPr>
          <w:p w14:paraId="5C537EF9">
            <w:pPr>
              <w:autoSpaceDE w:val="0"/>
              <w:autoSpaceDN w:val="0"/>
              <w:adjustRightInd/>
              <w:spacing w:line="300" w:lineRule="auto"/>
              <w:jc w:val="center"/>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3</w:t>
            </w:r>
          </w:p>
        </w:tc>
        <w:tc>
          <w:tcPr>
            <w:tcW w:w="905" w:type="dxa"/>
            <w:tcBorders>
              <w:tl2br w:val="nil"/>
              <w:tr2bl w:val="nil"/>
            </w:tcBorders>
            <w:vAlign w:val="center"/>
          </w:tcPr>
          <w:p w14:paraId="6832FB16">
            <w:pPr>
              <w:autoSpaceDE w:val="0"/>
              <w:autoSpaceDN w:val="0"/>
              <w:adjustRightInd/>
              <w:spacing w:line="300" w:lineRule="auto"/>
              <w:jc w:val="center"/>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3.2.2</w:t>
            </w:r>
          </w:p>
        </w:tc>
        <w:tc>
          <w:tcPr>
            <w:tcW w:w="1501" w:type="dxa"/>
            <w:tcBorders>
              <w:tl2br w:val="nil"/>
              <w:tr2bl w:val="nil"/>
            </w:tcBorders>
            <w:vAlign w:val="center"/>
          </w:tcPr>
          <w:p w14:paraId="10B640E3">
            <w:pPr>
              <w:autoSpaceDE w:val="0"/>
              <w:autoSpaceDN w:val="0"/>
              <w:adjustRightInd/>
              <w:spacing w:line="240" w:lineRule="auto"/>
              <w:jc w:val="center"/>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报价要素</w:t>
            </w:r>
          </w:p>
        </w:tc>
        <w:tc>
          <w:tcPr>
            <w:tcW w:w="10809" w:type="dxa"/>
            <w:gridSpan w:val="2"/>
            <w:tcBorders>
              <w:tl2br w:val="nil"/>
              <w:tr2bl w:val="nil"/>
            </w:tcBorders>
            <w:vAlign w:val="center"/>
          </w:tcPr>
          <w:p w14:paraId="51AAB368">
            <w:pPr>
              <w:autoSpaceDE w:val="0"/>
              <w:autoSpaceDN w:val="0"/>
              <w:adjustRightInd/>
              <w:spacing w:line="240" w:lineRule="auto"/>
              <w:jc w:val="center"/>
              <w:textAlignment w:val="auto"/>
              <w:rPr>
                <w:rFonts w:hint="eastAsia" w:ascii="宋体" w:hAnsi="Calibri" w:eastAsia="宋体"/>
                <w:color w:val="000000" w:themeColor="text1"/>
                <w:sz w:val="21"/>
                <w:szCs w:val="21"/>
                <w:highlight w:val="none"/>
                <w:u w:val="none"/>
                <w14:textFill>
                  <w14:solidFill>
                    <w14:schemeClr w14:val="tx1"/>
                  </w14:solidFill>
                </w14:textFill>
              </w:rPr>
            </w:pPr>
            <w:r>
              <w:rPr>
                <w:rFonts w:hint="eastAsia" w:ascii="宋体" w:hAnsi="Calibri" w:eastAsia="宋体"/>
                <w:color w:val="000000" w:themeColor="text1"/>
                <w:sz w:val="21"/>
                <w:szCs w:val="21"/>
                <w:highlight w:val="none"/>
                <w:u w:val="none"/>
                <w:lang w:val="en-US" w:eastAsia="zh-CN"/>
                <w14:textFill>
                  <w14:solidFill>
                    <w14:schemeClr w14:val="tx1"/>
                  </w14:solidFill>
                </w14:textFill>
              </w:rPr>
              <w:t>有关标准和程序执行定标方案附件“报价要素评审标准”规定（如有）</w:t>
            </w:r>
          </w:p>
        </w:tc>
      </w:tr>
      <w:tr w14:paraId="7DC9EF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684" w:type="dxa"/>
            <w:tcBorders>
              <w:tl2br w:val="nil"/>
              <w:tr2bl w:val="nil"/>
            </w:tcBorders>
            <w:vAlign w:val="center"/>
          </w:tcPr>
          <w:p w14:paraId="5CDC0239">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4</w:t>
            </w:r>
          </w:p>
        </w:tc>
        <w:tc>
          <w:tcPr>
            <w:tcW w:w="905" w:type="dxa"/>
            <w:tcBorders>
              <w:tl2br w:val="nil"/>
              <w:tr2bl w:val="nil"/>
            </w:tcBorders>
            <w:vAlign w:val="center"/>
          </w:tcPr>
          <w:p w14:paraId="4FB7B31D">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3.2.2</w:t>
            </w:r>
          </w:p>
        </w:tc>
        <w:tc>
          <w:tcPr>
            <w:tcW w:w="12310" w:type="dxa"/>
            <w:gridSpan w:val="3"/>
            <w:tcBorders>
              <w:tl2br w:val="nil"/>
              <w:tr2bl w:val="nil"/>
            </w:tcBorders>
            <w:vAlign w:val="center"/>
          </w:tcPr>
          <w:p w14:paraId="75E1E41F">
            <w:pPr>
              <w:autoSpaceDE w:val="0"/>
              <w:autoSpaceDN w:val="0"/>
              <w:adjustRightInd/>
              <w:spacing w:line="240" w:lineRule="auto"/>
              <w:jc w:val="center"/>
              <w:textAlignment w:val="auto"/>
              <w:rPr>
                <w:rFonts w:hint="eastAsia" w:ascii="宋体" w:hAnsi="Calibri" w:eastAsia="宋体" w:cs="Times New Roman"/>
                <w:color w:val="000000" w:themeColor="text1"/>
                <w:sz w:val="21"/>
                <w:szCs w:val="21"/>
                <w:highlight w:val="none"/>
                <w:u w:val="single"/>
                <w:lang w:val="en-US" w:eastAsia="zh-CN" w:bidi="ar-SA"/>
                <w14:textFill>
                  <w14:solidFill>
                    <w14:schemeClr w14:val="tx1"/>
                  </w14:solidFill>
                </w14:textFill>
              </w:rPr>
            </w:pPr>
            <w:r>
              <w:rPr>
                <w:rFonts w:hint="default" w:ascii="宋体" w:hAnsi="Calibri" w:eastAsia="宋体" w:cs="Times New Roman"/>
                <w:color w:val="000000" w:themeColor="text1"/>
                <w:sz w:val="21"/>
                <w:szCs w:val="21"/>
                <w:highlight w:val="none"/>
                <w:u w:val="none"/>
                <w:lang w:val="en-US" w:eastAsia="zh-CN" w:bidi="ar-SA"/>
                <w14:textFill>
                  <w14:solidFill>
                    <w14:schemeClr w14:val="tx1"/>
                  </w14:solidFill>
                </w14:textFill>
              </w:rPr>
              <w:t>以考量设计（勘察）方案优劣为主，结合评标委员会评审意见</w:t>
            </w:r>
          </w:p>
        </w:tc>
      </w:tr>
      <w:tr w14:paraId="3FC16A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684" w:type="dxa"/>
            <w:tcBorders>
              <w:bottom w:val="single" w:color="auto" w:sz="4" w:space="0"/>
              <w:tl2br w:val="nil"/>
              <w:tr2bl w:val="nil"/>
            </w:tcBorders>
            <w:vAlign w:val="center"/>
          </w:tcPr>
          <w:p w14:paraId="65CF556C">
            <w:pPr>
              <w:adjustRightInd/>
              <w:spacing w:line="300" w:lineRule="auto"/>
              <w:jc w:val="center"/>
              <w:textAlignment w:val="auto"/>
              <w:rPr>
                <w:rFonts w:ascii="宋体" w:hAnsi="宋体" w:eastAsia="宋体" w:cs="宋体"/>
                <w:b/>
                <w:color w:val="000000" w:themeColor="text1"/>
                <w:kern w:val="1"/>
                <w:sz w:val="21"/>
                <w:szCs w:val="21"/>
                <w:highlight w:val="none"/>
                <w14:textFill>
                  <w14:solidFill>
                    <w14:schemeClr w14:val="tx1"/>
                  </w14:solidFill>
                </w14:textFill>
              </w:rPr>
            </w:pPr>
            <w:r>
              <w:rPr>
                <w:rFonts w:hint="eastAsia" w:ascii="宋体" w:hAnsi="宋体" w:eastAsia="宋体" w:cs="宋体"/>
                <w:b/>
                <w:color w:val="000000" w:themeColor="text1"/>
                <w:kern w:val="1"/>
                <w:sz w:val="21"/>
                <w:szCs w:val="21"/>
                <w:highlight w:val="none"/>
                <w14:textFill>
                  <w14:solidFill>
                    <w14:schemeClr w14:val="tx1"/>
                  </w14:solidFill>
                </w14:textFill>
              </w:rPr>
              <w:t>项</w:t>
            </w:r>
            <w:r>
              <w:rPr>
                <w:rFonts w:ascii="宋体" w:hAnsi="宋体" w:eastAsia="宋体" w:cs="宋体"/>
                <w:b/>
                <w:color w:val="000000" w:themeColor="text1"/>
                <w:kern w:val="1"/>
                <w:sz w:val="21"/>
                <w:szCs w:val="21"/>
                <w:highlight w:val="none"/>
                <w14:textFill>
                  <w14:solidFill>
                    <w14:schemeClr w14:val="tx1"/>
                  </w14:solidFill>
                </w14:textFill>
              </w:rPr>
              <w:t>号</w:t>
            </w:r>
          </w:p>
        </w:tc>
        <w:tc>
          <w:tcPr>
            <w:tcW w:w="905" w:type="dxa"/>
            <w:tcBorders>
              <w:bottom w:val="single" w:color="auto" w:sz="4" w:space="0"/>
              <w:tl2br w:val="nil"/>
              <w:tr2bl w:val="nil"/>
            </w:tcBorders>
            <w:vAlign w:val="center"/>
          </w:tcPr>
          <w:p w14:paraId="4C50B2EF">
            <w:pPr>
              <w:adjustRightInd/>
              <w:spacing w:line="300" w:lineRule="auto"/>
              <w:jc w:val="center"/>
              <w:textAlignment w:val="auto"/>
              <w:rPr>
                <w:rFonts w:ascii="宋体" w:hAnsi="宋体" w:eastAsia="宋体" w:cs="宋体"/>
                <w:b/>
                <w:color w:val="000000" w:themeColor="text1"/>
                <w:kern w:val="1"/>
                <w:sz w:val="21"/>
                <w:szCs w:val="21"/>
                <w:highlight w:val="none"/>
                <w14:textFill>
                  <w14:solidFill>
                    <w14:schemeClr w14:val="tx1"/>
                  </w14:solidFill>
                </w14:textFill>
              </w:rPr>
            </w:pPr>
            <w:r>
              <w:rPr>
                <w:rFonts w:hint="eastAsia" w:ascii="宋体" w:hAnsi="宋体" w:eastAsia="宋体" w:cs="宋体"/>
                <w:b/>
                <w:color w:val="000000" w:themeColor="text1"/>
                <w:kern w:val="1"/>
                <w:sz w:val="21"/>
                <w:szCs w:val="21"/>
                <w:highlight w:val="none"/>
                <w14:textFill>
                  <w14:solidFill>
                    <w14:schemeClr w14:val="tx1"/>
                  </w14:solidFill>
                </w14:textFill>
              </w:rPr>
              <w:t>条款号</w:t>
            </w:r>
          </w:p>
        </w:tc>
        <w:tc>
          <w:tcPr>
            <w:tcW w:w="1501" w:type="dxa"/>
            <w:tcBorders>
              <w:bottom w:val="single" w:color="auto" w:sz="4" w:space="0"/>
              <w:tl2br w:val="nil"/>
              <w:tr2bl w:val="nil"/>
            </w:tcBorders>
            <w:vAlign w:val="center"/>
          </w:tcPr>
          <w:p w14:paraId="496D199F">
            <w:pPr>
              <w:adjustRightInd/>
              <w:spacing w:line="300" w:lineRule="auto"/>
              <w:jc w:val="center"/>
              <w:textAlignment w:val="auto"/>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定标方法</w:t>
            </w:r>
          </w:p>
        </w:tc>
        <w:tc>
          <w:tcPr>
            <w:tcW w:w="10809" w:type="dxa"/>
            <w:gridSpan w:val="2"/>
            <w:tcBorders>
              <w:bottom w:val="single" w:color="auto" w:sz="4" w:space="0"/>
              <w:tl2br w:val="nil"/>
              <w:tr2bl w:val="nil"/>
            </w:tcBorders>
            <w:vAlign w:val="center"/>
          </w:tcPr>
          <w:p w14:paraId="4F53517E">
            <w:pPr>
              <w:adjustRightInd/>
              <w:spacing w:line="300" w:lineRule="auto"/>
              <w:ind w:firstLine="340"/>
              <w:jc w:val="center"/>
              <w:textAlignment w:val="auto"/>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t>编列内容</w:t>
            </w:r>
          </w:p>
        </w:tc>
      </w:tr>
      <w:tr w14:paraId="12695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63" w:hRule="atLeast"/>
        </w:trPr>
        <w:tc>
          <w:tcPr>
            <w:tcW w:w="684" w:type="dxa"/>
            <w:tcBorders>
              <w:top w:val="single" w:color="auto" w:sz="4" w:space="0"/>
              <w:left w:val="single" w:color="auto" w:sz="4" w:space="0"/>
              <w:bottom w:val="single" w:color="auto" w:sz="4" w:space="0"/>
              <w:right w:val="single" w:color="auto" w:sz="4" w:space="0"/>
              <w:tl2br w:val="nil"/>
              <w:tr2bl w:val="nil"/>
            </w:tcBorders>
            <w:vAlign w:val="center"/>
          </w:tcPr>
          <w:p w14:paraId="572307F0">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5</w:t>
            </w: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14:paraId="37C0343D">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1"/>
                <w:sz w:val="21"/>
                <w:szCs w:val="21"/>
                <w:highlight w:val="none"/>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2</w:t>
            </w:r>
          </w:p>
        </w:tc>
        <w:tc>
          <w:tcPr>
            <w:tcW w:w="1501" w:type="dxa"/>
            <w:tcBorders>
              <w:top w:val="single" w:color="auto" w:sz="4" w:space="0"/>
              <w:left w:val="single" w:color="auto" w:sz="4" w:space="0"/>
              <w:bottom w:val="single" w:color="auto" w:sz="4" w:space="0"/>
              <w:right w:val="single" w:color="auto" w:sz="4" w:space="0"/>
              <w:tl2br w:val="nil"/>
              <w:tr2bl w:val="nil"/>
            </w:tcBorders>
            <w:vAlign w:val="center"/>
          </w:tcPr>
          <w:p w14:paraId="1BA33B7A">
            <w:pPr>
              <w:autoSpaceDE w:val="0"/>
              <w:autoSpaceDN w:val="0"/>
              <w:adjustRightInd/>
              <w:spacing w:line="300" w:lineRule="auto"/>
              <w:jc w:val="center"/>
              <w:textAlignment w:val="auto"/>
              <w:rPr>
                <w:rFonts w:hint="default" w:ascii="Calibri" w:hAnsi="Calibri" w:eastAsia="宋体"/>
                <w:color w:val="000000" w:themeColor="text1"/>
                <w:sz w:val="21"/>
                <w:szCs w:val="21"/>
                <w:highlight w:val="none"/>
                <w:lang w:val="en-US"/>
                <w14:textFill>
                  <w14:solidFill>
                    <w14:schemeClr w14:val="tx1"/>
                  </w14:solidFill>
                </w14:textFill>
              </w:rPr>
            </w:pPr>
            <w:r>
              <w:rPr>
                <w:rFonts w:hint="eastAsia" w:ascii="宋体" w:hAnsi="宋体" w:eastAsia="宋体"/>
                <w:b w:val="0"/>
                <w:bCs/>
                <w:color w:val="000000" w:themeColor="text1"/>
                <w:sz w:val="21"/>
                <w:szCs w:val="21"/>
                <w:highlight w:val="none"/>
                <w:lang w:val="en-US" w:eastAsia="zh-CN"/>
                <w14:textFill>
                  <w14:solidFill>
                    <w14:schemeClr w14:val="tx1"/>
                  </w14:solidFill>
                </w14:textFill>
              </w:rPr>
              <w:t>直接票决法</w:t>
            </w:r>
          </w:p>
        </w:tc>
        <w:tc>
          <w:tcPr>
            <w:tcW w:w="108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9C0871">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FZFSK--GBK1-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FZFSK--GBK1-0"/>
                <w:color w:val="000000" w:themeColor="text1"/>
                <w:kern w:val="0"/>
                <w:sz w:val="21"/>
                <w:szCs w:val="21"/>
                <w:highlight w:val="none"/>
                <w:u w:val="none"/>
                <w:lang w:val="en-US" w:eastAsia="zh-CN"/>
                <w14:textFill>
                  <w14:solidFill>
                    <w14:schemeClr w14:val="tx1"/>
                  </w14:solidFill>
                </w14:textFill>
              </w:rPr>
              <w:t>在</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评标委员会推荐的</w:t>
            </w:r>
            <w:r>
              <w:rPr>
                <w:rFonts w:hint="eastAsia" w:ascii="宋体" w:hAnsi="宋体" w:eastAsia="宋体" w:cs="FZFSK--GBK1-0"/>
                <w:color w:val="000000" w:themeColor="text1"/>
                <w:kern w:val="0"/>
                <w:sz w:val="21"/>
                <w:szCs w:val="21"/>
                <w:highlight w:val="none"/>
                <w:u w:val="none"/>
                <w:lang w:val="en-US" w:eastAsia="zh-CN"/>
                <w14:textFill>
                  <w14:solidFill>
                    <w14:schemeClr w14:val="tx1"/>
                  </w14:solidFill>
                </w14:textFill>
              </w:rPr>
              <w:t>定标候选人中，定标委员会以每人投票支持1家定标候选人的方式，将得票数最多且得票数超过定标委员会总人数半数的候选人</w:t>
            </w:r>
            <w:r>
              <w:rPr>
                <w:rFonts w:hint="eastAsia" w:ascii="宋体" w:hAnsi="宋体" w:cs="FZFSK--GBK1-0"/>
                <w:color w:val="000000" w:themeColor="text1"/>
                <w:kern w:val="0"/>
                <w:sz w:val="21"/>
                <w:szCs w:val="21"/>
                <w:highlight w:val="none"/>
                <w:u w:val="none"/>
                <w:lang w:val="en-US" w:eastAsia="zh-CN"/>
                <w14:textFill>
                  <w14:solidFill>
                    <w14:schemeClr w14:val="tx1"/>
                  </w14:solidFill>
                </w14:textFill>
              </w:rPr>
              <w:t>推荐</w:t>
            </w:r>
            <w:r>
              <w:rPr>
                <w:rFonts w:hint="eastAsia" w:ascii="宋体" w:hAnsi="宋体" w:eastAsia="宋体" w:cs="FZFSK--GBK1-0"/>
                <w:color w:val="000000" w:themeColor="text1"/>
                <w:kern w:val="0"/>
                <w:sz w:val="21"/>
                <w:szCs w:val="21"/>
                <w:highlight w:val="none"/>
                <w:u w:val="none"/>
                <w:lang w:val="en-US" w:eastAsia="zh-CN"/>
                <w14:textFill>
                  <w14:solidFill>
                    <w14:schemeClr w14:val="tx1"/>
                  </w14:solidFill>
                </w14:textFill>
              </w:rPr>
              <w:t>为中标人。</w:t>
            </w:r>
          </w:p>
          <w:p w14:paraId="3BC90B77">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黑体" w:hAnsi="黑体" w:eastAsia="黑体" w:cs="黑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FZFSK--GBK1-0"/>
                <w:color w:val="000000" w:themeColor="text1"/>
                <w:kern w:val="0"/>
                <w:sz w:val="21"/>
                <w:szCs w:val="21"/>
                <w:highlight w:val="none"/>
                <w:u w:val="none"/>
                <w:lang w:val="en-US" w:eastAsia="zh-CN"/>
                <w14:textFill>
                  <w14:solidFill>
                    <w14:schemeClr w14:val="tx1"/>
                  </w14:solidFill>
                </w14:textFill>
              </w:rPr>
              <w:t>当没有定标候选人得票数超过定标委员会总人数半数时，选择得票数排序在前的2家定标候选人（按上一轮得票数多少的顺序选择，在选择第2家候选人时出现同票的定标候选人时，所有同票定标候选人一并纳入下一轮的投票范围）作为下一轮投票的范围，直至出现得票数超过定标委员会总人数半数的定标候选人为止。</w:t>
            </w:r>
          </w:p>
        </w:tc>
      </w:tr>
    </w:tbl>
    <w:p w14:paraId="576CE7DF">
      <w:pPr>
        <w:rPr>
          <w:color w:val="000000" w:themeColor="text1"/>
          <w:highlight w:val="none"/>
          <w14:textFill>
            <w14:solidFill>
              <w14:schemeClr w14:val="tx1"/>
            </w14:solidFill>
          </w14:textFill>
        </w:rPr>
      </w:pPr>
    </w:p>
    <w:p w14:paraId="78681534">
      <w:pPr>
        <w:keepNext w:val="0"/>
        <w:keepLines w:val="0"/>
        <w:widowControl/>
        <w:adjustRightInd/>
        <w:spacing w:beforeLines="-2147483648" w:afterLines="-2147483648" w:line="240" w:lineRule="auto"/>
        <w:textAlignment w:val="auto"/>
        <w:outlineLvl w:val="9"/>
        <w:rPr>
          <w:rFonts w:hint="eastAsia" w:cs="宋体"/>
          <w:b/>
          <w:color w:val="000000" w:themeColor="text1"/>
          <w:highlight w:val="none"/>
          <w14:textFill>
            <w14:solidFill>
              <w14:schemeClr w14:val="tx1"/>
            </w14:solidFill>
          </w14:textFill>
        </w:rPr>
      </w:pPr>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br w:type="page"/>
      </w:r>
    </w:p>
    <w:p w14:paraId="2B64C0DE">
      <w:pPr>
        <w:keepNext/>
        <w:keepLines/>
        <w:pageBreakBefore w:val="0"/>
        <w:widowControl/>
        <w:kinsoku/>
        <w:wordWrap/>
        <w:overflowPunct/>
        <w:topLinePunct w:val="0"/>
        <w:autoSpaceDE/>
        <w:autoSpaceDN/>
        <w:bidi w:val="0"/>
        <w:adjustRightInd w:val="0"/>
        <w:snapToGrid/>
        <w:spacing w:before="157" w:beforeLines="50" w:line="360" w:lineRule="auto"/>
        <w:textAlignment w:val="baseline"/>
        <w:outlineLvl w:val="2"/>
        <w:rPr>
          <w:rFonts w:hint="default" w:eastAsia="宋体" w:cs="宋体"/>
          <w:b/>
          <w:color w:val="000000" w:themeColor="text1"/>
          <w:highlight w:val="none"/>
          <w:lang w:val="en-US" w:eastAsia="zh-CN"/>
          <w14:textFill>
            <w14:solidFill>
              <w14:schemeClr w14:val="tx1"/>
            </w14:solidFill>
          </w14:textFill>
        </w:rPr>
      </w:pPr>
      <w:bookmarkStart w:id="522" w:name="_Toc26584"/>
      <w:bookmarkStart w:id="523" w:name="_Toc22027"/>
      <w:bookmarkStart w:id="524" w:name="_Toc23344"/>
      <w:bookmarkStart w:id="525" w:name="_Toc22660"/>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t>定标方案附件：</w:t>
      </w:r>
      <w:r>
        <w:rPr>
          <w:rFonts w:hint="eastAsia" w:ascii="黑体" w:hAnsi="黑体" w:eastAsia="黑体" w:cs="Times New Roman"/>
          <w:color w:val="000000" w:themeColor="text1"/>
          <w:kern w:val="1"/>
          <w:sz w:val="21"/>
          <w:szCs w:val="21"/>
          <w:highlight w:val="none"/>
          <w:lang w:val="en-US" w:eastAsia="zh-CN"/>
          <w14:textFill>
            <w14:solidFill>
              <w14:schemeClr w14:val="tx1"/>
            </w14:solidFill>
          </w14:textFill>
        </w:rPr>
        <w:t>报价要素评审标准</w:t>
      </w:r>
      <w:bookmarkEnd w:id="522"/>
      <w:bookmarkEnd w:id="523"/>
      <w:bookmarkEnd w:id="524"/>
      <w:bookmarkEnd w:id="525"/>
    </w:p>
    <w:tbl>
      <w:tblPr>
        <w:tblStyle w:val="41"/>
        <w:tblW w:w="13939"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1359"/>
        <w:gridCol w:w="1503"/>
        <w:gridCol w:w="5643"/>
        <w:gridCol w:w="4479"/>
      </w:tblGrid>
      <w:tr w14:paraId="7032AD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32" w:hRule="atLeast"/>
        </w:trPr>
        <w:tc>
          <w:tcPr>
            <w:tcW w:w="955" w:type="dxa"/>
            <w:tcBorders>
              <w:tl2br w:val="nil"/>
              <w:tr2bl w:val="nil"/>
            </w:tcBorders>
            <w:vAlign w:val="center"/>
          </w:tcPr>
          <w:p w14:paraId="2FA91AFC">
            <w:pPr>
              <w:spacing w:line="300" w:lineRule="auto"/>
              <w:jc w:val="center"/>
              <w:rPr>
                <w:rFonts w:hint="eastAsia"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1359" w:type="dxa"/>
            <w:tcBorders>
              <w:tl2br w:val="nil"/>
              <w:tr2bl w:val="nil"/>
            </w:tcBorders>
            <w:vAlign w:val="center"/>
          </w:tcPr>
          <w:p w14:paraId="15E4A867">
            <w:pPr>
              <w:spacing w:line="300" w:lineRule="auto"/>
              <w:jc w:val="cente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定标要素</w:t>
            </w:r>
          </w:p>
        </w:tc>
        <w:tc>
          <w:tcPr>
            <w:tcW w:w="1503" w:type="dxa"/>
            <w:tcBorders>
              <w:tl2br w:val="nil"/>
              <w:tr2bl w:val="nil"/>
            </w:tcBorders>
            <w:vAlign w:val="center"/>
          </w:tcPr>
          <w:p w14:paraId="29A91164">
            <w:pPr>
              <w:spacing w:line="300" w:lineRule="auto"/>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子要素内容</w:t>
            </w:r>
          </w:p>
        </w:tc>
        <w:tc>
          <w:tcPr>
            <w:tcW w:w="5643" w:type="dxa"/>
            <w:tcBorders>
              <w:tl2br w:val="nil"/>
              <w:tr2bl w:val="nil"/>
            </w:tcBorders>
            <w:vAlign w:val="center"/>
          </w:tcPr>
          <w:p w14:paraId="6C7AE9DE">
            <w:pPr>
              <w:spacing w:line="300" w:lineRule="auto"/>
              <w:ind w:firstLine="340"/>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编列内容</w:t>
            </w:r>
          </w:p>
        </w:tc>
        <w:tc>
          <w:tcPr>
            <w:tcW w:w="4479" w:type="dxa"/>
            <w:tcBorders>
              <w:tl2br w:val="nil"/>
              <w:tr2bl w:val="nil"/>
            </w:tcBorders>
            <w:vAlign w:val="center"/>
          </w:tcPr>
          <w:p w14:paraId="56BB9421">
            <w:pPr>
              <w:spacing w:line="300" w:lineRule="auto"/>
              <w:jc w:val="center"/>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t>设置理由</w:t>
            </w:r>
          </w:p>
        </w:tc>
      </w:tr>
      <w:tr w14:paraId="14DB92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955" w:type="dxa"/>
            <w:vMerge w:val="restart"/>
            <w:tcBorders>
              <w:tl2br w:val="nil"/>
              <w:tr2bl w:val="nil"/>
            </w:tcBorders>
            <w:vAlign w:val="center"/>
          </w:tcPr>
          <w:p w14:paraId="26C4B105">
            <w:pPr>
              <w:autoSpaceDE w:val="0"/>
              <w:autoSpaceDN w:val="0"/>
              <w:spacing w:line="300" w:lineRule="auto"/>
              <w:jc w:val="center"/>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3.2.1</w:t>
            </w:r>
          </w:p>
        </w:tc>
        <w:tc>
          <w:tcPr>
            <w:tcW w:w="1359" w:type="dxa"/>
            <w:vMerge w:val="restart"/>
            <w:tcBorders>
              <w:tl2br w:val="nil"/>
              <w:tr2bl w:val="nil"/>
            </w:tcBorders>
            <w:vAlign w:val="center"/>
          </w:tcPr>
          <w:p w14:paraId="673DFBF4">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报价要素</w:t>
            </w:r>
          </w:p>
        </w:tc>
        <w:tc>
          <w:tcPr>
            <w:tcW w:w="1503" w:type="dxa"/>
            <w:tcBorders>
              <w:tl2br w:val="nil"/>
              <w:tr2bl w:val="nil"/>
            </w:tcBorders>
            <w:vAlign w:val="center"/>
          </w:tcPr>
          <w:p w14:paraId="1D3C5685">
            <w:pPr>
              <w:autoSpaceDE w:val="0"/>
              <w:autoSpaceDN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5643" w:type="dxa"/>
            <w:tcBorders>
              <w:tl2br w:val="nil"/>
              <w:tr2bl w:val="nil"/>
            </w:tcBorders>
            <w:vAlign w:val="center"/>
          </w:tcPr>
          <w:p w14:paraId="7EA98890">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p>
        </w:tc>
        <w:tc>
          <w:tcPr>
            <w:tcW w:w="4479" w:type="dxa"/>
            <w:tcBorders>
              <w:tl2br w:val="nil"/>
              <w:tr2bl w:val="nil"/>
            </w:tcBorders>
            <w:vAlign w:val="center"/>
          </w:tcPr>
          <w:p w14:paraId="74BBBCB9">
            <w:pPr>
              <w:autoSpaceDE w:val="0"/>
              <w:autoSpaceDN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21DA0C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89" w:hRule="atLeast"/>
        </w:trPr>
        <w:tc>
          <w:tcPr>
            <w:tcW w:w="955" w:type="dxa"/>
            <w:vMerge w:val="continue"/>
            <w:tcBorders>
              <w:tl2br w:val="nil"/>
              <w:tr2bl w:val="nil"/>
            </w:tcBorders>
            <w:vAlign w:val="center"/>
          </w:tcPr>
          <w:p w14:paraId="6850E3A2">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359" w:type="dxa"/>
            <w:vMerge w:val="continue"/>
            <w:tcBorders>
              <w:tl2br w:val="nil"/>
              <w:tr2bl w:val="nil"/>
            </w:tcBorders>
            <w:vAlign w:val="center"/>
          </w:tcPr>
          <w:p w14:paraId="4DE80219">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3" w:type="dxa"/>
            <w:tcBorders>
              <w:tl2br w:val="nil"/>
              <w:tr2bl w:val="nil"/>
            </w:tcBorders>
            <w:vAlign w:val="center"/>
          </w:tcPr>
          <w:p w14:paraId="6797AD5A">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5643" w:type="dxa"/>
            <w:tcBorders>
              <w:tl2br w:val="nil"/>
              <w:tr2bl w:val="nil"/>
            </w:tcBorders>
            <w:vAlign w:val="center"/>
          </w:tcPr>
          <w:p w14:paraId="369E6E8B">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bookmarkStart w:id="1020" w:name="_GoBack"/>
            <w:bookmarkEnd w:id="1020"/>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4479" w:type="dxa"/>
            <w:tcBorders>
              <w:tl2br w:val="nil"/>
              <w:tr2bl w:val="nil"/>
            </w:tcBorders>
            <w:vAlign w:val="center"/>
          </w:tcPr>
          <w:p w14:paraId="63E93B07">
            <w:pPr>
              <w:autoSpaceDE w:val="0"/>
              <w:autoSpaceDN w:val="0"/>
              <w:spacing w:line="360" w:lineRule="auto"/>
              <w:jc w:val="center"/>
              <w:rPr>
                <w:rFonts w:hint="eastAsia" w:ascii="宋体" w:hAnsi="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r>
    </w:tbl>
    <w:p w14:paraId="625D25D8">
      <w:pPr>
        <w:pStyle w:val="40"/>
        <w:rPr>
          <w:rFonts w:hint="eastAsia"/>
          <w:color w:val="000000" w:themeColor="text1"/>
          <w:highlight w:val="none"/>
          <w14:textFill>
            <w14:solidFill>
              <w14:schemeClr w14:val="tx1"/>
            </w14:solidFill>
          </w14:textFill>
        </w:rPr>
        <w:sectPr>
          <w:footnotePr>
            <w:numFmt w:val="decimalEnclosedCircleChinese"/>
            <w:numRestart w:val="eachPage"/>
          </w:footnotePr>
          <w:pgSz w:w="16838" w:h="11906" w:orient="landscape"/>
          <w:pgMar w:top="1134" w:right="1440" w:bottom="992" w:left="1440" w:header="850" w:footer="992" w:gutter="0"/>
          <w:pgBorders>
            <w:top w:val="none" w:sz="0" w:space="0"/>
            <w:left w:val="none" w:sz="0" w:space="0"/>
            <w:bottom w:val="none" w:sz="0" w:space="0"/>
            <w:right w:val="none" w:sz="0" w:space="0"/>
          </w:pgBorders>
          <w:cols w:space="0" w:num="1"/>
          <w:rtlGutter w:val="0"/>
          <w:docGrid w:linePitch="312" w:charSpace="0"/>
        </w:sectPr>
      </w:pPr>
    </w:p>
    <w:p w14:paraId="4F7D61EE">
      <w:pPr>
        <w:pStyle w:val="4"/>
        <w:jc w:val="left"/>
        <w:rPr>
          <w:rFonts w:hint="eastAsia" w:ascii="黑体" w:hAnsi="黑体" w:eastAsia="黑体"/>
          <w:b w:val="0"/>
          <w:color w:val="000000" w:themeColor="text1"/>
          <w:sz w:val="28"/>
          <w:szCs w:val="28"/>
          <w:highlight w:val="none"/>
          <w:lang w:eastAsia="zh-CN"/>
          <w14:textFill>
            <w14:solidFill>
              <w14:schemeClr w14:val="tx1"/>
            </w14:solidFill>
          </w14:textFill>
        </w:rPr>
      </w:pPr>
      <w:bookmarkStart w:id="526" w:name="_Toc15671"/>
      <w:bookmarkStart w:id="527" w:name="_Toc18475"/>
      <w:bookmarkStart w:id="528" w:name="_Toc9811"/>
      <w:r>
        <w:rPr>
          <w:rFonts w:hint="eastAsia" w:ascii="黑体" w:hAnsi="黑体" w:eastAsia="黑体"/>
          <w:b w:val="0"/>
          <w:color w:val="000000" w:themeColor="text1"/>
          <w:sz w:val="28"/>
          <w:szCs w:val="28"/>
          <w:highlight w:val="none"/>
          <w:lang w:val="zh-CN" w:eastAsia="zh-CN"/>
          <w14:textFill>
            <w14:solidFill>
              <w14:schemeClr w14:val="tx1"/>
            </w14:solidFill>
          </w14:textFill>
        </w:rPr>
        <w:t>定标</w:t>
      </w:r>
      <w:r>
        <w:rPr>
          <w:rFonts w:hint="eastAsia" w:ascii="黑体" w:hAnsi="黑体" w:eastAsia="黑体"/>
          <w:b w:val="0"/>
          <w:color w:val="000000" w:themeColor="text1"/>
          <w:sz w:val="28"/>
          <w:szCs w:val="28"/>
          <w:highlight w:val="none"/>
          <w:lang w:val="en-US" w:eastAsia="zh-CN"/>
          <w14:textFill>
            <w14:solidFill>
              <w14:schemeClr w14:val="tx1"/>
            </w14:solidFill>
          </w14:textFill>
        </w:rPr>
        <w:t>方案</w:t>
      </w:r>
      <w:r>
        <w:rPr>
          <w:rFonts w:hint="eastAsia" w:ascii="黑体" w:hAnsi="黑体" w:eastAsia="黑体"/>
          <w:b w:val="0"/>
          <w:color w:val="000000" w:themeColor="text1"/>
          <w:sz w:val="28"/>
          <w:szCs w:val="28"/>
          <w:highlight w:val="none"/>
          <w:lang w:val="zh-CN" w:eastAsia="zh-CN"/>
          <w14:textFill>
            <w14:solidFill>
              <w14:schemeClr w14:val="tx1"/>
            </w14:solidFill>
          </w14:textFill>
        </w:rPr>
        <w:t>正文</w:t>
      </w:r>
      <w:bookmarkEnd w:id="526"/>
      <w:bookmarkEnd w:id="527"/>
      <w:bookmarkEnd w:id="528"/>
    </w:p>
    <w:p w14:paraId="12E618A8">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2"/>
        <w:rPr>
          <w:rFonts w:hint="eastAsia" w:ascii="黑体" w:hAnsi="宋体" w:eastAsia="黑体" w:cs="黑体"/>
          <w:color w:val="000000" w:themeColor="text1"/>
          <w:kern w:val="1"/>
          <w:sz w:val="28"/>
          <w:szCs w:val="28"/>
          <w:highlight w:val="none"/>
          <w:lang w:val="zh-CN" w:eastAsia="zh-CN"/>
          <w14:textFill>
            <w14:solidFill>
              <w14:schemeClr w14:val="tx1"/>
            </w14:solidFill>
          </w14:textFill>
        </w:rPr>
      </w:pPr>
      <w:bookmarkStart w:id="529" w:name="_Toc5297"/>
      <w:bookmarkStart w:id="530" w:name="_Toc70273129"/>
      <w:bookmarkStart w:id="531" w:name="_Toc61877313"/>
      <w:bookmarkStart w:id="532" w:name="_Toc17150"/>
      <w:bookmarkStart w:id="533" w:name="_Toc9316"/>
      <w:bookmarkStart w:id="534" w:name="_Toc106703299"/>
      <w:bookmarkStart w:id="535" w:name="_Toc11606"/>
      <w:bookmarkStart w:id="536" w:name="_Toc6115"/>
      <w:bookmarkStart w:id="537" w:name="_Toc5200"/>
      <w:bookmarkStart w:id="538" w:name="_Toc23887"/>
      <w:r>
        <w:rPr>
          <w:rFonts w:hint="eastAsia" w:ascii="黑体" w:hAnsi="宋体" w:eastAsia="黑体" w:cs="黑体"/>
          <w:color w:val="000000" w:themeColor="text1"/>
          <w:kern w:val="1"/>
          <w:sz w:val="28"/>
          <w:szCs w:val="28"/>
          <w:highlight w:val="none"/>
          <w:lang w:val="zh-CN"/>
          <w14:textFill>
            <w14:solidFill>
              <w14:schemeClr w14:val="tx1"/>
            </w14:solidFill>
          </w14:textFill>
        </w:rPr>
        <w:t>1.</w:t>
      </w:r>
      <w:bookmarkEnd w:id="529"/>
      <w:bookmarkEnd w:id="530"/>
      <w:bookmarkEnd w:id="531"/>
      <w:bookmarkEnd w:id="532"/>
      <w:bookmarkEnd w:id="533"/>
      <w:bookmarkEnd w:id="534"/>
      <w:bookmarkEnd w:id="535"/>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总则</w:t>
      </w:r>
      <w:bookmarkEnd w:id="536"/>
      <w:bookmarkEnd w:id="537"/>
      <w:bookmarkEnd w:id="538"/>
    </w:p>
    <w:p w14:paraId="2839C3BE">
      <w:pPr>
        <w:autoSpaceDE w:val="0"/>
        <w:autoSpaceDN w:val="0"/>
        <w:adjustRightInd/>
        <w:spacing w:line="360" w:lineRule="auto"/>
        <w:ind w:firstLine="394" w:firstLineChars="188"/>
        <w:jc w:val="left"/>
        <w:textAlignment w:val="auto"/>
        <w:rPr>
          <w:rFonts w:hint="default" w:ascii="方正公文小标宋" w:hAnsi="方正公文小标宋" w:eastAsia="方正公文小标宋" w:cs="方正公文小标宋"/>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定标</w:t>
      </w:r>
      <w:r>
        <w:rPr>
          <w:rFonts w:hint="eastAsia" w:ascii="宋体" w:hAnsi="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14:textFill>
            <w14:solidFill>
              <w14:schemeClr w14:val="tx1"/>
            </w14:solidFill>
          </w14:textFill>
        </w:rPr>
        <w:t>以考量设计（勘察）方案的优劣为主</w:t>
      </w:r>
      <w:r>
        <w:rPr>
          <w:rFonts w:hint="eastAsia" w:ascii="宋体" w:hAnsi="宋体" w:eastAsia="宋体" w:cs="宋体"/>
          <w:color w:val="000000" w:themeColor="text1"/>
          <w:sz w:val="21"/>
          <w:szCs w:val="21"/>
          <w:highlight w:val="none"/>
          <w:lang w:val="en-US" w:eastAsia="zh-CN"/>
          <w14:textFill>
            <w14:solidFill>
              <w14:schemeClr w14:val="tx1"/>
            </w14:solidFill>
          </w14:textFill>
        </w:rPr>
        <w:t>，结合招标项目特点和实际情况编制，是清标小组进行清标工作和定标委员会进行定标工作的唯一依据。</w:t>
      </w:r>
    </w:p>
    <w:p w14:paraId="2EF75A5B">
      <w:pPr>
        <w:autoSpaceDE w:val="0"/>
        <w:autoSpaceDN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定标方案由正文、前附表以及附件组成。定标方案附件为报价评审标准（如有），由建设单位在投标截止时间前使用</w:t>
      </w:r>
      <w:r>
        <w:rPr>
          <w:rFonts w:hint="eastAsia" w:ascii="宋体" w:hAnsi="宋体" w:cs="宋体"/>
          <w:color w:val="000000" w:themeColor="text1"/>
          <w:sz w:val="21"/>
          <w:szCs w:val="21"/>
          <w:highlight w:val="none"/>
          <w:lang w:val="en-US" w:eastAsia="zh-CN"/>
          <w14:textFill>
            <w14:solidFill>
              <w14:schemeClr w14:val="tx1"/>
            </w14:solidFill>
          </w14:textFill>
        </w:rPr>
        <w:t>CA证书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加密上传电子交易平台。</w:t>
      </w:r>
    </w:p>
    <w:p w14:paraId="5C5CB6EB">
      <w:pPr>
        <w:autoSpaceDE w:val="0"/>
        <w:autoSpaceDN w:val="0"/>
        <w:adjustRightInd/>
        <w:spacing w:line="360" w:lineRule="auto"/>
        <w:ind w:firstLine="394" w:firstLineChars="188"/>
        <w:jc w:val="left"/>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自</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评标工作结束后5</w:t>
      </w:r>
      <w:r>
        <w:rPr>
          <w:rFonts w:hint="eastAsia" w:ascii="宋体" w:hAnsi="宋体" w:eastAsia="宋体" w:cs="宋体"/>
          <w:color w:val="000000" w:themeColor="text1"/>
          <w:sz w:val="21"/>
          <w:szCs w:val="21"/>
          <w:highlight w:val="none"/>
          <w14:textFill>
            <w14:solidFill>
              <w14:schemeClr w14:val="tx1"/>
            </w14:solidFill>
          </w14:textFill>
        </w:rPr>
        <w:t>日内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如遇法定节假日，可顺延至节后第二个工作日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建设单位</w:t>
      </w:r>
      <w:r>
        <w:rPr>
          <w:rFonts w:hint="eastAsia" w:ascii="宋体" w:hAnsi="宋体" w:eastAsia="宋体" w:cs="宋体"/>
          <w:color w:val="000000" w:themeColor="text1"/>
          <w:sz w:val="21"/>
          <w:szCs w:val="21"/>
          <w:highlight w:val="none"/>
          <w14:textFill>
            <w14:solidFill>
              <w14:schemeClr w14:val="tx1"/>
            </w14:solidFill>
          </w14:textFill>
        </w:rPr>
        <w:t>组织</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清标小组和</w:t>
      </w:r>
      <w:r>
        <w:rPr>
          <w:rFonts w:hint="eastAsia" w:ascii="宋体" w:hAnsi="宋体" w:eastAsia="宋体" w:cs="宋体"/>
          <w:color w:val="000000" w:themeColor="text1"/>
          <w:sz w:val="21"/>
          <w:szCs w:val="21"/>
          <w:highlight w:val="none"/>
          <w14:textFill>
            <w14:solidFill>
              <w14:schemeClr w14:val="tx1"/>
            </w14:solidFill>
          </w14:textFill>
        </w:rPr>
        <w:t>定标委员会进入市公共资源交易中心进行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w:t>
      </w:r>
      <w:r>
        <w:rPr>
          <w:rFonts w:hint="eastAsia" w:ascii="宋体" w:hAnsi="宋体" w:eastAsia="宋体" w:cs="宋体"/>
          <w:color w:val="000000" w:themeColor="text1"/>
          <w:sz w:val="21"/>
          <w:szCs w:val="21"/>
          <w:highlight w:val="none"/>
          <w14:textFill>
            <w14:solidFill>
              <w14:schemeClr w14:val="tx1"/>
            </w14:solidFill>
          </w14:textFill>
        </w:rPr>
        <w:t>定标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工作</w:t>
      </w:r>
      <w:r>
        <w:rPr>
          <w:rFonts w:hint="eastAsia" w:ascii="宋体" w:hAnsi="宋体" w:eastAsia="宋体" w:cs="宋体"/>
          <w:color w:val="000000" w:themeColor="text1"/>
          <w:sz w:val="21"/>
          <w:szCs w:val="21"/>
          <w:highlight w:val="none"/>
          <w14:textFill>
            <w14:solidFill>
              <w14:schemeClr w14:val="tx1"/>
            </w14:solidFill>
          </w14:textFill>
        </w:rPr>
        <w:t>。不能按时定标的，应当通过市公共资源交易网公示延期原因和定标时间。</w:t>
      </w:r>
    </w:p>
    <w:p w14:paraId="794ACAA0">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2"/>
        <w:rPr>
          <w:rFonts w:hint="eastAsia" w:ascii="黑体" w:hAnsi="宋体" w:eastAsia="黑体" w:cs="黑体"/>
          <w:color w:val="000000" w:themeColor="text1"/>
          <w:kern w:val="1"/>
          <w:sz w:val="28"/>
          <w:szCs w:val="28"/>
          <w:highlight w:val="none"/>
          <w:lang w:val="en-US" w:eastAsia="zh-CN"/>
          <w14:textFill>
            <w14:solidFill>
              <w14:schemeClr w14:val="tx1"/>
            </w14:solidFill>
          </w14:textFill>
        </w:rPr>
      </w:pPr>
      <w:bookmarkStart w:id="539" w:name="_Toc7991"/>
      <w:bookmarkStart w:id="540" w:name="_Toc15499"/>
      <w:bookmarkStart w:id="541" w:name="_Toc15822"/>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2.定标程序</w:t>
      </w:r>
      <w:bookmarkEnd w:id="539"/>
      <w:bookmarkEnd w:id="540"/>
      <w:bookmarkEnd w:id="541"/>
    </w:p>
    <w:p w14:paraId="184E4C0F">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定标按以下程序进行。</w:t>
      </w:r>
    </w:p>
    <w:p w14:paraId="396017A2">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2.1.清标</w:t>
      </w:r>
    </w:p>
    <w:p w14:paraId="36CDDDB4">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（1）组建清标小组</w:t>
      </w:r>
    </w:p>
    <w:p w14:paraId="415394ED">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（2）清标</w:t>
      </w:r>
    </w:p>
    <w:p w14:paraId="7BEC7F4A">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（3）编制清标报告</w:t>
      </w:r>
    </w:p>
    <w:p w14:paraId="374E0248">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2.2.定标</w:t>
      </w:r>
    </w:p>
    <w:p w14:paraId="67A2110D">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（1）组建定标委员会</w:t>
      </w:r>
    </w:p>
    <w:p w14:paraId="5422BCAD">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（2）定标，推荐中标人</w:t>
      </w:r>
    </w:p>
    <w:p w14:paraId="09670627">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2"/>
        <w:rPr>
          <w:rFonts w:hint="default" w:ascii="黑体" w:hAnsi="宋体" w:eastAsia="黑体" w:cs="黑体"/>
          <w:color w:val="000000" w:themeColor="text1"/>
          <w:kern w:val="1"/>
          <w:sz w:val="28"/>
          <w:szCs w:val="28"/>
          <w:highlight w:val="none"/>
          <w:lang w:val="en-US" w:eastAsia="zh-CN"/>
          <w14:textFill>
            <w14:solidFill>
              <w14:schemeClr w14:val="tx1"/>
            </w14:solidFill>
          </w14:textFill>
        </w:rPr>
      </w:pPr>
      <w:bookmarkStart w:id="542" w:name="_Toc2024"/>
      <w:bookmarkStart w:id="543" w:name="_Toc7320"/>
      <w:bookmarkStart w:id="544" w:name="_Toc28881"/>
      <w:bookmarkStart w:id="545" w:name="_Toc106703301"/>
      <w:bookmarkStart w:id="546" w:name="_Toc70273131"/>
      <w:bookmarkStart w:id="547" w:name="_Toc61877315"/>
      <w:bookmarkStart w:id="548" w:name="_Toc28372"/>
      <w:bookmarkStart w:id="549" w:name="_Toc6123"/>
      <w:bookmarkStart w:id="550" w:name="_Toc19567"/>
      <w:bookmarkStart w:id="551" w:name="_Toc19388"/>
      <w:r>
        <w:rPr>
          <w:rFonts w:hint="eastAsia" w:ascii="黑体" w:hAnsi="宋体" w:eastAsia="黑体" w:cs="黑体"/>
          <w:color w:val="000000" w:themeColor="text1"/>
          <w:kern w:val="1"/>
          <w:sz w:val="28"/>
          <w:szCs w:val="28"/>
          <w:highlight w:val="none"/>
          <w:lang w:val="zh-CN"/>
          <w14:textFill>
            <w14:solidFill>
              <w14:schemeClr w14:val="tx1"/>
            </w14:solidFill>
          </w14:textFill>
        </w:rPr>
        <w:t>3.</w:t>
      </w:r>
      <w:bookmarkEnd w:id="542"/>
      <w:bookmarkEnd w:id="543"/>
      <w:bookmarkEnd w:id="544"/>
      <w:bookmarkEnd w:id="545"/>
      <w:bookmarkEnd w:id="546"/>
      <w:bookmarkEnd w:id="547"/>
      <w:bookmarkEnd w:id="548"/>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清标</w:t>
      </w:r>
      <w:bookmarkEnd w:id="549"/>
      <w:bookmarkEnd w:id="550"/>
      <w:bookmarkEnd w:id="551"/>
    </w:p>
    <w:p w14:paraId="5418C73F">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组建清标小组</w:t>
      </w:r>
    </w:p>
    <w:p w14:paraId="439AE4E7">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由建设单位组建，主要由建设单位、代建单位和招标代理机构具备工程建设类中级及以上技术职称或相关注册执业资格的人员组成，成员人数为3人及以上单数。若满足上述要求的人员确实不足的，经招投标监管</w:t>
      </w:r>
      <w:r>
        <w:rPr>
          <w:rFonts w:hint="eastAsia" w:ascii="宋体" w:hAnsi="宋体" w:cs="宋体"/>
          <w:color w:val="000000" w:themeColor="text1"/>
          <w:sz w:val="21"/>
          <w:szCs w:val="21"/>
          <w:highlight w:val="none"/>
          <w:lang w:val="en-US" w:eastAsia="zh-CN"/>
          <w14:textFill>
            <w14:solidFill>
              <w14:schemeClr w14:val="tx1"/>
            </w14:solidFill>
          </w14:textFill>
        </w:rPr>
        <w:t>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同意，也可委托其他具备丰富评定分离项目招标代理经验的招标代理单位中满足上述资格要求的人员。</w:t>
      </w:r>
    </w:p>
    <w:p w14:paraId="1B1A6385">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3.2.清标</w:t>
      </w:r>
    </w:p>
    <w:p w14:paraId="4A2F3951">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清标小组使用建设单位加密定标方案附件的CA证书，解密报价评审标准（如有），根据该附件规定进行评审。</w:t>
      </w:r>
    </w:p>
    <w:p w14:paraId="4A769C7A">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清标小组根据定标方案前附表第1项、第2项、第3项（如有）规定的定标要素评审标准，整理各定标候选人得分情况。</w:t>
      </w:r>
    </w:p>
    <w:p w14:paraId="041F9221">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清标小组对同一定标候选人同一定标子要素的评审结果均应一致。</w:t>
      </w:r>
    </w:p>
    <w:p w14:paraId="0CADDDBD">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3.3.编制清标报告</w:t>
      </w:r>
    </w:p>
    <w:p w14:paraId="086805B5">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清标小组根据3.2项规定完成清标工作后，应当编制清标报告并加密上传至电子交易平台，定标时启用。</w:t>
      </w:r>
    </w:p>
    <w:p w14:paraId="2E4131CC">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olor w:val="000000" w:themeColor="text1"/>
          <w:sz w:val="34"/>
          <w:highlight w:val="none"/>
          <w14:textFill>
            <w14:solidFill>
              <w14:schemeClr w14:val="tx1"/>
            </w14:solidFill>
          </w14:textFill>
        </w:rPr>
      </w:pPr>
      <w:bookmarkStart w:id="552" w:name="_Toc18223"/>
      <w:bookmarkStart w:id="553" w:name="_Toc13047"/>
      <w:bookmarkStart w:id="554" w:name="_Toc5407"/>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4</w:t>
      </w:r>
      <w:r>
        <w:rPr>
          <w:rFonts w:hint="eastAsia" w:ascii="黑体" w:hAnsi="宋体" w:eastAsia="黑体" w:cs="黑体"/>
          <w:color w:val="000000" w:themeColor="text1"/>
          <w:kern w:val="1"/>
          <w:sz w:val="28"/>
          <w:szCs w:val="28"/>
          <w:highlight w:val="none"/>
          <w:lang w:val="zh-CN"/>
          <w14:textFill>
            <w14:solidFill>
              <w14:schemeClr w14:val="tx1"/>
            </w14:solidFill>
          </w14:textFill>
        </w:rPr>
        <w:t>.</w:t>
      </w:r>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定标</w:t>
      </w:r>
      <w:bookmarkEnd w:id="552"/>
      <w:bookmarkEnd w:id="553"/>
      <w:bookmarkEnd w:id="554"/>
    </w:p>
    <w:p w14:paraId="7A734F88">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4.1.组建定标委员会</w:t>
      </w:r>
    </w:p>
    <w:p w14:paraId="7D702CDD">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定标委员会</w:t>
      </w:r>
      <w:r>
        <w:rPr>
          <w:rFonts w:hint="eastAsia" w:ascii="宋体" w:hAnsi="宋体" w:cs="宋体"/>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color w:val="000000" w:themeColor="text1"/>
          <w:sz w:val="21"/>
          <w:szCs w:val="21"/>
          <w:highlight w:val="none"/>
          <w:lang w:val="en-US" w:eastAsia="zh-CN"/>
          <w14:textFill>
            <w14:solidFill>
              <w14:schemeClr w14:val="tx1"/>
            </w14:solidFill>
          </w14:textFill>
        </w:rPr>
        <w:t>由建设单位的法定代表人负责组建，成员总数为5人及以上单数。招标项目实行代建的且代建单位作为招标人的，建设单位可以委托代建单位的法定代表人组建，代建单位应将定标委员会组建方案报建设单位批准同意。</w:t>
      </w:r>
    </w:p>
    <w:p w14:paraId="4E398157">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建设单位可以授权下列人员作为定标委员会成员，行使定标权：</w:t>
      </w:r>
    </w:p>
    <w:p w14:paraId="198F7D1B">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定标委员会成员原则上从建设（代建）单位的领导班子成员、经营管理人员、具有工程建设类技术职称或注册执业资格的人员中产生，成员总数为五人及以上单数，其中至少1人必须具有工程建设类技术职称或注册执业资格。</w:t>
      </w:r>
    </w:p>
    <w:p w14:paraId="4C2BBD10">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本单位人员不足的，可以从上级单位、下属单位或关联企业中选取符合条件的人员作为定标委员会成员。招标项目对技术、商务等有特别要求的，可以邀请与投标人无利害关系的专家，专家人数为1～2名且不超过定标委员会成员总数的1/3。</w:t>
      </w:r>
    </w:p>
    <w:p w14:paraId="2A69E146">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各区、各行业主管部门及有条件的建设单位建立定标委员会成员名录库的，建设单位可以在相应的定标委员会成员名录库中采取随机抽签的方式确定定标委员会成员。</w:t>
      </w:r>
    </w:p>
    <w:p w14:paraId="197D7267">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4.2.定标，推荐中标人</w:t>
      </w:r>
    </w:p>
    <w:p w14:paraId="7AAFBCDC">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定标委员</w:t>
      </w:r>
      <w:r>
        <w:rPr>
          <w:rFonts w:hint="eastAsia" w:ascii="宋体" w:hAnsi="宋体" w:cs="宋体"/>
          <w:color w:val="000000" w:themeColor="text1"/>
          <w:sz w:val="21"/>
          <w:szCs w:val="21"/>
          <w:highlight w:val="none"/>
          <w:lang w:val="en-US" w:eastAsia="zh-CN"/>
          <w14:textFill>
            <w14:solidFill>
              <w14:schemeClr w14:val="tx1"/>
            </w14:solidFill>
          </w14:textFill>
        </w:rPr>
        <w:t>会</w:t>
      </w:r>
      <w:r>
        <w:rPr>
          <w:rFonts w:hint="eastAsia" w:ascii="宋体" w:hAnsi="宋体" w:eastAsia="宋体" w:cs="宋体"/>
          <w:color w:val="000000" w:themeColor="text1"/>
          <w:sz w:val="21"/>
          <w:szCs w:val="21"/>
          <w:highlight w:val="none"/>
          <w:lang w:val="en-US" w:eastAsia="zh-CN"/>
          <w14:textFill>
            <w14:solidFill>
              <w14:schemeClr w14:val="tx1"/>
            </w14:solidFill>
          </w14:textFill>
        </w:rPr>
        <w:t>解密清标报告</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复核清标结果，如发现清标结果有误，应及时纠正并经定标委员会所有成员签章确认，纠正情况应纳入定标报告。</w:t>
      </w:r>
    </w:p>
    <w:p w14:paraId="77732823">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定标委员会根据投标人须知前附表第29项以及定标方案前附表第5项规定的定标方法，确定中标候选人并推荐中标人。</w:t>
      </w:r>
    </w:p>
    <w:p w14:paraId="3EBC9E70">
      <w:pPr>
        <w:keepNext w:val="0"/>
        <w:keepLines w:val="0"/>
        <w:pageBreakBefore w:val="0"/>
        <w:kinsoku/>
        <w:wordWrap/>
        <w:overflowPunct/>
        <w:topLinePunct w:val="0"/>
        <w:autoSpaceDE w:val="0"/>
        <w:autoSpaceDN w:val="0"/>
        <w:bidi w:val="0"/>
        <w:adjustRightInd/>
        <w:spacing w:line="360" w:lineRule="auto"/>
        <w:ind w:firstLine="394" w:firstLineChars="18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定标完成后，定标委员会应当编制定标报告，定标报告完整载明定标过程。</w:t>
      </w:r>
    </w:p>
    <w:p w14:paraId="5411A636">
      <w:pPr>
        <w:keepNext/>
        <w:keepLines/>
        <w:widowControl/>
        <w:spacing w:before="157" w:beforeLines="50" w:after="157" w:afterLines="50" w:line="360" w:lineRule="auto"/>
        <w:outlineLvl w:val="2"/>
        <w:rPr>
          <w:rFonts w:hint="default" w:ascii="黑体" w:hAnsi="宋体" w:eastAsia="黑体" w:cs="黑体"/>
          <w:color w:val="000000" w:themeColor="text1"/>
          <w:kern w:val="1"/>
          <w:sz w:val="28"/>
          <w:szCs w:val="28"/>
          <w:highlight w:val="none"/>
          <w:lang w:val="en-US" w:eastAsia="zh-CN"/>
          <w14:textFill>
            <w14:solidFill>
              <w14:schemeClr w14:val="tx1"/>
            </w14:solidFill>
          </w14:textFill>
        </w:rPr>
      </w:pPr>
      <w:bookmarkStart w:id="555" w:name="_Toc11344"/>
      <w:bookmarkStart w:id="556" w:name="_Toc7037"/>
      <w:bookmarkStart w:id="557" w:name="_Toc21865"/>
      <w:bookmarkStart w:id="558" w:name="_Toc12744"/>
      <w:bookmarkStart w:id="559" w:name="_Toc70273132"/>
      <w:bookmarkStart w:id="560" w:name="_Toc61877316"/>
      <w:bookmarkStart w:id="561" w:name="_Toc106703302"/>
      <w:bookmarkStart w:id="562" w:name="_Toc18628"/>
      <w:bookmarkStart w:id="563" w:name="_Toc20759"/>
      <w:bookmarkStart w:id="564" w:name="_Toc19238"/>
      <w:r>
        <w:rPr>
          <w:rFonts w:hint="eastAsia" w:ascii="黑体" w:hAnsi="宋体" w:eastAsia="黑体" w:cs="黑体"/>
          <w:b w:val="0"/>
          <w:color w:val="000000" w:themeColor="text1"/>
          <w:kern w:val="1"/>
          <w:sz w:val="28"/>
          <w:szCs w:val="28"/>
          <w:highlight w:val="none"/>
          <w:lang w:val="en-US" w:eastAsia="zh-CN"/>
          <w14:textFill>
            <w14:solidFill>
              <w14:schemeClr w14:val="tx1"/>
            </w14:solidFill>
          </w14:textFill>
        </w:rPr>
        <w:t>5</w:t>
      </w:r>
      <w:r>
        <w:rPr>
          <w:rFonts w:hint="eastAsia" w:ascii="黑体" w:hAnsi="宋体" w:eastAsia="黑体" w:cs="黑体"/>
          <w:color w:val="000000" w:themeColor="text1"/>
          <w:kern w:val="1"/>
          <w:sz w:val="28"/>
          <w:szCs w:val="28"/>
          <w:highlight w:val="none"/>
          <w:lang w:val="en-US"/>
          <w14:textFill>
            <w14:solidFill>
              <w14:schemeClr w14:val="tx1"/>
            </w14:solidFill>
          </w14:textFill>
        </w:rPr>
        <w:t>.重新定标</w:t>
      </w:r>
      <w:bookmarkEnd w:id="555"/>
      <w:bookmarkEnd w:id="556"/>
      <w:bookmarkEnd w:id="557"/>
      <w:bookmarkEnd w:id="558"/>
      <w:bookmarkEnd w:id="559"/>
      <w:bookmarkEnd w:id="560"/>
      <w:bookmarkEnd w:id="561"/>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与重新招标</w:t>
      </w:r>
      <w:bookmarkEnd w:id="562"/>
      <w:bookmarkEnd w:id="563"/>
      <w:bookmarkEnd w:id="564"/>
    </w:p>
    <w:p w14:paraId="7576D43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定标后有下列情形之一的，建设单位</w:t>
      </w:r>
      <w:r>
        <w:rPr>
          <w:rFonts w:hint="eastAsia" w:ascii="宋体" w:hAnsi="宋体" w:eastAsia="宋体" w:cs="宋体"/>
          <w:color w:val="000000" w:themeColor="text1"/>
          <w:sz w:val="21"/>
          <w:szCs w:val="21"/>
          <w:highlight w:val="none"/>
          <w:lang w:val="en-US" w:eastAsia="zh-CN"/>
          <w14:textFill>
            <w14:solidFill>
              <w14:schemeClr w14:val="tx1"/>
            </w14:solidFill>
          </w14:textFill>
        </w:rPr>
        <w:t>组织</w:t>
      </w:r>
      <w:r>
        <w:rPr>
          <w:rFonts w:hint="eastAsia" w:ascii="宋体" w:hAnsi="宋体" w:eastAsia="宋体" w:cs="宋体"/>
          <w:color w:val="000000" w:themeColor="text1"/>
          <w:sz w:val="21"/>
          <w:szCs w:val="21"/>
          <w:highlight w:val="none"/>
          <w14:textFill>
            <w14:solidFill>
              <w14:schemeClr w14:val="tx1"/>
            </w14:solidFill>
          </w14:textFill>
        </w:rPr>
        <w:t>原定标委员会</w:t>
      </w:r>
      <w:r>
        <w:rPr>
          <w:rFonts w:hint="eastAsia" w:ascii="宋体" w:hAnsi="宋体" w:eastAsia="宋体" w:cs="宋体"/>
          <w:color w:val="000000" w:themeColor="text1"/>
          <w:sz w:val="21"/>
          <w:szCs w:val="21"/>
          <w:highlight w:val="none"/>
          <w:lang w:val="en-US" w:eastAsia="zh-CN"/>
          <w14:textFill>
            <w14:solidFill>
              <w14:schemeClr w14:val="tx1"/>
            </w14:solidFill>
          </w14:textFill>
        </w:rPr>
        <w:t>按原定标方案</w:t>
      </w:r>
      <w:r>
        <w:rPr>
          <w:rFonts w:hint="eastAsia" w:ascii="宋体" w:hAnsi="宋体" w:eastAsia="宋体" w:cs="宋体"/>
          <w:color w:val="000000" w:themeColor="text1"/>
          <w:sz w:val="21"/>
          <w:szCs w:val="21"/>
          <w:highlight w:val="none"/>
          <w14:textFill>
            <w14:solidFill>
              <w14:schemeClr w14:val="tx1"/>
            </w14:solidFill>
          </w14:textFill>
        </w:rPr>
        <w:t>重新确定中标人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或重新招标</w:t>
      </w:r>
      <w:r>
        <w:rPr>
          <w:rFonts w:hint="eastAsia" w:ascii="宋体" w:hAnsi="宋体" w:eastAsia="宋体" w:cs="宋体"/>
          <w:color w:val="000000" w:themeColor="text1"/>
          <w:sz w:val="21"/>
          <w:szCs w:val="21"/>
          <w:highlight w:val="none"/>
          <w14:textFill>
            <w14:solidFill>
              <w14:schemeClr w14:val="tx1"/>
            </w14:solidFill>
          </w14:textFill>
        </w:rPr>
        <w:t>：</w:t>
      </w:r>
    </w:p>
    <w:p w14:paraId="6A8DD7F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（1）中标人放弃中标或者拒不签订合同的；</w:t>
      </w:r>
    </w:p>
    <w:p w14:paraId="2B25098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（2）中标人不按照招标文件要求提交履约担保的；</w:t>
      </w:r>
    </w:p>
    <w:p w14:paraId="738EAA4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未按照定标方案定标并影响中标结果的；</w:t>
      </w:r>
    </w:p>
    <w:p w14:paraId="00392F1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经异议或投诉处理，</w:t>
      </w:r>
      <w:r>
        <w:rPr>
          <w:rFonts w:hint="eastAsia" w:ascii="宋体" w:hAnsi="宋体" w:eastAsia="宋体" w:cs="宋体"/>
          <w:color w:val="000000" w:themeColor="text1"/>
          <w:sz w:val="21"/>
          <w:szCs w:val="21"/>
          <w:highlight w:val="none"/>
          <w14:textFill>
            <w14:solidFill>
              <w14:schemeClr w14:val="tx1"/>
            </w14:solidFill>
          </w14:textFill>
        </w:rPr>
        <w:t>被查实</w:t>
      </w:r>
      <w:r>
        <w:rPr>
          <w:rFonts w:hint="eastAsia" w:ascii="宋体" w:hAnsi="宋体" w:eastAsia="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影响中标结果的；</w:t>
      </w:r>
    </w:p>
    <w:p w14:paraId="33BBD35E">
      <w:pPr>
        <w:keepNext w:val="0"/>
        <w:keepLines w:val="0"/>
        <w:pageBreakBefore w:val="0"/>
        <w:widowControl/>
        <w:kinsoku/>
        <w:wordWrap/>
        <w:overflowPunct/>
        <w:topLinePunct w:val="0"/>
        <w:autoSpaceDE/>
        <w:autoSpaceDN/>
        <w:bidi w:val="0"/>
        <w:adjustRightInd w:val="0"/>
        <w:snapToGrid w:val="0"/>
        <w:spacing w:before="0" w:beforeLines="-2147483648" w:after="0" w:afterLines="-2147483648"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）法律法规规定的其他情形。</w:t>
      </w:r>
    </w:p>
    <w:p w14:paraId="65E9FBBB">
      <w:pPr>
        <w:tabs>
          <w:tab w:val="left" w:pos="510"/>
        </w:tabs>
        <w:adjustRightInd/>
        <w:spacing w:line="360" w:lineRule="auto"/>
        <w:ind w:firstLine="424" w:firstLineChars="202"/>
        <w:jc w:val="left"/>
        <w:textAlignment w:val="auto"/>
        <w:rPr>
          <w:rFonts w:ascii="宋体" w:hAnsi="宋体"/>
          <w:color w:val="000000" w:themeColor="text1"/>
          <w:sz w:val="21"/>
          <w:szCs w:val="21"/>
          <w:highlight w:val="none"/>
          <w14:textFill>
            <w14:solidFill>
              <w14:schemeClr w14:val="tx1"/>
            </w14:solidFill>
          </w14:textFill>
        </w:rPr>
      </w:pPr>
    </w:p>
    <w:p w14:paraId="5BBD6A41">
      <w:pPr>
        <w:rPr>
          <w:color w:val="000000" w:themeColor="text1"/>
          <w:highlight w:val="none"/>
          <w14:textFill>
            <w14:solidFill>
              <w14:schemeClr w14:val="tx1"/>
            </w14:solidFill>
          </w14:textFill>
        </w:rPr>
      </w:pPr>
    </w:p>
    <w:p w14:paraId="1502D798">
      <w:pPr>
        <w:rPr>
          <w:color w:val="000000" w:themeColor="text1"/>
          <w:highlight w:val="none"/>
          <w14:textFill>
            <w14:solidFill>
              <w14:schemeClr w14:val="tx1"/>
            </w14:solidFill>
          </w14:textFill>
        </w:rPr>
      </w:pPr>
    </w:p>
    <w:p w14:paraId="19FE1293">
      <w:pPr>
        <w:rPr>
          <w:color w:val="000000" w:themeColor="text1"/>
          <w:highlight w:val="none"/>
          <w14:textFill>
            <w14:solidFill>
              <w14:schemeClr w14:val="tx1"/>
            </w14:solidFill>
          </w14:textFill>
        </w:rPr>
      </w:pPr>
    </w:p>
    <w:p w14:paraId="39BFCA0A">
      <w:pPr>
        <w:pStyle w:val="3"/>
        <w:spacing w:before="3000"/>
        <w:jc w:val="center"/>
        <w:rPr>
          <w:rFonts w:ascii="黑体" w:hAnsi="黑体" w:eastAsia="黑体"/>
          <w:b w:val="0"/>
          <w:color w:val="000000" w:themeColor="text1"/>
          <w:sz w:val="44"/>
          <w:szCs w:val="44"/>
          <w:highlight w:val="none"/>
          <w14:textFill>
            <w14:solidFill>
              <w14:schemeClr w14:val="tx1"/>
            </w14:solidFill>
          </w14:textFill>
        </w:rPr>
      </w:pPr>
    </w:p>
    <w:p w14:paraId="6039057A">
      <w:pPr>
        <w:pStyle w:val="3"/>
        <w:spacing w:before="3000"/>
        <w:jc w:val="center"/>
        <w:rPr>
          <w:rFonts w:ascii="黑体" w:hAnsi="黑体" w:eastAsia="黑体"/>
          <w:b w:val="0"/>
          <w:color w:val="000000" w:themeColor="text1"/>
          <w:sz w:val="44"/>
          <w:szCs w:val="44"/>
          <w:highlight w:val="none"/>
          <w14:textFill>
            <w14:solidFill>
              <w14:schemeClr w14:val="tx1"/>
            </w14:solidFill>
          </w14:textFill>
        </w:rPr>
      </w:pPr>
      <w:bookmarkStart w:id="565" w:name="_Toc9883"/>
      <w:bookmarkStart w:id="566" w:name="_Toc12364"/>
      <w:bookmarkStart w:id="567" w:name="_Toc24664"/>
      <w:r>
        <w:rPr>
          <w:rFonts w:hint="eastAsia" w:ascii="黑体" w:hAnsi="黑体" w:eastAsia="黑体"/>
          <w:b w:val="0"/>
          <w:color w:val="000000" w:themeColor="text1"/>
          <w:sz w:val="44"/>
          <w:szCs w:val="44"/>
          <w:highlight w:val="none"/>
          <w14:textFill>
            <w14:solidFill>
              <w14:schemeClr w14:val="tx1"/>
            </w14:solidFill>
          </w14:textFill>
        </w:rPr>
        <w:t>第五章 合同条款及格式</w:t>
      </w:r>
      <w:bookmarkEnd w:id="504"/>
      <w:bookmarkEnd w:id="505"/>
      <w:bookmarkEnd w:id="506"/>
      <w:bookmarkEnd w:id="507"/>
      <w:r>
        <w:rPr>
          <w:rStyle w:val="49"/>
          <w:rFonts w:ascii="黑体" w:hAnsi="黑体" w:eastAsia="黑体"/>
          <w:b w:val="0"/>
          <w:color w:val="000000" w:themeColor="text1"/>
          <w:sz w:val="44"/>
          <w:szCs w:val="44"/>
          <w:highlight w:val="none"/>
          <w14:textFill>
            <w14:solidFill>
              <w14:schemeClr w14:val="tx1"/>
            </w14:solidFill>
          </w14:textFill>
        </w:rPr>
        <w:footnoteReference w:id="61"/>
      </w:r>
      <w:bookmarkEnd w:id="565"/>
      <w:bookmarkEnd w:id="566"/>
      <w:bookmarkEnd w:id="567"/>
    </w:p>
    <w:p w14:paraId="4A506B10">
      <w:pPr>
        <w:tabs>
          <w:tab w:val="left" w:pos="510"/>
        </w:tabs>
        <w:adjustRightInd/>
        <w:spacing w:line="360" w:lineRule="auto"/>
        <w:ind w:firstLine="360" w:firstLineChars="150"/>
        <w:jc w:val="left"/>
        <w:textAlignment w:val="auto"/>
        <w:rPr>
          <w:rFonts w:ascii="宋体" w:hAnsi="宋体"/>
          <w:color w:val="000000" w:themeColor="text1"/>
          <w:kern w:val="2"/>
          <w:sz w:val="24"/>
          <w:szCs w:val="24"/>
          <w:highlight w:val="none"/>
          <w14:textFill>
            <w14:solidFill>
              <w14:schemeClr w14:val="tx1"/>
            </w14:solidFill>
          </w14:textFill>
        </w:rPr>
      </w:pPr>
    </w:p>
    <w:p w14:paraId="7D1A8F6F">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03DCC5DD">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5B9C5EA0">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45B23ABB">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57FB8DEE">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70860530">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6602EED1">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5B829892">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7D96D685">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5BF0666E">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349DEA9C">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0C1D41C7">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4F1EC984">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6B63973C">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25949601">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14:paraId="30A56228">
      <w:pPr>
        <w:pStyle w:val="4"/>
        <w:jc w:val="center"/>
        <w:rPr>
          <w:rFonts w:ascii="黑体" w:hAnsi="黑体" w:eastAsia="黑体"/>
          <w:b w:val="0"/>
          <w:color w:val="000000" w:themeColor="text1"/>
          <w:sz w:val="28"/>
          <w:szCs w:val="28"/>
          <w:highlight w:val="none"/>
          <w14:textFill>
            <w14:solidFill>
              <w14:schemeClr w14:val="tx1"/>
            </w14:solidFill>
          </w14:textFill>
        </w:rPr>
      </w:pPr>
      <w:bookmarkStart w:id="568" w:name="_Toc351203480"/>
      <w:bookmarkStart w:id="569" w:name="_Toc7241"/>
      <w:bookmarkStart w:id="570" w:name="_Toc23889"/>
      <w:bookmarkStart w:id="571" w:name="_Toc1199"/>
      <w:r>
        <w:rPr>
          <w:rFonts w:ascii="黑体" w:hAnsi="黑体" w:eastAsia="黑体"/>
          <w:b w:val="0"/>
          <w:color w:val="000000" w:themeColor="text1"/>
          <w:sz w:val="28"/>
          <w:szCs w:val="28"/>
          <w:highlight w:val="none"/>
          <w14:textFill>
            <w14:solidFill>
              <w14:schemeClr w14:val="tx1"/>
            </w14:solidFill>
          </w14:textFill>
        </w:rPr>
        <w:t>合同协议书</w:t>
      </w:r>
      <w:bookmarkEnd w:id="568"/>
      <w:bookmarkEnd w:id="569"/>
      <w:bookmarkEnd w:id="570"/>
      <w:bookmarkEnd w:id="571"/>
    </w:p>
    <w:p w14:paraId="159380BB">
      <w:pPr>
        <w:spacing w:line="360" w:lineRule="auto"/>
        <w:jc w:val="left"/>
        <w:rPr>
          <w:rFonts w:ascii="宋体" w:hAnsi="宋体"/>
          <w:b/>
          <w:color w:val="000000" w:themeColor="text1"/>
          <w:sz w:val="21"/>
          <w:szCs w:val="21"/>
          <w:highlight w:val="none"/>
          <w:u w:val="singl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发包人（全称）：</w:t>
      </w:r>
      <w:r>
        <w:rPr>
          <w:rFonts w:ascii="宋体" w:hAnsi="宋体"/>
          <w:b/>
          <w:color w:val="000000" w:themeColor="text1"/>
          <w:sz w:val="21"/>
          <w:szCs w:val="21"/>
          <w:highlight w:val="none"/>
          <w:u w:val="single"/>
          <w14:textFill>
            <w14:solidFill>
              <w14:schemeClr w14:val="tx1"/>
            </w14:solidFill>
          </w14:textFill>
        </w:rPr>
        <w:t></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 xml:space="preserve">     </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w:t>
      </w:r>
    </w:p>
    <w:p w14:paraId="544BC766">
      <w:pPr>
        <w:spacing w:line="360" w:lineRule="auto"/>
        <w:jc w:val="left"/>
        <w:rPr>
          <w:rFonts w:ascii="宋体" w:hAnsi="宋体"/>
          <w:b/>
          <w:color w:val="000000" w:themeColor="text1"/>
          <w:sz w:val="21"/>
          <w:szCs w:val="21"/>
          <w:highlight w:val="none"/>
          <w:u w:val="singl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设计</w:t>
      </w:r>
      <w:r>
        <w:rPr>
          <w:rFonts w:ascii="宋体" w:hAnsi="宋体"/>
          <w:b/>
          <w:color w:val="000000" w:themeColor="text1"/>
          <w:sz w:val="21"/>
          <w:szCs w:val="21"/>
          <w:highlight w:val="none"/>
          <w14:textFill>
            <w14:solidFill>
              <w14:schemeClr w14:val="tx1"/>
            </w14:solidFill>
          </w14:textFill>
        </w:rPr>
        <w:t>人（全称）：</w:t>
      </w:r>
      <w:r>
        <w:rPr>
          <w:rFonts w:ascii="宋体" w:hAnsi="宋体"/>
          <w:b/>
          <w:color w:val="000000" w:themeColor="text1"/>
          <w:sz w:val="21"/>
          <w:szCs w:val="21"/>
          <w:highlight w:val="none"/>
          <w:u w:val="single"/>
          <w14:textFill>
            <w14:solidFill>
              <w14:schemeClr w14:val="tx1"/>
            </w14:solidFill>
          </w14:textFill>
        </w:rPr>
        <w:t xml:space="preserve">  </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 xml:space="preserve">       </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 xml:space="preserve">   </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 xml:space="preserve"> </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w:t>
      </w:r>
      <w:r>
        <w:rPr>
          <w:rFonts w:hint="eastAsia" w:ascii="宋体" w:hAnsi="宋体"/>
          <w:b/>
          <w:color w:val="000000" w:themeColor="text1"/>
          <w:sz w:val="21"/>
          <w:szCs w:val="21"/>
          <w:highlight w:val="none"/>
          <w:u w:val="single"/>
          <w14:textFill>
            <w14:solidFill>
              <w14:schemeClr w14:val="tx1"/>
            </w14:solidFill>
          </w14:textFill>
        </w:rPr>
        <w:t xml:space="preserve">  </w:t>
      </w:r>
      <w:r>
        <w:rPr>
          <w:rFonts w:ascii="宋体" w:hAnsi="宋体"/>
          <w:b/>
          <w:color w:val="000000" w:themeColor="text1"/>
          <w:sz w:val="21"/>
          <w:szCs w:val="21"/>
          <w:highlight w:val="none"/>
          <w:u w:val="single"/>
          <w14:textFill>
            <w14:solidFill>
              <w14:schemeClr w14:val="tx1"/>
            </w14:solidFill>
          </w14:textFill>
        </w:rPr>
        <w:t></w:t>
      </w:r>
    </w:p>
    <w:p w14:paraId="516FF8CA">
      <w:pPr>
        <w:spacing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根据《中华人民共和国</w:t>
      </w:r>
      <w:r>
        <w:rPr>
          <w:rFonts w:hint="eastAsia" w:ascii="宋体" w:hAnsi="宋体"/>
          <w:color w:val="000000" w:themeColor="text1"/>
          <w:sz w:val="21"/>
          <w:szCs w:val="21"/>
          <w:highlight w:val="none"/>
          <w14:textFill>
            <w14:solidFill>
              <w14:schemeClr w14:val="tx1"/>
            </w14:solidFill>
          </w14:textFill>
        </w:rPr>
        <w:t>民法典</w:t>
      </w:r>
      <w:r>
        <w:rPr>
          <w:rFonts w:ascii="宋体" w:hAnsi="宋体"/>
          <w:color w:val="000000" w:themeColor="text1"/>
          <w:sz w:val="21"/>
          <w:szCs w:val="21"/>
          <w:highlight w:val="none"/>
          <w14:textFill>
            <w14:solidFill>
              <w14:schemeClr w14:val="tx1"/>
            </w14:solidFill>
          </w14:textFill>
        </w:rPr>
        <w:t>》、《中华人民共和国建筑法》及有关法律规定，遵循平等、自愿、公平和诚实信用的原则，双方就</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设计及</w:t>
      </w:r>
      <w:r>
        <w:rPr>
          <w:rFonts w:ascii="宋体" w:hAnsi="宋体"/>
          <w:color w:val="000000" w:themeColor="text1"/>
          <w:sz w:val="21"/>
          <w:szCs w:val="21"/>
          <w:highlight w:val="none"/>
          <w14:textFill>
            <w14:solidFill>
              <w14:schemeClr w14:val="tx1"/>
            </w14:solidFill>
          </w14:textFill>
        </w:rPr>
        <w:t>有关事项协商一致</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共同达成如下协议：</w:t>
      </w:r>
    </w:p>
    <w:p w14:paraId="3A4590F9">
      <w:pPr>
        <w:pStyle w:val="4"/>
        <w:spacing w:beforeLines="50" w:afterLines="50" w:line="360" w:lineRule="auto"/>
        <w:rPr>
          <w:rFonts w:ascii="黑体" w:hAnsi="黑体" w:eastAsia="黑体"/>
          <w:b w:val="0"/>
          <w:bCs w:val="0"/>
          <w:color w:val="000000" w:themeColor="text1"/>
          <w:sz w:val="28"/>
          <w:szCs w:val="28"/>
          <w:highlight w:val="none"/>
          <w14:textFill>
            <w14:solidFill>
              <w14:schemeClr w14:val="tx1"/>
            </w14:solidFill>
          </w14:textFill>
        </w:rPr>
      </w:pPr>
      <w:bookmarkStart w:id="572" w:name="_Toc351203481"/>
      <w:r>
        <w:rPr>
          <w:rFonts w:ascii="黑体" w:hAnsi="黑体" w:eastAsia="黑体"/>
          <w:b w:val="0"/>
          <w:bCs w:val="0"/>
          <w:color w:val="000000" w:themeColor="text1"/>
          <w:sz w:val="21"/>
          <w:szCs w:val="21"/>
          <w:highlight w:val="none"/>
          <w14:textFill>
            <w14:solidFill>
              <w14:schemeClr w14:val="tx1"/>
            </w14:solidFill>
          </w14:textFill>
        </w:rPr>
        <w:t xml:space="preserve"> </w:t>
      </w:r>
      <w:bookmarkStart w:id="573" w:name="_Toc20957"/>
      <w:bookmarkStart w:id="574" w:name="_Toc32413"/>
      <w:bookmarkStart w:id="575" w:name="_Toc14134"/>
      <w:r>
        <w:rPr>
          <w:rFonts w:ascii="黑体" w:hAnsi="黑体" w:eastAsia="黑体"/>
          <w:b w:val="0"/>
          <w:color w:val="000000" w:themeColor="text1"/>
          <w:sz w:val="28"/>
          <w:szCs w:val="28"/>
          <w:highlight w:val="none"/>
          <w14:textFill>
            <w14:solidFill>
              <w14:schemeClr w14:val="tx1"/>
            </w14:solidFill>
          </w14:textFill>
        </w:rPr>
        <w:t>一、工程概况</w:t>
      </w:r>
      <w:bookmarkEnd w:id="572"/>
      <w:bookmarkEnd w:id="573"/>
      <w:bookmarkEnd w:id="574"/>
      <w:bookmarkEnd w:id="575"/>
    </w:p>
    <w:p w14:paraId="2DB32798">
      <w:pPr>
        <w:spacing w:line="360" w:lineRule="auto"/>
        <w:ind w:firstLine="411" w:firstLineChars="196"/>
        <w:rPr>
          <w:rFonts w:ascii="宋体" w:hAnsi="宋体"/>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1.工程名称</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42B3789">
      <w:pPr>
        <w:spacing w:line="360" w:lineRule="auto"/>
        <w:ind w:firstLine="411" w:firstLineChars="196"/>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2.工程批准、核准或备案文号：</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916BF91">
      <w:pPr>
        <w:spacing w:line="360" w:lineRule="auto"/>
        <w:ind w:firstLine="411" w:firstLineChars="196"/>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3</w:t>
      </w:r>
      <w:r>
        <w:rPr>
          <w:rFonts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工程内容及规模：</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B16B196">
      <w:pPr>
        <w:spacing w:line="360" w:lineRule="auto"/>
        <w:ind w:firstLine="411" w:firstLineChars="196"/>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ascii="宋体" w:hAnsi="宋体"/>
          <w:bCs/>
          <w:color w:val="000000" w:themeColor="text1"/>
          <w:sz w:val="21"/>
          <w:szCs w:val="21"/>
          <w:highlight w:val="none"/>
          <w14:textFill>
            <w14:solidFill>
              <w14:schemeClr w14:val="tx1"/>
            </w14:solidFill>
          </w14:textFill>
        </w:rPr>
        <w:t>工程</w:t>
      </w:r>
      <w:r>
        <w:rPr>
          <w:rFonts w:hint="eastAsia" w:ascii="宋体" w:hAnsi="宋体"/>
          <w:bCs/>
          <w:color w:val="000000" w:themeColor="text1"/>
          <w:sz w:val="21"/>
          <w:szCs w:val="21"/>
          <w:highlight w:val="none"/>
          <w14:textFill>
            <w14:solidFill>
              <w14:schemeClr w14:val="tx1"/>
            </w14:solidFill>
          </w14:textFill>
        </w:rPr>
        <w:t>所在地详细地址</w:t>
      </w:r>
      <w:r>
        <w:rPr>
          <w:rFonts w:ascii="宋体" w:hAnsi="宋体"/>
          <w:bCs/>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p>
    <w:p w14:paraId="07E6FF33">
      <w:pPr>
        <w:spacing w:line="360" w:lineRule="auto"/>
        <w:ind w:firstLine="411" w:firstLineChars="196"/>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5.工程投资估算：</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8F4D2E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76" w:name="_Toc18657"/>
      <w:bookmarkStart w:id="577" w:name="_Toc24731"/>
      <w:bookmarkStart w:id="578" w:name="_Toc7933"/>
      <w:r>
        <w:rPr>
          <w:rFonts w:hint="eastAsia" w:ascii="黑体" w:hAnsi="黑体" w:eastAsia="黑体"/>
          <w:b w:val="0"/>
          <w:color w:val="000000" w:themeColor="text1"/>
          <w:sz w:val="28"/>
          <w:szCs w:val="28"/>
          <w:highlight w:val="none"/>
          <w14:textFill>
            <w14:solidFill>
              <w14:schemeClr w14:val="tx1"/>
            </w14:solidFill>
          </w14:textFill>
        </w:rPr>
        <w:t>二</w:t>
      </w:r>
      <w:r>
        <w:rPr>
          <w:rFonts w:ascii="黑体" w:hAnsi="黑体" w:eastAsia="黑体"/>
          <w:b w:val="0"/>
          <w:color w:val="000000" w:themeColor="text1"/>
          <w:sz w:val="28"/>
          <w:szCs w:val="28"/>
          <w:highlight w:val="none"/>
          <w14:textFill>
            <w14:solidFill>
              <w14:schemeClr w14:val="tx1"/>
            </w14:solidFill>
          </w14:textFill>
        </w:rPr>
        <w:t>、工程</w:t>
      </w:r>
      <w:r>
        <w:rPr>
          <w:rFonts w:hint="eastAsia" w:ascii="黑体" w:hAnsi="黑体" w:eastAsia="黑体"/>
          <w:b w:val="0"/>
          <w:color w:val="000000" w:themeColor="text1"/>
          <w:sz w:val="28"/>
          <w:szCs w:val="28"/>
          <w:highlight w:val="none"/>
          <w14:textFill>
            <w14:solidFill>
              <w14:schemeClr w14:val="tx1"/>
            </w14:solidFill>
          </w14:textFill>
        </w:rPr>
        <w:t>范围、阶段与服务内容</w:t>
      </w:r>
      <w:bookmarkEnd w:id="576"/>
      <w:bookmarkEnd w:id="577"/>
      <w:bookmarkEnd w:id="578"/>
    </w:p>
    <w:p w14:paraId="5E31D05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详见专用合同条款附件1。</w:t>
      </w:r>
    </w:p>
    <w:p w14:paraId="03CC53ED">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79" w:name="_Toc351203482"/>
      <w:bookmarkStart w:id="580" w:name="_Toc9291"/>
      <w:bookmarkStart w:id="581" w:name="_Toc32320"/>
      <w:bookmarkStart w:id="582" w:name="_Toc8930"/>
      <w:r>
        <w:rPr>
          <w:rFonts w:hint="eastAsia" w:ascii="黑体" w:hAnsi="黑体" w:eastAsia="黑体"/>
          <w:b w:val="0"/>
          <w:color w:val="000000" w:themeColor="text1"/>
          <w:sz w:val="28"/>
          <w:szCs w:val="28"/>
          <w:highlight w:val="none"/>
          <w14:textFill>
            <w14:solidFill>
              <w14:schemeClr w14:val="tx1"/>
            </w14:solidFill>
          </w14:textFill>
        </w:rPr>
        <w:t>三</w:t>
      </w:r>
      <w:r>
        <w:rPr>
          <w:rFonts w:ascii="黑体" w:hAnsi="黑体" w:eastAsia="黑体"/>
          <w:b w:val="0"/>
          <w:color w:val="000000" w:themeColor="text1"/>
          <w:sz w:val="28"/>
          <w:szCs w:val="28"/>
          <w:highlight w:val="none"/>
          <w14:textFill>
            <w14:solidFill>
              <w14:schemeClr w14:val="tx1"/>
            </w14:solidFill>
          </w14:textFill>
        </w:rPr>
        <w:t>、</w:t>
      </w:r>
      <w:bookmarkEnd w:id="579"/>
      <w:r>
        <w:rPr>
          <w:rFonts w:hint="eastAsia" w:ascii="黑体" w:hAnsi="黑体" w:eastAsia="黑体"/>
          <w:b w:val="0"/>
          <w:color w:val="000000" w:themeColor="text1"/>
          <w:sz w:val="28"/>
          <w:szCs w:val="28"/>
          <w:highlight w:val="none"/>
          <w14:textFill>
            <w14:solidFill>
              <w14:schemeClr w14:val="tx1"/>
            </w14:solidFill>
          </w14:textFill>
        </w:rPr>
        <w:t>服务期限</w:t>
      </w:r>
      <w:bookmarkEnd w:id="580"/>
      <w:bookmarkEnd w:id="581"/>
      <w:bookmarkEnd w:id="582"/>
    </w:p>
    <w:p w14:paraId="6C944A2A">
      <w:pPr>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（1）设计服务期限：</w:t>
      </w:r>
    </w:p>
    <w:p w14:paraId="3C7C2657">
      <w:pPr>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方案</w:t>
      </w:r>
      <w:r>
        <w:rPr>
          <w:rFonts w:hint="eastAsia" w:ascii="宋体" w:hAnsi="宋体" w:cs="宋体"/>
          <w:color w:val="000000" w:themeColor="text1"/>
          <w:sz w:val="21"/>
          <w:szCs w:val="21"/>
          <w:highlight w:val="none"/>
          <w14:textFill>
            <w14:solidFill>
              <w14:schemeClr w14:val="tx1"/>
            </w14:solidFill>
          </w14:textFill>
        </w:rPr>
        <w:t>设计优</w:t>
      </w:r>
      <w:r>
        <w:rPr>
          <w:rFonts w:hint="eastAsia" w:ascii="宋体" w:hAnsi="宋体"/>
          <w:color w:val="000000" w:themeColor="text1"/>
          <w:sz w:val="21"/>
          <w:szCs w:val="21"/>
          <w:highlight w:val="none"/>
          <w14:textFill>
            <w14:solidFill>
              <w14:schemeClr w14:val="tx1"/>
            </w14:solidFill>
          </w14:textFill>
        </w:rPr>
        <w:t>化：</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14:textFill>
            <w14:solidFill>
              <w14:schemeClr w14:val="tx1"/>
            </w14:solidFill>
          </w14:textFill>
        </w:rPr>
        <w:t>历</w:t>
      </w:r>
      <w:r>
        <w:rPr>
          <w:rFonts w:hint="eastAsia" w:ascii="宋体" w:hAnsi="宋体"/>
          <w:color w:val="000000" w:themeColor="text1"/>
          <w:sz w:val="21"/>
          <w:szCs w:val="21"/>
          <w:highlight w:val="none"/>
          <w14:textFill>
            <w14:solidFill>
              <w14:schemeClr w14:val="tx1"/>
            </w14:solidFill>
          </w14:textFill>
        </w:rPr>
        <w:t>日</w:t>
      </w:r>
    </w:p>
    <w:p w14:paraId="5B334314">
      <w:pPr>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初</w:t>
      </w:r>
      <w:r>
        <w:rPr>
          <w:rFonts w:hint="eastAsia" w:ascii="宋体" w:hAnsi="宋体" w:cs="宋体"/>
          <w:color w:val="000000" w:themeColor="text1"/>
          <w:sz w:val="21"/>
          <w:szCs w:val="21"/>
          <w:highlight w:val="none"/>
          <w14:textFill>
            <w14:solidFill>
              <w14:schemeClr w14:val="tx1"/>
            </w14:solidFill>
          </w14:textFill>
        </w:rPr>
        <w:t>步设计</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14:textFill>
            <w14:solidFill>
              <w14:schemeClr w14:val="tx1"/>
            </w14:solidFill>
          </w14:textFill>
        </w:rPr>
        <w:t>历</w:t>
      </w:r>
      <w:r>
        <w:rPr>
          <w:rFonts w:hint="eastAsia" w:ascii="宋体" w:hAnsi="宋体"/>
          <w:color w:val="000000" w:themeColor="text1"/>
          <w:sz w:val="21"/>
          <w:szCs w:val="21"/>
          <w:highlight w:val="none"/>
          <w14:textFill>
            <w14:solidFill>
              <w14:schemeClr w14:val="tx1"/>
            </w14:solidFill>
          </w14:textFill>
        </w:rPr>
        <w:t>日</w:t>
      </w:r>
    </w:p>
    <w:p w14:paraId="1D9E6A0F">
      <w:pPr>
        <w:pStyle w:val="13"/>
        <w:snapToGrid w:val="0"/>
        <w:spacing w:line="400" w:lineRule="exact"/>
        <w:ind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施工</w:t>
      </w:r>
      <w:r>
        <w:rPr>
          <w:rFonts w:hint="eastAsia" w:ascii="宋体" w:hAnsi="宋体" w:eastAsia="宋体" w:cs="宋体"/>
          <w:color w:val="000000" w:themeColor="text1"/>
          <w:szCs w:val="21"/>
          <w:highlight w:val="none"/>
          <w14:textFill>
            <w14:solidFill>
              <w14:schemeClr w14:val="tx1"/>
            </w14:solidFill>
          </w14:textFill>
        </w:rPr>
        <w:t>图设计</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历日</w:t>
      </w:r>
    </w:p>
    <w:p w14:paraId="6169CC86">
      <w:pPr>
        <w:spacing w:line="360" w:lineRule="auto"/>
        <w:ind w:firstLine="459"/>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（2）工程勘察服务期限：</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0F8366B">
      <w:pPr>
        <w:spacing w:line="360" w:lineRule="auto"/>
        <w:ind w:firstLine="459"/>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（3）工程进度安排：</w:t>
      </w:r>
    </w:p>
    <w:p w14:paraId="679E1FF4">
      <w:pPr>
        <w:spacing w:line="360" w:lineRule="auto"/>
        <w:ind w:firstLine="45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计划</w:t>
      </w:r>
      <w:r>
        <w:rPr>
          <w:rFonts w:hint="eastAsia" w:ascii="宋体" w:hAnsi="宋体"/>
          <w:color w:val="000000" w:themeColor="text1"/>
          <w:sz w:val="21"/>
          <w:szCs w:val="21"/>
          <w:highlight w:val="none"/>
          <w14:textFill>
            <w14:solidFill>
              <w14:schemeClr w14:val="tx1"/>
            </w14:solidFill>
          </w14:textFill>
        </w:rPr>
        <w:t>开始</w:t>
      </w:r>
      <w:r>
        <w:rPr>
          <w:rFonts w:ascii="宋体" w:hAnsi="宋体"/>
          <w:color w:val="000000" w:themeColor="text1"/>
          <w:sz w:val="21"/>
          <w:szCs w:val="21"/>
          <w:highlight w:val="none"/>
          <w14:textFill>
            <w14:solidFill>
              <w14:schemeClr w14:val="tx1"/>
            </w14:solidFill>
          </w14:textFill>
        </w:rPr>
        <w:t>日期：</w:t>
      </w:r>
      <w:r>
        <w:rPr>
          <w:rFonts w:ascii="宋体" w:hAnsi="宋体"/>
          <w:color w:val="000000" w:themeColor="text1"/>
          <w:sz w:val="21"/>
          <w:szCs w:val="21"/>
          <w:highlight w:val="none"/>
          <w:u w:val="singl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u w:val="singl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月</w:t>
      </w:r>
      <w:r>
        <w:rPr>
          <w:rFonts w:ascii="宋体" w:hAnsi="宋体"/>
          <w:color w:val="000000" w:themeColor="text1"/>
          <w:sz w:val="21"/>
          <w:szCs w:val="21"/>
          <w:highlight w:val="none"/>
          <w:u w:val="singl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日。</w:t>
      </w:r>
    </w:p>
    <w:p w14:paraId="3109E436">
      <w:pPr>
        <w:spacing w:line="360" w:lineRule="auto"/>
        <w:ind w:firstLine="45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计划</w:t>
      </w:r>
      <w:r>
        <w:rPr>
          <w:rFonts w:hint="eastAsia" w:ascii="宋体" w:hAnsi="宋体"/>
          <w:color w:val="000000" w:themeColor="text1"/>
          <w:sz w:val="21"/>
          <w:szCs w:val="21"/>
          <w:highlight w:val="none"/>
          <w14:textFill>
            <w14:solidFill>
              <w14:schemeClr w14:val="tx1"/>
            </w14:solidFill>
          </w14:textFill>
        </w:rPr>
        <w:t>完成</w:t>
      </w:r>
      <w:r>
        <w:rPr>
          <w:rFonts w:ascii="宋体" w:hAnsi="宋体"/>
          <w:color w:val="000000" w:themeColor="text1"/>
          <w:sz w:val="21"/>
          <w:szCs w:val="21"/>
          <w:highlight w:val="none"/>
          <w14:textFill>
            <w14:solidFill>
              <w14:schemeClr w14:val="tx1"/>
            </w14:solidFill>
          </w14:textFill>
        </w:rPr>
        <w:t>日期：</w:t>
      </w:r>
      <w:r>
        <w:rPr>
          <w:rFonts w:ascii="宋体" w:hAnsi="宋体"/>
          <w:color w:val="000000" w:themeColor="text1"/>
          <w:sz w:val="21"/>
          <w:szCs w:val="21"/>
          <w:highlight w:val="none"/>
          <w:u w:val="singl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u w:val="singl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月</w:t>
      </w:r>
      <w:r>
        <w:rPr>
          <w:rFonts w:ascii="宋体" w:hAnsi="宋体"/>
          <w:color w:val="000000" w:themeColor="text1"/>
          <w:sz w:val="21"/>
          <w:szCs w:val="21"/>
          <w:highlight w:val="none"/>
          <w:u w:val="singl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日。</w:t>
      </w:r>
    </w:p>
    <w:p w14:paraId="55CB944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83" w:name="_Toc351203484"/>
      <w:bookmarkStart w:id="584" w:name="_Toc7840"/>
      <w:bookmarkStart w:id="585" w:name="_Toc22970"/>
      <w:bookmarkStart w:id="586" w:name="_Toc21857"/>
      <w:r>
        <w:rPr>
          <w:rFonts w:hint="eastAsia" w:ascii="黑体" w:hAnsi="黑体" w:eastAsia="黑体"/>
          <w:b w:val="0"/>
          <w:color w:val="000000" w:themeColor="text1"/>
          <w:sz w:val="28"/>
          <w:szCs w:val="28"/>
          <w:highlight w:val="none"/>
          <w14:textFill>
            <w14:solidFill>
              <w14:schemeClr w14:val="tx1"/>
            </w14:solidFill>
          </w14:textFill>
        </w:rPr>
        <w:t>四</w:t>
      </w:r>
      <w:r>
        <w:rPr>
          <w:rFonts w:ascii="黑体" w:hAnsi="黑体" w:eastAsia="黑体"/>
          <w:b w:val="0"/>
          <w:color w:val="000000" w:themeColor="text1"/>
          <w:sz w:val="28"/>
          <w:szCs w:val="28"/>
          <w:highlight w:val="none"/>
          <w14:textFill>
            <w14:solidFill>
              <w14:schemeClr w14:val="tx1"/>
            </w14:solidFill>
          </w14:textFill>
        </w:rPr>
        <w:t>、合同价格形式与签约合同价</w:t>
      </w:r>
      <w:bookmarkEnd w:id="583"/>
      <w:bookmarkEnd w:id="584"/>
      <w:bookmarkEnd w:id="585"/>
      <w:bookmarkEnd w:id="586"/>
      <w:r>
        <w:rPr>
          <w:rFonts w:ascii="黑体" w:hAnsi="黑体" w:eastAsia="黑体"/>
          <w:b w:val="0"/>
          <w:color w:val="000000" w:themeColor="text1"/>
          <w:sz w:val="28"/>
          <w:szCs w:val="28"/>
          <w:highlight w:val="none"/>
          <w14:textFill>
            <w14:solidFill>
              <w14:schemeClr w14:val="tx1"/>
            </w14:solidFill>
          </w14:textFill>
        </w:rPr>
        <w:tab/>
      </w:r>
    </w:p>
    <w:p w14:paraId="16012EF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.合同价格形式：</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D5A074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.签约合同价为：</w:t>
      </w:r>
    </w:p>
    <w:p w14:paraId="09BAEF0F">
      <w:pPr>
        <w:spacing w:line="360" w:lineRule="auto"/>
        <w:ind w:firstLine="525" w:firstLineChars="25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人民币（大写）</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元）</w:t>
      </w:r>
      <w:r>
        <w:rPr>
          <w:rFonts w:hint="eastAsia" w:ascii="宋体" w:hAnsi="宋体"/>
          <w:color w:val="000000" w:themeColor="text1"/>
          <w:sz w:val="21"/>
          <w:szCs w:val="21"/>
          <w:highlight w:val="none"/>
          <w14:textFill>
            <w14:solidFill>
              <w14:schemeClr w14:val="tx1"/>
            </w14:solidFill>
          </w14:textFill>
        </w:rPr>
        <w:t>。</w:t>
      </w:r>
    </w:p>
    <w:p w14:paraId="41E9616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87" w:name="_Toc351203485"/>
      <w:bookmarkStart w:id="588" w:name="_Toc15670"/>
      <w:bookmarkStart w:id="589" w:name="_Toc25169"/>
      <w:bookmarkStart w:id="590" w:name="_Toc8343"/>
      <w:r>
        <w:rPr>
          <w:rFonts w:hint="eastAsia" w:ascii="黑体" w:hAnsi="黑体" w:eastAsia="黑体"/>
          <w:b w:val="0"/>
          <w:color w:val="000000" w:themeColor="text1"/>
          <w:sz w:val="28"/>
          <w:szCs w:val="28"/>
          <w:highlight w:val="none"/>
          <w14:textFill>
            <w14:solidFill>
              <w14:schemeClr w14:val="tx1"/>
            </w14:solidFill>
          </w14:textFill>
        </w:rPr>
        <w:t>五</w:t>
      </w:r>
      <w:r>
        <w:rPr>
          <w:rFonts w:ascii="黑体" w:hAnsi="黑体" w:eastAsia="黑体"/>
          <w:b w:val="0"/>
          <w:color w:val="000000" w:themeColor="text1"/>
          <w:sz w:val="28"/>
          <w:szCs w:val="28"/>
          <w:highlight w:val="none"/>
          <w14:textFill>
            <w14:solidFill>
              <w14:schemeClr w14:val="tx1"/>
            </w14:solidFill>
          </w14:textFill>
        </w:rPr>
        <w:t>、</w:t>
      </w:r>
      <w:bookmarkEnd w:id="587"/>
      <w:r>
        <w:rPr>
          <w:rFonts w:hint="eastAsia" w:ascii="黑体" w:hAnsi="黑体" w:eastAsia="黑体"/>
          <w:b w:val="0"/>
          <w:color w:val="000000" w:themeColor="text1"/>
          <w:sz w:val="28"/>
          <w:szCs w:val="28"/>
          <w:highlight w:val="none"/>
          <w14:textFill>
            <w14:solidFill>
              <w14:schemeClr w14:val="tx1"/>
            </w14:solidFill>
          </w14:textFill>
        </w:rPr>
        <w:t>发包人代表与设计人</w:t>
      </w:r>
      <w:r>
        <w:rPr>
          <w:rFonts w:ascii="黑体" w:hAnsi="黑体" w:eastAsia="黑体"/>
          <w:b w:val="0"/>
          <w:color w:val="000000" w:themeColor="text1"/>
          <w:sz w:val="28"/>
          <w:szCs w:val="28"/>
          <w:highlight w:val="none"/>
          <w14:textFill>
            <w14:solidFill>
              <w14:schemeClr w14:val="tx1"/>
            </w14:solidFill>
          </w14:textFill>
        </w:rPr>
        <w:t>项目负责人</w:t>
      </w:r>
      <w:bookmarkEnd w:id="588"/>
      <w:bookmarkEnd w:id="589"/>
      <w:bookmarkEnd w:id="590"/>
    </w:p>
    <w:p w14:paraId="11124A7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发包人代表：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0C2E09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人项目负责人：</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ascii="宋体" w:hAnsi="宋体"/>
          <w:color w:val="000000" w:themeColor="text1"/>
          <w:sz w:val="21"/>
          <w:szCs w:val="21"/>
          <w:highlight w:val="none"/>
          <w14:textFill>
            <w14:solidFill>
              <w14:schemeClr w14:val="tx1"/>
            </w14:solidFill>
          </w14:textFill>
        </w:rPr>
        <w:t>。</w:t>
      </w:r>
    </w:p>
    <w:p w14:paraId="12BDBA01">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91" w:name="_Toc23643"/>
      <w:bookmarkStart w:id="592" w:name="_Toc351203486"/>
      <w:bookmarkStart w:id="593" w:name="_Toc7297"/>
      <w:bookmarkStart w:id="594" w:name="_Toc29635"/>
      <w:r>
        <w:rPr>
          <w:rFonts w:hint="eastAsia" w:ascii="黑体" w:hAnsi="黑体" w:eastAsia="黑体"/>
          <w:b w:val="0"/>
          <w:color w:val="000000" w:themeColor="text1"/>
          <w:sz w:val="28"/>
          <w:szCs w:val="28"/>
          <w:highlight w:val="none"/>
          <w14:textFill>
            <w14:solidFill>
              <w14:schemeClr w14:val="tx1"/>
            </w14:solidFill>
          </w14:textFill>
        </w:rPr>
        <w:t>六</w:t>
      </w:r>
      <w:r>
        <w:rPr>
          <w:rFonts w:ascii="黑体" w:hAnsi="黑体" w:eastAsia="黑体"/>
          <w:b w:val="0"/>
          <w:color w:val="000000" w:themeColor="text1"/>
          <w:sz w:val="28"/>
          <w:szCs w:val="28"/>
          <w:highlight w:val="none"/>
          <w14:textFill>
            <w14:solidFill>
              <w14:schemeClr w14:val="tx1"/>
            </w14:solidFill>
          </w14:textFill>
        </w:rPr>
        <w:t>、合同文件构成</w:t>
      </w:r>
      <w:bookmarkEnd w:id="591"/>
      <w:bookmarkEnd w:id="592"/>
      <w:bookmarkEnd w:id="593"/>
      <w:bookmarkEnd w:id="594"/>
    </w:p>
    <w:p w14:paraId="532B1FAA">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本协议书与下列文件一起构成合同文件：</w:t>
      </w:r>
    </w:p>
    <w:p w14:paraId="1CF532F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（1）专用合同条款及其附件； </w:t>
      </w:r>
    </w:p>
    <w:p w14:paraId="64A14B2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（2）通用合同条款； </w:t>
      </w:r>
    </w:p>
    <w:p w14:paraId="78E660A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）中标通知书（如果有）；</w:t>
      </w:r>
    </w:p>
    <w:p w14:paraId="139B0D07">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）投标函及其附录（如果有）；</w:t>
      </w:r>
    </w:p>
    <w:p w14:paraId="4229713C">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（5）发包人要求；</w:t>
      </w:r>
    </w:p>
    <w:p w14:paraId="5215B2AF">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）技术标准；</w:t>
      </w:r>
    </w:p>
    <w:p w14:paraId="0D00D77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（7）发包人提供的上一阶段</w:t>
      </w:r>
      <w:r>
        <w:rPr>
          <w:rFonts w:ascii="宋体" w:hAnsi="宋体"/>
          <w:color w:val="000000" w:themeColor="text1"/>
          <w:sz w:val="21"/>
          <w:szCs w:val="21"/>
          <w:highlight w:val="none"/>
          <w14:textFill>
            <w14:solidFill>
              <w14:schemeClr w14:val="tx1"/>
            </w14:solidFill>
          </w14:textFill>
        </w:rPr>
        <w:t>图纸</w:t>
      </w:r>
      <w:r>
        <w:rPr>
          <w:rFonts w:hint="eastAsia" w:ascii="宋体" w:hAnsi="宋体"/>
          <w:color w:val="000000" w:themeColor="text1"/>
          <w:sz w:val="21"/>
          <w:szCs w:val="21"/>
          <w:highlight w:val="none"/>
          <w14:textFill>
            <w14:solidFill>
              <w14:schemeClr w14:val="tx1"/>
            </w14:solidFill>
          </w14:textFill>
        </w:rPr>
        <w:t>（如果有）；</w:t>
      </w:r>
    </w:p>
    <w:p w14:paraId="339C890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8</w:t>
      </w:r>
      <w:r>
        <w:rPr>
          <w:rFonts w:ascii="宋体" w:hAnsi="宋体"/>
          <w:color w:val="000000" w:themeColor="text1"/>
          <w:sz w:val="21"/>
          <w:szCs w:val="21"/>
          <w:highlight w:val="none"/>
          <w14:textFill>
            <w14:solidFill>
              <w14:schemeClr w14:val="tx1"/>
            </w14:solidFill>
          </w14:textFill>
        </w:rPr>
        <w:t>）其他合同文件。</w:t>
      </w:r>
    </w:p>
    <w:p w14:paraId="0604F4CB">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在合同履行过程中形成的与合同有关的文件均构成合同文件组成部分。</w:t>
      </w:r>
    </w:p>
    <w:p w14:paraId="0F29C60C">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08F1B3B1">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95" w:name="_Toc18267"/>
      <w:bookmarkStart w:id="596" w:name="_Toc16177"/>
      <w:bookmarkStart w:id="597" w:name="_Toc9439"/>
      <w:bookmarkStart w:id="598" w:name="_Toc351203487"/>
      <w:r>
        <w:rPr>
          <w:rFonts w:hint="eastAsia" w:ascii="黑体" w:hAnsi="黑体" w:eastAsia="黑体"/>
          <w:b w:val="0"/>
          <w:color w:val="000000" w:themeColor="text1"/>
          <w:sz w:val="28"/>
          <w:szCs w:val="28"/>
          <w:highlight w:val="none"/>
          <w14:textFill>
            <w14:solidFill>
              <w14:schemeClr w14:val="tx1"/>
            </w14:solidFill>
          </w14:textFill>
        </w:rPr>
        <w:t>七</w:t>
      </w:r>
      <w:r>
        <w:rPr>
          <w:rFonts w:ascii="黑体" w:hAnsi="黑体" w:eastAsia="黑体"/>
          <w:b w:val="0"/>
          <w:color w:val="000000" w:themeColor="text1"/>
          <w:sz w:val="28"/>
          <w:szCs w:val="28"/>
          <w:highlight w:val="none"/>
          <w14:textFill>
            <w14:solidFill>
              <w14:schemeClr w14:val="tx1"/>
            </w14:solidFill>
          </w14:textFill>
        </w:rPr>
        <w:t>、承诺</w:t>
      </w:r>
      <w:bookmarkEnd w:id="595"/>
      <w:bookmarkEnd w:id="596"/>
      <w:bookmarkEnd w:id="597"/>
      <w:bookmarkEnd w:id="598"/>
    </w:p>
    <w:p w14:paraId="49857051">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1.发包人承诺按照法律规定履行项目审批手续</w:t>
      </w:r>
      <w:r>
        <w:rPr>
          <w:rFonts w:hint="eastAsia" w:ascii="宋体" w:hAnsi="宋体"/>
          <w:bCs/>
          <w:color w:val="000000" w:themeColor="text1"/>
          <w:sz w:val="21"/>
          <w:szCs w:val="21"/>
          <w:highlight w:val="none"/>
          <w14:textFill>
            <w14:solidFill>
              <w14:schemeClr w14:val="tx1"/>
            </w14:solidFill>
          </w14:textFill>
        </w:rPr>
        <w:t>，</w:t>
      </w:r>
      <w:r>
        <w:rPr>
          <w:rFonts w:ascii="宋体" w:hAnsi="宋体"/>
          <w:bCs/>
          <w:color w:val="000000" w:themeColor="text1"/>
          <w:sz w:val="21"/>
          <w:szCs w:val="21"/>
          <w:highlight w:val="none"/>
          <w14:textFill>
            <w14:solidFill>
              <w14:schemeClr w14:val="tx1"/>
            </w14:solidFill>
          </w14:textFill>
        </w:rPr>
        <w:t>按照合同约定</w:t>
      </w:r>
      <w:r>
        <w:rPr>
          <w:rFonts w:hint="eastAsia" w:ascii="宋体" w:hAnsi="宋体"/>
          <w:bCs/>
          <w:color w:val="000000" w:themeColor="text1"/>
          <w:sz w:val="21"/>
          <w:szCs w:val="21"/>
          <w:highlight w:val="none"/>
          <w14:textFill>
            <w14:solidFill>
              <w14:schemeClr w14:val="tx1"/>
            </w14:solidFill>
          </w14:textFill>
        </w:rPr>
        <w:t>提供设计依据，并按合同约定</w:t>
      </w:r>
      <w:r>
        <w:rPr>
          <w:rFonts w:ascii="宋体" w:hAnsi="宋体"/>
          <w:bCs/>
          <w:color w:val="000000" w:themeColor="text1"/>
          <w:sz w:val="21"/>
          <w:szCs w:val="21"/>
          <w:highlight w:val="none"/>
          <w14:textFill>
            <w14:solidFill>
              <w14:schemeClr w14:val="tx1"/>
            </w14:solidFill>
          </w14:textFill>
        </w:rPr>
        <w:t>的期限和方式支付合同价款。</w:t>
      </w:r>
    </w:p>
    <w:p w14:paraId="4EE90662">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2.</w:t>
      </w:r>
      <w:r>
        <w:rPr>
          <w:rFonts w:hint="eastAsia" w:ascii="宋体" w:hAnsi="宋体"/>
          <w:bCs/>
          <w:color w:val="000000" w:themeColor="text1"/>
          <w:sz w:val="21"/>
          <w:szCs w:val="21"/>
          <w:highlight w:val="none"/>
          <w14:textFill>
            <w14:solidFill>
              <w14:schemeClr w14:val="tx1"/>
            </w14:solidFill>
          </w14:textFill>
        </w:rPr>
        <w:t>设计</w:t>
      </w:r>
      <w:r>
        <w:rPr>
          <w:rFonts w:ascii="宋体" w:hAnsi="宋体"/>
          <w:bCs/>
          <w:color w:val="000000" w:themeColor="text1"/>
          <w:sz w:val="21"/>
          <w:szCs w:val="21"/>
          <w:highlight w:val="none"/>
          <w14:textFill>
            <w14:solidFill>
              <w14:schemeClr w14:val="tx1"/>
            </w14:solidFill>
          </w14:textFill>
        </w:rPr>
        <w:t>人承诺按照法律</w:t>
      </w:r>
      <w:r>
        <w:rPr>
          <w:rFonts w:hint="eastAsia" w:ascii="宋体" w:hAnsi="宋体"/>
          <w:bCs/>
          <w:color w:val="000000" w:themeColor="text1"/>
          <w:sz w:val="21"/>
          <w:szCs w:val="21"/>
          <w:highlight w:val="none"/>
          <w14:textFill>
            <w14:solidFill>
              <w14:schemeClr w14:val="tx1"/>
            </w14:solidFill>
          </w14:textFill>
        </w:rPr>
        <w:t>和技术标准</w:t>
      </w:r>
      <w:r>
        <w:rPr>
          <w:rFonts w:ascii="宋体" w:hAnsi="宋体"/>
          <w:bCs/>
          <w:color w:val="000000" w:themeColor="text1"/>
          <w:sz w:val="21"/>
          <w:szCs w:val="21"/>
          <w:highlight w:val="none"/>
          <w14:textFill>
            <w14:solidFill>
              <w14:schemeClr w14:val="tx1"/>
            </w14:solidFill>
          </w14:textFill>
        </w:rPr>
        <w:t>规定及合同约定</w:t>
      </w:r>
      <w:r>
        <w:rPr>
          <w:rFonts w:hint="eastAsia" w:ascii="宋体" w:hAnsi="宋体"/>
          <w:bCs/>
          <w:color w:val="000000" w:themeColor="text1"/>
          <w:sz w:val="21"/>
          <w:szCs w:val="21"/>
          <w:highlight w:val="none"/>
          <w14:textFill>
            <w14:solidFill>
              <w14:schemeClr w14:val="tx1"/>
            </w14:solidFill>
          </w14:textFill>
        </w:rPr>
        <w:t>提供工程设计服务</w:t>
      </w:r>
      <w:r>
        <w:rPr>
          <w:rFonts w:ascii="宋体" w:hAnsi="宋体"/>
          <w:bCs/>
          <w:color w:val="000000" w:themeColor="text1"/>
          <w:sz w:val="21"/>
          <w:szCs w:val="21"/>
          <w:highlight w:val="none"/>
          <w14:textFill>
            <w14:solidFill>
              <w14:schemeClr w14:val="tx1"/>
            </w14:solidFill>
          </w14:textFill>
        </w:rPr>
        <w:t>。</w:t>
      </w:r>
      <w:bookmarkStart w:id="599" w:name="_Toc351203488"/>
    </w:p>
    <w:p w14:paraId="43B52BA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00" w:name="_Toc12340"/>
      <w:bookmarkStart w:id="601" w:name="_Toc15370"/>
      <w:bookmarkStart w:id="602" w:name="_Toc2033"/>
      <w:r>
        <w:rPr>
          <w:rFonts w:hint="eastAsia" w:ascii="黑体" w:hAnsi="黑体" w:eastAsia="黑体"/>
          <w:b w:val="0"/>
          <w:color w:val="000000" w:themeColor="text1"/>
          <w:sz w:val="28"/>
          <w:szCs w:val="28"/>
          <w:highlight w:val="none"/>
          <w14:textFill>
            <w14:solidFill>
              <w14:schemeClr w14:val="tx1"/>
            </w14:solidFill>
          </w14:textFill>
        </w:rPr>
        <w:t>八</w:t>
      </w:r>
      <w:r>
        <w:rPr>
          <w:rFonts w:ascii="黑体" w:hAnsi="黑体" w:eastAsia="黑体"/>
          <w:b w:val="0"/>
          <w:color w:val="000000" w:themeColor="text1"/>
          <w:sz w:val="28"/>
          <w:szCs w:val="28"/>
          <w:highlight w:val="none"/>
          <w14:textFill>
            <w14:solidFill>
              <w14:schemeClr w14:val="tx1"/>
            </w14:solidFill>
          </w14:textFill>
        </w:rPr>
        <w:t>、词语含义</w:t>
      </w:r>
      <w:bookmarkEnd w:id="599"/>
      <w:bookmarkEnd w:id="600"/>
      <w:bookmarkEnd w:id="601"/>
      <w:bookmarkEnd w:id="602"/>
    </w:p>
    <w:p w14:paraId="30909758">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本协议书中词语含义与通用合同条款中赋予的含义相同。</w:t>
      </w:r>
    </w:p>
    <w:p w14:paraId="2375EC6A">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03" w:name="_Toc24110"/>
      <w:bookmarkStart w:id="604" w:name="_Toc7017"/>
      <w:bookmarkStart w:id="605" w:name="_Toc23200"/>
      <w:bookmarkStart w:id="606" w:name="_Toc351203490"/>
      <w:r>
        <w:rPr>
          <w:rFonts w:hint="eastAsia" w:ascii="黑体" w:hAnsi="黑体" w:eastAsia="黑体"/>
          <w:b w:val="0"/>
          <w:color w:val="000000" w:themeColor="text1"/>
          <w:sz w:val="28"/>
          <w:szCs w:val="28"/>
          <w:highlight w:val="none"/>
          <w14:textFill>
            <w14:solidFill>
              <w14:schemeClr w14:val="tx1"/>
            </w14:solidFill>
          </w14:textFill>
        </w:rPr>
        <w:t>九</w:t>
      </w:r>
      <w:r>
        <w:rPr>
          <w:rFonts w:ascii="黑体" w:hAnsi="黑体" w:eastAsia="黑体"/>
          <w:b w:val="0"/>
          <w:color w:val="000000" w:themeColor="text1"/>
          <w:sz w:val="28"/>
          <w:szCs w:val="28"/>
          <w:highlight w:val="none"/>
          <w14:textFill>
            <w14:solidFill>
              <w14:schemeClr w14:val="tx1"/>
            </w14:solidFill>
          </w14:textFill>
        </w:rPr>
        <w:t>、签订地点</w:t>
      </w:r>
      <w:bookmarkEnd w:id="603"/>
      <w:bookmarkEnd w:id="604"/>
      <w:bookmarkEnd w:id="605"/>
      <w:bookmarkEnd w:id="606"/>
    </w:p>
    <w:p w14:paraId="2E494DF6">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本合同在</w:t>
      </w:r>
      <w:r>
        <w:rPr>
          <w:rFonts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签订。</w:t>
      </w:r>
    </w:p>
    <w:p w14:paraId="3F7AE05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07" w:name="_Toc13975"/>
      <w:bookmarkStart w:id="608" w:name="_Toc6572"/>
      <w:bookmarkStart w:id="609" w:name="_Toc5992"/>
      <w:bookmarkStart w:id="610" w:name="_Toc351203491"/>
      <w:r>
        <w:rPr>
          <w:rFonts w:ascii="黑体" w:hAnsi="黑体" w:eastAsia="黑体"/>
          <w:b w:val="0"/>
          <w:color w:val="000000" w:themeColor="text1"/>
          <w:sz w:val="28"/>
          <w:szCs w:val="28"/>
          <w:highlight w:val="none"/>
          <w14:textFill>
            <w14:solidFill>
              <w14:schemeClr w14:val="tx1"/>
            </w14:solidFill>
          </w14:textFill>
        </w:rPr>
        <w:t>十、补充协议</w:t>
      </w:r>
      <w:bookmarkEnd w:id="607"/>
      <w:bookmarkEnd w:id="608"/>
      <w:bookmarkEnd w:id="609"/>
      <w:bookmarkEnd w:id="610"/>
    </w:p>
    <w:p w14:paraId="57A917AA">
      <w:pPr>
        <w:spacing w:line="360" w:lineRule="auto"/>
        <w:ind w:firstLine="420" w:firstLineChars="200"/>
        <w:jc w:val="left"/>
        <w:rPr>
          <w:rFonts w:ascii="宋体" w:hAnsi="宋体"/>
          <w:b/>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合同未尽事宜，合同当事人另行签订补充协议</w:t>
      </w:r>
      <w:r>
        <w:rPr>
          <w:rFonts w:hint="eastAsia" w:ascii="宋体" w:hAnsi="宋体"/>
          <w:bCs/>
          <w:color w:val="000000" w:themeColor="text1"/>
          <w:sz w:val="21"/>
          <w:szCs w:val="21"/>
          <w:highlight w:val="none"/>
          <w14:textFill>
            <w14:solidFill>
              <w14:schemeClr w14:val="tx1"/>
            </w14:solidFill>
          </w14:textFill>
        </w:rPr>
        <w:t>，</w:t>
      </w:r>
      <w:r>
        <w:rPr>
          <w:rFonts w:ascii="宋体" w:hAnsi="宋体"/>
          <w:bCs/>
          <w:color w:val="000000" w:themeColor="text1"/>
          <w:sz w:val="21"/>
          <w:szCs w:val="21"/>
          <w:highlight w:val="none"/>
          <w14:textFill>
            <w14:solidFill>
              <w14:schemeClr w14:val="tx1"/>
            </w14:solidFill>
          </w14:textFill>
        </w:rPr>
        <w:t>补充协议是合同的组成部分。</w:t>
      </w:r>
    </w:p>
    <w:p w14:paraId="117B6FCB">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11" w:name="_Toc6639"/>
      <w:bookmarkStart w:id="612" w:name="_Toc4029"/>
      <w:bookmarkStart w:id="613" w:name="_Toc351203492"/>
      <w:bookmarkStart w:id="614" w:name="_Toc343"/>
      <w:r>
        <w:rPr>
          <w:rFonts w:ascii="黑体" w:hAnsi="黑体" w:eastAsia="黑体"/>
          <w:b w:val="0"/>
          <w:color w:val="000000" w:themeColor="text1"/>
          <w:sz w:val="28"/>
          <w:szCs w:val="28"/>
          <w:highlight w:val="none"/>
          <w14:textFill>
            <w14:solidFill>
              <w14:schemeClr w14:val="tx1"/>
            </w14:solidFill>
          </w14:textFill>
        </w:rPr>
        <w:t>十</w:t>
      </w:r>
      <w:r>
        <w:rPr>
          <w:rFonts w:hint="eastAsia" w:ascii="黑体" w:hAnsi="黑体" w:eastAsia="黑体"/>
          <w:b w:val="0"/>
          <w:color w:val="000000" w:themeColor="text1"/>
          <w:sz w:val="28"/>
          <w:szCs w:val="28"/>
          <w:highlight w:val="none"/>
          <w14:textFill>
            <w14:solidFill>
              <w14:schemeClr w14:val="tx1"/>
            </w14:solidFill>
          </w14:textFill>
        </w:rPr>
        <w:t>一</w:t>
      </w:r>
      <w:r>
        <w:rPr>
          <w:rFonts w:ascii="黑体" w:hAnsi="黑体" w:eastAsia="黑体"/>
          <w:b w:val="0"/>
          <w:color w:val="000000" w:themeColor="text1"/>
          <w:sz w:val="28"/>
          <w:szCs w:val="28"/>
          <w:highlight w:val="none"/>
          <w14:textFill>
            <w14:solidFill>
              <w14:schemeClr w14:val="tx1"/>
            </w14:solidFill>
          </w14:textFill>
        </w:rPr>
        <w:t>、合同生效</w:t>
      </w:r>
      <w:bookmarkEnd w:id="611"/>
      <w:bookmarkEnd w:id="612"/>
      <w:bookmarkEnd w:id="613"/>
      <w:bookmarkEnd w:id="614"/>
    </w:p>
    <w:p w14:paraId="77C8707A">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本合同自</w:t>
      </w:r>
      <w:r>
        <w:rPr>
          <w:rFonts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生效。</w:t>
      </w:r>
    </w:p>
    <w:p w14:paraId="5B2F367D">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15" w:name="_Toc351203493"/>
      <w:bookmarkStart w:id="616" w:name="_Toc29739"/>
      <w:bookmarkStart w:id="617" w:name="_Toc29153"/>
      <w:bookmarkStart w:id="618" w:name="_Toc30949"/>
      <w:r>
        <w:rPr>
          <w:rFonts w:ascii="黑体" w:hAnsi="黑体" w:eastAsia="黑体"/>
          <w:b w:val="0"/>
          <w:color w:val="000000" w:themeColor="text1"/>
          <w:sz w:val="28"/>
          <w:szCs w:val="28"/>
          <w:highlight w:val="none"/>
          <w14:textFill>
            <w14:solidFill>
              <w14:schemeClr w14:val="tx1"/>
            </w14:solidFill>
          </w14:textFill>
        </w:rPr>
        <w:t>十</w:t>
      </w:r>
      <w:r>
        <w:rPr>
          <w:rFonts w:hint="eastAsia" w:ascii="黑体" w:hAnsi="黑体" w:eastAsia="黑体"/>
          <w:b w:val="0"/>
          <w:color w:val="000000" w:themeColor="text1"/>
          <w:sz w:val="28"/>
          <w:szCs w:val="28"/>
          <w:highlight w:val="none"/>
          <w14:textFill>
            <w14:solidFill>
              <w14:schemeClr w14:val="tx1"/>
            </w14:solidFill>
          </w14:textFill>
        </w:rPr>
        <w:t>二</w:t>
      </w:r>
      <w:r>
        <w:rPr>
          <w:rFonts w:ascii="黑体" w:hAnsi="黑体" w:eastAsia="黑体"/>
          <w:b w:val="0"/>
          <w:color w:val="000000" w:themeColor="text1"/>
          <w:sz w:val="28"/>
          <w:szCs w:val="28"/>
          <w:highlight w:val="none"/>
          <w14:textFill>
            <w14:solidFill>
              <w14:schemeClr w14:val="tx1"/>
            </w14:solidFill>
          </w14:textFill>
        </w:rPr>
        <w:t>、合同份数</w:t>
      </w:r>
      <w:bookmarkEnd w:id="615"/>
      <w:bookmarkEnd w:id="616"/>
      <w:bookmarkEnd w:id="617"/>
      <w:bookmarkEnd w:id="618"/>
    </w:p>
    <w:p w14:paraId="7EDE28C9">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本合同</w:t>
      </w:r>
      <w:r>
        <w:rPr>
          <w:rFonts w:hint="eastAsia" w:ascii="宋体" w:hAnsi="宋体"/>
          <w:bCs/>
          <w:color w:val="000000" w:themeColor="text1"/>
          <w:sz w:val="21"/>
          <w:szCs w:val="21"/>
          <w:highlight w:val="none"/>
          <w14:textFill>
            <w14:solidFill>
              <w14:schemeClr w14:val="tx1"/>
            </w14:solidFill>
          </w14:textFill>
        </w:rPr>
        <w:t>正本</w:t>
      </w:r>
      <w:r>
        <w:rPr>
          <w:rFonts w:ascii="宋体" w:hAnsi="宋体"/>
          <w:bCs/>
          <w:color w:val="000000" w:themeColor="text1"/>
          <w:sz w:val="21"/>
          <w:szCs w:val="21"/>
          <w:highlight w:val="none"/>
          <w14:textFill>
            <w14:solidFill>
              <w14:schemeClr w14:val="tx1"/>
            </w14:solidFill>
          </w14:textFill>
        </w:rPr>
        <w:t>一式</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份</w:t>
      </w:r>
      <w:r>
        <w:rPr>
          <w:rFonts w:hint="eastAsia" w:ascii="宋体" w:hAnsi="宋体"/>
          <w:bCs/>
          <w:color w:val="000000" w:themeColor="text1"/>
          <w:sz w:val="21"/>
          <w:szCs w:val="21"/>
          <w:highlight w:val="none"/>
          <w14:textFill>
            <w14:solidFill>
              <w14:schemeClr w14:val="tx1"/>
            </w14:solidFill>
          </w14:textFill>
        </w:rPr>
        <w:t>、副本</w:t>
      </w:r>
      <w:r>
        <w:rPr>
          <w:rFonts w:ascii="宋体" w:hAnsi="宋体"/>
          <w:bCs/>
          <w:color w:val="000000" w:themeColor="text1"/>
          <w:sz w:val="21"/>
          <w:szCs w:val="21"/>
          <w:highlight w:val="none"/>
          <w14:textFill>
            <w14:solidFill>
              <w14:schemeClr w14:val="tx1"/>
            </w14:solidFill>
          </w14:textFill>
        </w:rPr>
        <w:t>一式</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份，均具有同等法律效力，发包人执</w:t>
      </w:r>
      <w:r>
        <w:rPr>
          <w:rFonts w:hint="eastAsia" w:ascii="宋体" w:hAnsi="宋体"/>
          <w:bCs/>
          <w:color w:val="000000" w:themeColor="text1"/>
          <w:sz w:val="21"/>
          <w:szCs w:val="21"/>
          <w:highlight w:val="none"/>
          <w14:textFill>
            <w14:solidFill>
              <w14:schemeClr w14:val="tx1"/>
            </w14:solidFill>
          </w14:textFill>
        </w:rPr>
        <w:t>正本</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份</w:t>
      </w:r>
      <w:r>
        <w:rPr>
          <w:rFonts w:hint="eastAsia" w:ascii="宋体" w:hAnsi="宋体"/>
          <w:bCs/>
          <w:color w:val="000000" w:themeColor="text1"/>
          <w:sz w:val="21"/>
          <w:szCs w:val="21"/>
          <w:highlight w:val="none"/>
          <w14:textFill>
            <w14:solidFill>
              <w14:schemeClr w14:val="tx1"/>
            </w14:solidFill>
          </w14:textFill>
        </w:rPr>
        <w:t>、副本</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份</w:t>
      </w:r>
      <w:r>
        <w:rPr>
          <w:rFonts w:ascii="宋体" w:hAnsi="宋体"/>
          <w:bCs/>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14:textFill>
            <w14:solidFill>
              <w14:schemeClr w14:val="tx1"/>
            </w14:solidFill>
          </w14:textFill>
        </w:rPr>
        <w:t>设计</w:t>
      </w:r>
      <w:r>
        <w:rPr>
          <w:rFonts w:ascii="宋体" w:hAnsi="宋体"/>
          <w:bCs/>
          <w:color w:val="000000" w:themeColor="text1"/>
          <w:sz w:val="21"/>
          <w:szCs w:val="21"/>
          <w:highlight w:val="none"/>
          <w14:textFill>
            <w14:solidFill>
              <w14:schemeClr w14:val="tx1"/>
            </w14:solidFill>
          </w14:textFill>
        </w:rPr>
        <w:t>人执</w:t>
      </w:r>
      <w:r>
        <w:rPr>
          <w:rFonts w:hint="eastAsia" w:ascii="宋体" w:hAnsi="宋体"/>
          <w:bCs/>
          <w:color w:val="000000" w:themeColor="text1"/>
          <w:sz w:val="21"/>
          <w:szCs w:val="21"/>
          <w:highlight w:val="none"/>
          <w14:textFill>
            <w14:solidFill>
              <w14:schemeClr w14:val="tx1"/>
            </w14:solidFill>
          </w14:textFill>
        </w:rPr>
        <w:t>正本</w:t>
      </w:r>
      <w:r>
        <w:rPr>
          <w:rFonts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u w:val="singl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份</w:t>
      </w:r>
      <w:r>
        <w:rPr>
          <w:rFonts w:hint="eastAsia" w:ascii="宋体" w:hAnsi="宋体"/>
          <w:bCs/>
          <w:color w:val="000000" w:themeColor="text1"/>
          <w:sz w:val="21"/>
          <w:szCs w:val="21"/>
          <w:highlight w:val="none"/>
          <w14:textFill>
            <w14:solidFill>
              <w14:schemeClr w14:val="tx1"/>
            </w14:solidFill>
          </w14:textFill>
        </w:rPr>
        <w:t>、副本</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份</w:t>
      </w:r>
      <w:r>
        <w:rPr>
          <w:rFonts w:ascii="宋体" w:hAnsi="宋体"/>
          <w:bCs/>
          <w:color w:val="000000" w:themeColor="text1"/>
          <w:sz w:val="21"/>
          <w:szCs w:val="21"/>
          <w:highlight w:val="none"/>
          <w14:textFill>
            <w14:solidFill>
              <w14:schemeClr w14:val="tx1"/>
            </w14:solidFill>
          </w14:textFill>
        </w:rPr>
        <w:t>。</w:t>
      </w:r>
    </w:p>
    <w:p w14:paraId="0265914C">
      <w:pPr>
        <w:spacing w:line="360" w:lineRule="auto"/>
        <w:jc w:val="left"/>
        <w:rPr>
          <w:rFonts w:ascii="宋体" w:hAnsi="宋体"/>
          <w:color w:val="000000" w:themeColor="text1"/>
          <w:sz w:val="21"/>
          <w:szCs w:val="21"/>
          <w:highlight w:val="none"/>
          <w14:textFill>
            <w14:solidFill>
              <w14:schemeClr w14:val="tx1"/>
            </w14:solidFill>
          </w14:textFill>
        </w:rPr>
      </w:pPr>
    </w:p>
    <w:p w14:paraId="125F5DD2">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w:t>
      </w:r>
      <w:r>
        <w:rPr>
          <w:rFonts w:hint="eastAsia" w:ascii="宋体" w:hAnsi="宋体"/>
          <w:color w:val="000000" w:themeColor="text1"/>
          <w:sz w:val="21"/>
          <w:szCs w:val="21"/>
          <w:highlight w:val="none"/>
          <w14:textFill>
            <w14:solidFill>
              <w14:schemeClr w14:val="tx1"/>
            </w14:solidFill>
          </w14:textFill>
        </w:rPr>
        <w:t xml:space="preserve">：  （盖章）                    设计人：  （盖章）                                           </w:t>
      </w:r>
    </w:p>
    <w:p w14:paraId="093792C9">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法定代表人或其委托代理人：           法定代表人或其委托代理人：     </w:t>
      </w:r>
    </w:p>
    <w:p w14:paraId="6F070AD4">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（签字）                             （签字）                        </w:t>
      </w:r>
    </w:p>
    <w:p w14:paraId="1A0282EE">
      <w:pPr>
        <w:tabs>
          <w:tab w:val="left" w:pos="4410"/>
        </w:tabs>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组织机构代码：</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组织机构代码：</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101512D6">
      <w:pPr>
        <w:tabs>
          <w:tab w:val="left" w:pos="4410"/>
        </w:tabs>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纳税人识别码：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纳税人识别码：</w:t>
      </w:r>
      <w:r>
        <w:rPr>
          <w:rFonts w:hint="eastAsia" w:ascii="宋体" w:hAnsi="宋体"/>
          <w:color w:val="000000" w:themeColor="text1"/>
          <w:sz w:val="21"/>
          <w:szCs w:val="21"/>
          <w:highlight w:val="none"/>
          <w:u w:val="single"/>
          <w14:textFill>
            <w14:solidFill>
              <w14:schemeClr w14:val="tx1"/>
            </w14:solidFill>
          </w14:textFill>
        </w:rPr>
        <w:t xml:space="preserve">                 </w:t>
      </w:r>
    </w:p>
    <w:p w14:paraId="48DFAA10">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地  址：</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地  址：</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03EE8AD7">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邮政编码：</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邮政编码：</w:t>
      </w:r>
      <w:r>
        <w:rPr>
          <w:rFonts w:ascii="宋体" w:hAnsi="宋体"/>
          <w:color w:val="000000" w:themeColor="text1"/>
          <w:sz w:val="21"/>
          <w:szCs w:val="21"/>
          <w:highlight w:val="none"/>
          <w:u w:val="single"/>
          <w14:textFill>
            <w14:solidFill>
              <w14:schemeClr w14:val="tx1"/>
            </w14:solidFill>
          </w14:textFill>
        </w:rPr>
        <w:t xml:space="preserve">     </w:t>
      </w:r>
    </w:p>
    <w:p w14:paraId="10E67C57">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法定代表人：</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法定代表人：</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567E96A0">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委托代理人：</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委托代理人：</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3186983F">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电  话：</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电  话：</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460BE42D">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传  真：</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传  真：</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73FEFC84">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电子信箱：</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电子信箱：</w:t>
      </w:r>
      <w:r>
        <w:rPr>
          <w:rFonts w:ascii="宋体" w:hAnsi="宋体"/>
          <w:color w:val="000000" w:themeColor="text1"/>
          <w:sz w:val="21"/>
          <w:szCs w:val="21"/>
          <w:highlight w:val="none"/>
          <w:u w:val="single"/>
          <w14:textFill>
            <w14:solidFill>
              <w14:schemeClr w14:val="tx1"/>
            </w14:solidFill>
          </w14:textFill>
        </w:rPr>
        <w:t xml:space="preserve">     </w:t>
      </w:r>
    </w:p>
    <w:p w14:paraId="2694A3D5">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开户银行：</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开户银行：</w:t>
      </w:r>
      <w:r>
        <w:rPr>
          <w:rFonts w:ascii="宋体" w:hAnsi="宋体"/>
          <w:color w:val="000000" w:themeColor="text1"/>
          <w:sz w:val="21"/>
          <w:szCs w:val="21"/>
          <w:highlight w:val="none"/>
          <w:u w:val="single"/>
          <w14:textFill>
            <w14:solidFill>
              <w14:schemeClr w14:val="tx1"/>
            </w14:solidFill>
          </w14:textFill>
        </w:rPr>
        <w:t xml:space="preserve">     </w:t>
      </w:r>
    </w:p>
    <w:p w14:paraId="1EC59857">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账  号：</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账</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号：</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73932EE8">
      <w:pPr>
        <w:tabs>
          <w:tab w:val="left" w:pos="510"/>
        </w:tabs>
        <w:adjustRightInd/>
        <w:spacing w:line="360" w:lineRule="auto"/>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时  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        时  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6445B95F">
      <w:pPr>
        <w:tabs>
          <w:tab w:val="left" w:pos="510"/>
        </w:tabs>
        <w:adjustRightInd/>
        <w:spacing w:line="360" w:lineRule="auto"/>
        <w:jc w:val="left"/>
        <w:textAlignment w:val="auto"/>
        <w:rPr>
          <w:rFonts w:ascii="宋体" w:hAnsi="宋体"/>
          <w:color w:val="000000" w:themeColor="text1"/>
          <w:sz w:val="21"/>
          <w:szCs w:val="21"/>
          <w:highlight w:val="none"/>
          <w14:textFill>
            <w14:solidFill>
              <w14:schemeClr w14:val="tx1"/>
            </w14:solidFill>
          </w14:textFill>
        </w:rPr>
      </w:pPr>
    </w:p>
    <w:p w14:paraId="2B96A8C7">
      <w:pPr>
        <w:pStyle w:val="4"/>
        <w:jc w:val="center"/>
        <w:rPr>
          <w:rFonts w:ascii="黑体" w:hAnsi="黑体" w:eastAsia="黑体"/>
          <w:b w:val="0"/>
          <w:color w:val="000000" w:themeColor="text1"/>
          <w:sz w:val="28"/>
          <w:szCs w:val="28"/>
          <w:highlight w:val="none"/>
          <w14:textFill>
            <w14:solidFill>
              <w14:schemeClr w14:val="tx1"/>
            </w14:solidFill>
          </w14:textFill>
        </w:rPr>
      </w:pPr>
      <w:bookmarkStart w:id="619" w:name="_Toc351203494"/>
      <w:bookmarkStart w:id="620" w:name="_Toc27299"/>
      <w:bookmarkStart w:id="621" w:name="_Toc1146"/>
      <w:bookmarkStart w:id="622" w:name="_Toc13554"/>
      <w:r>
        <w:rPr>
          <w:rFonts w:ascii="黑体" w:hAnsi="黑体" w:eastAsia="黑体"/>
          <w:b w:val="0"/>
          <w:color w:val="000000" w:themeColor="text1"/>
          <w:sz w:val="28"/>
          <w:szCs w:val="28"/>
          <w:highlight w:val="none"/>
          <w14:textFill>
            <w14:solidFill>
              <w14:schemeClr w14:val="tx1"/>
            </w14:solidFill>
          </w14:textFill>
        </w:rPr>
        <w:t>通用合同条款</w:t>
      </w:r>
      <w:bookmarkEnd w:id="619"/>
      <w:bookmarkStart w:id="623" w:name="_Toc337558727"/>
      <w:r>
        <w:rPr>
          <w:rFonts w:hint="eastAsia" w:ascii="黑体" w:hAnsi="黑体" w:eastAsia="黑体"/>
          <w:b w:val="0"/>
          <w:color w:val="000000" w:themeColor="text1"/>
          <w:sz w:val="28"/>
          <w:szCs w:val="28"/>
          <w:highlight w:val="none"/>
          <w14:textFill>
            <w14:solidFill>
              <w14:schemeClr w14:val="tx1"/>
            </w14:solidFill>
          </w14:textFill>
        </w:rPr>
        <w:t>（适用</w:t>
      </w:r>
      <w:r>
        <w:rPr>
          <w:rFonts w:hint="eastAsia" w:ascii="黑体" w:hAnsi="黑体" w:eastAsia="黑体"/>
          <w:b w:val="0"/>
          <w:color w:val="000000" w:themeColor="text1"/>
          <w:sz w:val="28"/>
          <w:szCs w:val="28"/>
          <w:highlight w:val="none"/>
          <w:lang w:val="en-US" w:eastAsia="zh-CN"/>
          <w14:textFill>
            <w14:solidFill>
              <w14:schemeClr w14:val="tx1"/>
            </w14:solidFill>
          </w14:textFill>
        </w:rPr>
        <w:t>于</w:t>
      </w:r>
      <w:r>
        <w:rPr>
          <w:rFonts w:hint="eastAsia" w:ascii="黑体" w:hAnsi="黑体" w:eastAsia="黑体"/>
          <w:b w:val="0"/>
          <w:color w:val="000000" w:themeColor="text1"/>
          <w:sz w:val="28"/>
          <w:szCs w:val="28"/>
          <w:highlight w:val="none"/>
          <w14:textFill>
            <w14:solidFill>
              <w14:schemeClr w14:val="tx1"/>
            </w14:solidFill>
          </w14:textFill>
        </w:rPr>
        <w:t>房屋建筑工程）</w:t>
      </w:r>
      <w:bookmarkEnd w:id="620"/>
      <w:bookmarkEnd w:id="621"/>
      <w:bookmarkEnd w:id="622"/>
    </w:p>
    <w:bookmarkEnd w:id="623"/>
    <w:p w14:paraId="1787DCBC">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624" w:name="_Toc351203495"/>
      <w:r>
        <w:rPr>
          <w:rFonts w:ascii="黑体" w:hAnsi="黑体" w:eastAsia="黑体" w:cs="Times New Roman"/>
          <w:b w:val="0"/>
          <w:color w:val="000000" w:themeColor="text1"/>
          <w:highlight w:val="none"/>
          <w14:textFill>
            <w14:solidFill>
              <w14:schemeClr w14:val="tx1"/>
            </w14:solidFill>
          </w14:textFill>
        </w:rPr>
        <w:t>1.</w:t>
      </w:r>
      <w:bookmarkStart w:id="625" w:name="_Toc303538973"/>
      <w:bookmarkEnd w:id="625"/>
      <w:bookmarkStart w:id="626" w:name="_Toc303538975"/>
      <w:bookmarkEnd w:id="626"/>
      <w:bookmarkStart w:id="627" w:name="_Toc303538976"/>
      <w:bookmarkEnd w:id="627"/>
      <w:bookmarkStart w:id="628" w:name="_Toc303538974"/>
      <w:bookmarkEnd w:id="628"/>
      <w:bookmarkStart w:id="629" w:name="_Toc303538972"/>
      <w:bookmarkEnd w:id="629"/>
      <w:bookmarkStart w:id="630" w:name="_Toc296346528"/>
      <w:bookmarkStart w:id="631" w:name="_Toc296503027"/>
      <w:r>
        <w:rPr>
          <w:rFonts w:ascii="黑体" w:hAnsi="黑体" w:eastAsia="黑体" w:cs="Times New Roman"/>
          <w:b w:val="0"/>
          <w:color w:val="000000" w:themeColor="text1"/>
          <w:highlight w:val="none"/>
          <w14:textFill>
            <w14:solidFill>
              <w14:schemeClr w14:val="tx1"/>
            </w14:solidFill>
          </w14:textFill>
        </w:rPr>
        <w:t>一般约定</w:t>
      </w:r>
      <w:bookmarkEnd w:id="624"/>
      <w:bookmarkEnd w:id="630"/>
      <w:bookmarkEnd w:id="631"/>
    </w:p>
    <w:p w14:paraId="37CA6449">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32" w:name="_Toc296503028"/>
      <w:bookmarkStart w:id="633" w:name="_Toc337558728"/>
      <w:bookmarkStart w:id="634" w:name="_Toc296346529"/>
      <w:bookmarkStart w:id="635" w:name="_Toc351203496"/>
      <w:r>
        <w:rPr>
          <w:rFonts w:ascii="宋体" w:hAnsi="宋体"/>
          <w:b w:val="0"/>
          <w:color w:val="000000" w:themeColor="text1"/>
          <w:sz w:val="21"/>
          <w:szCs w:val="21"/>
          <w:highlight w:val="none"/>
          <w14:textFill>
            <w14:solidFill>
              <w14:schemeClr w14:val="tx1"/>
            </w14:solidFill>
          </w14:textFill>
        </w:rPr>
        <w:t>1.1</w:t>
      </w: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词语定义</w:t>
      </w:r>
      <w:bookmarkEnd w:id="632"/>
      <w:bookmarkEnd w:id="633"/>
      <w:bookmarkEnd w:id="634"/>
      <w:r>
        <w:rPr>
          <w:rFonts w:ascii="宋体" w:hAnsi="宋体"/>
          <w:b w:val="0"/>
          <w:color w:val="000000" w:themeColor="text1"/>
          <w:sz w:val="21"/>
          <w:szCs w:val="21"/>
          <w:highlight w:val="none"/>
          <w14:textFill>
            <w14:solidFill>
              <w14:schemeClr w14:val="tx1"/>
            </w14:solidFill>
          </w14:textFill>
        </w:rPr>
        <w:t>与解释</w:t>
      </w:r>
      <w:bookmarkEnd w:id="635"/>
    </w:p>
    <w:p w14:paraId="3480B28F">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合同协议书、通用合同条款、专用合同条款中的下列词语具有本款所赋予的含义：</w:t>
      </w:r>
    </w:p>
    <w:p w14:paraId="6CAAB3E3">
      <w:pPr>
        <w:autoSpaceDE w:val="0"/>
        <w:autoSpaceDN w:val="0"/>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1.1.1 合同</w:t>
      </w:r>
    </w:p>
    <w:p w14:paraId="555C90E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1.1.1.1 合同：是指根据法律规定和合同当事人约定具有约束力的文件，构成合同的文件包括合同协议书、专用合同条款及其附件、通用合同条款</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中标通知书（如果有）、投标函及其附录（如果有）、</w:t>
      </w:r>
      <w:r>
        <w:rPr>
          <w:rFonts w:hint="eastAsia" w:ascii="宋体" w:hAnsi="宋体"/>
          <w:color w:val="000000" w:themeColor="text1"/>
          <w:sz w:val="21"/>
          <w:szCs w:val="21"/>
          <w:highlight w:val="none"/>
          <w14:textFill>
            <w14:solidFill>
              <w14:schemeClr w14:val="tx1"/>
            </w14:solidFill>
          </w14:textFill>
        </w:rPr>
        <w:t>发包人要求、</w:t>
      </w:r>
      <w:r>
        <w:rPr>
          <w:rFonts w:ascii="宋体" w:hAnsi="宋体"/>
          <w:color w:val="000000" w:themeColor="text1"/>
          <w:sz w:val="21"/>
          <w:szCs w:val="21"/>
          <w:highlight w:val="none"/>
          <w14:textFill>
            <w14:solidFill>
              <w14:schemeClr w14:val="tx1"/>
            </w14:solidFill>
          </w14:textFill>
        </w:rPr>
        <w:t>技术标准</w:t>
      </w:r>
      <w:r>
        <w:rPr>
          <w:rFonts w:hint="eastAsia" w:ascii="宋体" w:hAnsi="宋体"/>
          <w:color w:val="000000" w:themeColor="text1"/>
          <w:sz w:val="21"/>
          <w:szCs w:val="21"/>
          <w:highlight w:val="none"/>
          <w14:textFill>
            <w14:solidFill>
              <w14:schemeClr w14:val="tx1"/>
            </w14:solidFill>
          </w14:textFill>
        </w:rPr>
        <w:t>、发包人提供的上一阶段图纸（如果有）</w:t>
      </w:r>
      <w:r>
        <w:rPr>
          <w:rFonts w:ascii="宋体" w:hAnsi="宋体"/>
          <w:color w:val="000000" w:themeColor="text1"/>
          <w:sz w:val="21"/>
          <w:szCs w:val="21"/>
          <w:highlight w:val="none"/>
          <w14:textFill>
            <w14:solidFill>
              <w14:schemeClr w14:val="tx1"/>
            </w14:solidFill>
          </w14:textFill>
        </w:rPr>
        <w:t>以及其他合同文件。</w:t>
      </w:r>
    </w:p>
    <w:p w14:paraId="0D56A92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1.1.1.2 合同协议书：是指构成合同的由发包人和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人共同签署的称为“合同协议书”的书面文件</w:t>
      </w:r>
      <w:r>
        <w:rPr>
          <w:rFonts w:hint="eastAsia" w:ascii="宋体" w:hAnsi="宋体"/>
          <w:color w:val="000000" w:themeColor="text1"/>
          <w:sz w:val="21"/>
          <w:szCs w:val="21"/>
          <w:highlight w:val="none"/>
          <w14:textFill>
            <w14:solidFill>
              <w14:schemeClr w14:val="tx1"/>
            </w14:solidFill>
          </w14:textFill>
        </w:rPr>
        <w:t>。</w:t>
      </w:r>
    </w:p>
    <w:p w14:paraId="210417A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中标通知书：是指构成合同的</w:t>
      </w:r>
      <w:r>
        <w:rPr>
          <w:rFonts w:hint="eastAsia" w:ascii="宋体" w:hAnsi="宋体"/>
          <w:color w:val="000000" w:themeColor="text1"/>
          <w:sz w:val="21"/>
          <w:szCs w:val="21"/>
          <w:highlight w:val="none"/>
          <w14:textFill>
            <w14:solidFill>
              <w14:schemeClr w14:val="tx1"/>
            </w14:solidFill>
          </w14:textFill>
        </w:rPr>
        <w:t>由</w:t>
      </w:r>
      <w:r>
        <w:rPr>
          <w:rFonts w:ascii="宋体" w:hAnsi="宋体"/>
          <w:color w:val="000000" w:themeColor="text1"/>
          <w:sz w:val="21"/>
          <w:szCs w:val="21"/>
          <w:highlight w:val="none"/>
          <w14:textFill>
            <w14:solidFill>
              <w14:schemeClr w14:val="tx1"/>
            </w14:solidFill>
          </w14:textFill>
        </w:rPr>
        <w:t>发包人通知</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人中标的书面文件。</w:t>
      </w:r>
    </w:p>
    <w:p w14:paraId="28644734">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投标函：是指构成合同的由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人填写并签署的用于投标的称为“投标函”的文件。</w:t>
      </w:r>
    </w:p>
    <w:p w14:paraId="01CB4DBB">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投标函附录：是指构成合同的附在投标函后的称为“投标函附录”的文件。</w:t>
      </w:r>
    </w:p>
    <w:p w14:paraId="0EBD439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1.1.1.6 发包人要求：是指构成合同文件组成部分的，由发包人就工程项目的目的、范围、功能要求及工程设计文件审查的范围和内容等提出相应要求的书面文件，又称设计任务书。</w:t>
      </w:r>
    </w:p>
    <w:p w14:paraId="5A12BAA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7</w:t>
      </w:r>
      <w:r>
        <w:rPr>
          <w:rFonts w:ascii="宋体" w:hAnsi="宋体"/>
          <w:color w:val="000000" w:themeColor="text1"/>
          <w:sz w:val="21"/>
          <w:szCs w:val="21"/>
          <w:highlight w:val="none"/>
          <w14:textFill>
            <w14:solidFill>
              <w14:schemeClr w14:val="tx1"/>
            </w14:solidFill>
          </w14:textFill>
        </w:rPr>
        <w:t xml:space="preserve"> 技术标准：是指构成合同的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应当遵守的或指导</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的国家、行业或地方的技术标准和要求，以及合同约定的技术标准和要求。</w:t>
      </w:r>
    </w:p>
    <w:p w14:paraId="0F510BC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8 </w:t>
      </w:r>
      <w:r>
        <w:rPr>
          <w:rFonts w:ascii="宋体" w:hAnsi="宋体"/>
          <w:color w:val="000000" w:themeColor="text1"/>
          <w:sz w:val="21"/>
          <w:szCs w:val="21"/>
          <w:highlight w:val="none"/>
          <w14:textFill>
            <w14:solidFill>
              <w14:schemeClr w14:val="tx1"/>
            </w14:solidFill>
          </w14:textFill>
        </w:rPr>
        <w:t>其他合同文件：是指经合同当事人约定的与工程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有关的具有合同约束力的文件或书面协议。合同当事人可以在专用合同条款中进行约定。</w:t>
      </w:r>
    </w:p>
    <w:p w14:paraId="0F5FE4A8">
      <w:pPr>
        <w:autoSpaceDE w:val="0"/>
        <w:autoSpaceDN w:val="0"/>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1.1.2 合同当事人及其他相关方</w:t>
      </w:r>
    </w:p>
    <w:p w14:paraId="6FF2C75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1.1.2.1 合同当事人：是指发包人和（或）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p>
    <w:p w14:paraId="20E6620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1.1.2.2 发包人：是指与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人签订合同协议书的当事人及取得该当事人资格的合法继承人。</w:t>
      </w:r>
    </w:p>
    <w:p w14:paraId="383E5D8F">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1.1.2.3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人：是指与发包人签订合同协议书的，具有相应工程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资质的当事人及取得该当事人资格的合法继承人。</w:t>
      </w:r>
    </w:p>
    <w:p w14:paraId="1A63D28E">
      <w:pPr>
        <w:spacing w:line="360" w:lineRule="auto"/>
        <w:ind w:firstLine="409" w:firstLineChars="195"/>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w:t>
      </w:r>
      <w:r>
        <w:rPr>
          <w:rFonts w:hint="eastAsia" w:ascii="宋体" w:hAnsi="宋体"/>
          <w:color w:val="000000" w:themeColor="text1"/>
          <w:sz w:val="21"/>
          <w:szCs w:val="21"/>
          <w:highlight w:val="none"/>
          <w14:textFill>
            <w14:solidFill>
              <w14:schemeClr w14:val="tx1"/>
            </w14:solidFill>
          </w14:textFill>
        </w:rPr>
        <w:t xml:space="preserve">4 </w:t>
      </w:r>
      <w:r>
        <w:rPr>
          <w:rFonts w:ascii="宋体" w:hAnsi="宋体"/>
          <w:color w:val="000000" w:themeColor="text1"/>
          <w:sz w:val="21"/>
          <w:szCs w:val="21"/>
          <w:highlight w:val="none"/>
          <w14:textFill>
            <w14:solidFill>
              <w14:schemeClr w14:val="tx1"/>
            </w14:solidFill>
          </w14:textFill>
        </w:rPr>
        <w:t>分包人：</w:t>
      </w:r>
      <w:bookmarkStart w:id="636" w:name="#go5"/>
      <w:bookmarkEnd w:id="636"/>
      <w:r>
        <w:rPr>
          <w:rFonts w:ascii="宋体" w:hAnsi="宋体"/>
          <w:color w:val="000000" w:themeColor="text1"/>
          <w:sz w:val="21"/>
          <w:szCs w:val="21"/>
          <w:highlight w:val="none"/>
          <w14:textFill>
            <w14:solidFill>
              <w14:schemeClr w14:val="tx1"/>
            </w14:solidFill>
          </w14:textFill>
        </w:rPr>
        <w:t>是指</w:t>
      </w:r>
      <w:r>
        <w:rPr>
          <w:rFonts w:hint="eastAsia" w:ascii="宋体" w:hAnsi="宋体"/>
          <w:color w:val="000000" w:themeColor="text1"/>
          <w:sz w:val="21"/>
          <w:szCs w:val="21"/>
          <w:highlight w:val="none"/>
          <w14:textFill>
            <w14:solidFill>
              <w14:schemeClr w14:val="tx1"/>
            </w14:solidFill>
          </w14:textFill>
        </w:rPr>
        <w:t>按照法律规定和</w:t>
      </w:r>
      <w:r>
        <w:rPr>
          <w:rFonts w:ascii="宋体" w:hAnsi="宋体"/>
          <w:color w:val="000000" w:themeColor="text1"/>
          <w:sz w:val="21"/>
          <w:szCs w:val="21"/>
          <w:highlight w:val="none"/>
          <w14:textFill>
            <w14:solidFill>
              <w14:schemeClr w14:val="tx1"/>
            </w14:solidFill>
          </w14:textFill>
        </w:rPr>
        <w:t>合同约定，分包</w:t>
      </w:r>
      <w:r>
        <w:rPr>
          <w:rFonts w:hint="eastAsia" w:ascii="宋体" w:hAnsi="宋体"/>
          <w:color w:val="000000" w:themeColor="text1"/>
          <w:sz w:val="21"/>
          <w:szCs w:val="21"/>
          <w:highlight w:val="none"/>
          <w14:textFill>
            <w14:solidFill>
              <w14:schemeClr w14:val="tx1"/>
            </w14:solidFill>
          </w14:textFill>
        </w:rPr>
        <w:t>部分</w:t>
      </w:r>
      <w:r>
        <w:rPr>
          <w:rFonts w:ascii="宋体" w:hAnsi="宋体"/>
          <w:color w:val="000000" w:themeColor="text1"/>
          <w:sz w:val="21"/>
          <w:szCs w:val="21"/>
          <w:highlight w:val="none"/>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设计工作</w:t>
      </w:r>
      <w:r>
        <w:rPr>
          <w:rFonts w:ascii="宋体" w:hAnsi="宋体"/>
          <w:color w:val="000000" w:themeColor="text1"/>
          <w:sz w:val="21"/>
          <w:szCs w:val="21"/>
          <w:highlight w:val="none"/>
          <w14:textFill>
            <w14:solidFill>
              <w14:schemeClr w14:val="tx1"/>
            </w14:solidFill>
          </w14:textFill>
        </w:rPr>
        <w:t>，并与</w:t>
      </w:r>
      <w:r>
        <w:rPr>
          <w:rFonts w:hint="eastAsia" w:ascii="宋体" w:hAnsi="宋体"/>
          <w:color w:val="000000" w:themeColor="text1"/>
          <w:sz w:val="21"/>
          <w:szCs w:val="21"/>
          <w:highlight w:val="none"/>
          <w14:textFill>
            <w14:solidFill>
              <w14:schemeClr w14:val="tx1"/>
            </w14:solidFill>
          </w14:textFill>
        </w:rPr>
        <w:t>设计人</w:t>
      </w:r>
      <w:r>
        <w:rPr>
          <w:rFonts w:ascii="宋体" w:hAnsi="宋体"/>
          <w:color w:val="000000" w:themeColor="text1"/>
          <w:sz w:val="21"/>
          <w:szCs w:val="21"/>
          <w:highlight w:val="none"/>
          <w14:textFill>
            <w14:solidFill>
              <w14:schemeClr w14:val="tx1"/>
            </w14:solidFill>
          </w14:textFill>
        </w:rPr>
        <w:t>签订分包合同的具有相应资质的法人。</w:t>
      </w:r>
    </w:p>
    <w:p w14:paraId="6B83FD2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发包人代表：是指由发包人</w:t>
      </w:r>
      <w:r>
        <w:rPr>
          <w:rFonts w:hint="eastAsia" w:ascii="宋体" w:hAnsi="宋体"/>
          <w:color w:val="000000" w:themeColor="text1"/>
          <w:sz w:val="21"/>
          <w:szCs w:val="21"/>
          <w:highlight w:val="none"/>
          <w14:textFill>
            <w14:solidFill>
              <w14:schemeClr w14:val="tx1"/>
            </w14:solidFill>
          </w14:textFill>
        </w:rPr>
        <w:t>指定负责工程设计方面</w:t>
      </w:r>
      <w:r>
        <w:rPr>
          <w:rFonts w:ascii="宋体" w:hAnsi="宋体"/>
          <w:color w:val="000000" w:themeColor="text1"/>
          <w:sz w:val="21"/>
          <w:szCs w:val="21"/>
          <w:highlight w:val="none"/>
          <w14:textFill>
            <w14:solidFill>
              <w14:schemeClr w14:val="tx1"/>
            </w14:solidFill>
          </w14:textFill>
        </w:rPr>
        <w:t>在发包人授权范围内行使发包人权利的人。</w:t>
      </w:r>
    </w:p>
    <w:p w14:paraId="7101DFB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 项目负责人：是指由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人任命</w:t>
      </w:r>
      <w:r>
        <w:rPr>
          <w:rFonts w:hint="eastAsia" w:ascii="宋体" w:hAnsi="宋体"/>
          <w:color w:val="000000" w:themeColor="text1"/>
          <w:sz w:val="21"/>
          <w:szCs w:val="21"/>
          <w:highlight w:val="none"/>
          <w14:textFill>
            <w14:solidFill>
              <w14:schemeClr w14:val="tx1"/>
            </w14:solidFill>
          </w14:textFill>
        </w:rPr>
        <w:t>负责工程设计</w:t>
      </w:r>
      <w:r>
        <w:rPr>
          <w:rFonts w:ascii="宋体" w:hAnsi="宋体"/>
          <w:color w:val="000000" w:themeColor="text1"/>
          <w:sz w:val="21"/>
          <w:szCs w:val="21"/>
          <w:highlight w:val="none"/>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人授权范围内负责合同履行，且</w:t>
      </w:r>
      <w:r>
        <w:rPr>
          <w:rFonts w:hint="eastAsia" w:ascii="宋体" w:hAnsi="宋体"/>
          <w:color w:val="000000" w:themeColor="text1"/>
          <w:sz w:val="21"/>
          <w:szCs w:val="21"/>
          <w:highlight w:val="none"/>
          <w14:textFill>
            <w14:solidFill>
              <w14:schemeClr w14:val="tx1"/>
            </w14:solidFill>
          </w14:textFill>
        </w:rPr>
        <w:t>按照</w:t>
      </w:r>
      <w:r>
        <w:rPr>
          <w:rFonts w:ascii="宋体" w:hAnsi="宋体"/>
          <w:color w:val="000000" w:themeColor="text1"/>
          <w:sz w:val="21"/>
          <w:szCs w:val="21"/>
          <w:highlight w:val="none"/>
          <w14:textFill>
            <w14:solidFill>
              <w14:schemeClr w14:val="tx1"/>
            </w14:solidFill>
          </w14:textFill>
        </w:rPr>
        <w:t>法律规定具有相应资格的</w:t>
      </w:r>
      <w:r>
        <w:rPr>
          <w:rFonts w:hint="eastAsia" w:ascii="宋体" w:hAnsi="宋体"/>
          <w:color w:val="000000" w:themeColor="text1"/>
          <w:sz w:val="21"/>
          <w:szCs w:val="21"/>
          <w:highlight w:val="none"/>
          <w14:textFill>
            <w14:solidFill>
              <w14:schemeClr w14:val="tx1"/>
            </w14:solidFill>
          </w14:textFill>
        </w:rPr>
        <w:t>项目主持</w:t>
      </w:r>
      <w:r>
        <w:rPr>
          <w:rFonts w:ascii="宋体" w:hAnsi="宋体"/>
          <w:color w:val="000000" w:themeColor="text1"/>
          <w:sz w:val="21"/>
          <w:szCs w:val="21"/>
          <w:highlight w:val="none"/>
          <w14:textFill>
            <w14:solidFill>
              <w14:schemeClr w14:val="tx1"/>
            </w14:solidFill>
          </w14:textFill>
        </w:rPr>
        <w:t>人。</w:t>
      </w:r>
    </w:p>
    <w:p w14:paraId="2C5C7B3B">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1.1.2.7 联合体：是指两个以上设计人联合，以一个设计人身份为发包人提供工程设计服务的临时性组织。</w:t>
      </w:r>
    </w:p>
    <w:p w14:paraId="0753896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工程</w:t>
      </w:r>
      <w:r>
        <w:rPr>
          <w:rFonts w:hint="eastAsia" w:ascii="宋体" w:hAnsi="宋体"/>
          <w:color w:val="000000" w:themeColor="text1"/>
          <w:sz w:val="21"/>
          <w:szCs w:val="21"/>
          <w:highlight w:val="none"/>
          <w14:textFill>
            <w14:solidFill>
              <w14:schemeClr w14:val="tx1"/>
            </w14:solidFill>
          </w14:textFill>
        </w:rPr>
        <w:t>设计服务、资料与文件</w:t>
      </w:r>
    </w:p>
    <w:p w14:paraId="3BE08AA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1.1.3.1 工程设计服务：是指设计人按照合同约定履行的服务，包括工程设计基本服务、工程设计其他服务。</w:t>
      </w:r>
    </w:p>
    <w:p w14:paraId="3DD1388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工程</w:t>
      </w:r>
      <w:r>
        <w:rPr>
          <w:rFonts w:hint="eastAsia" w:ascii="宋体" w:hAnsi="宋体"/>
          <w:color w:val="000000" w:themeColor="text1"/>
          <w:sz w:val="21"/>
          <w:szCs w:val="21"/>
          <w:highlight w:val="none"/>
          <w14:textFill>
            <w14:solidFill>
              <w14:schemeClr w14:val="tx1"/>
            </w14:solidFill>
          </w14:textFill>
        </w:rPr>
        <w:t>设计基本服务</w:t>
      </w:r>
      <w:r>
        <w:rPr>
          <w:rFonts w:ascii="宋体" w:hAnsi="宋体"/>
          <w:color w:val="000000" w:themeColor="text1"/>
          <w:sz w:val="21"/>
          <w:szCs w:val="21"/>
          <w:highlight w:val="none"/>
          <w14:textFill>
            <w14:solidFill>
              <w14:schemeClr w14:val="tx1"/>
            </w14:solidFill>
          </w14:textFill>
        </w:rPr>
        <w:t>：是指</w:t>
      </w:r>
      <w:r>
        <w:rPr>
          <w:rFonts w:hint="eastAsia" w:ascii="宋体" w:hAnsi="宋体"/>
          <w:color w:val="000000" w:themeColor="text1"/>
          <w:sz w:val="21"/>
          <w:szCs w:val="21"/>
          <w:highlight w:val="none"/>
          <w14:textFill>
            <w14:solidFill>
              <w14:schemeClr w14:val="tx1"/>
            </w14:solidFill>
          </w14:textFill>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3A59AB5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129A8E6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1.1.3.4 暂停设计：是指发生设计人不能按照合同约定履行全部或部分义务情形而暂时中断工程设计服务的行为。</w:t>
      </w:r>
    </w:p>
    <w:p w14:paraId="3A95879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1.1.3.5 工程设计资料：是指</w:t>
      </w:r>
      <w:r>
        <w:rPr>
          <w:rFonts w:hint="eastAsia" w:ascii="宋体" w:hAnsi="宋体" w:cs="Courier New"/>
          <w:color w:val="000000" w:themeColor="text1"/>
          <w:sz w:val="21"/>
          <w:szCs w:val="21"/>
          <w:highlight w:val="none"/>
          <w14:textFill>
            <w14:solidFill>
              <w14:schemeClr w14:val="tx1"/>
            </w14:solidFill>
          </w14:textFill>
        </w:rPr>
        <w:t>根据合同约定，发包人向设计人提供的用于完成工程设计范围与内容所需要的资料。</w:t>
      </w:r>
    </w:p>
    <w:p w14:paraId="0F2F85A2">
      <w:pPr>
        <w:pStyle w:val="25"/>
        <w:spacing w:after="0" w:line="360" w:lineRule="auto"/>
        <w:ind w:left="0" w:leftChars="0" w:firstLine="399" w:firstLineChars="19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1.1.3.6 工程</w:t>
      </w:r>
      <w:r>
        <w:rPr>
          <w:rFonts w:hint="eastAsia" w:ascii="宋体" w:hAnsi="宋体" w:cs="Courier New"/>
          <w:color w:val="000000" w:themeColor="text1"/>
          <w:sz w:val="21"/>
          <w:szCs w:val="21"/>
          <w:highlight w:val="none"/>
          <w14:textFill>
            <w14:solidFill>
              <w14:schemeClr w14:val="tx1"/>
            </w14:solidFill>
          </w14:textFill>
        </w:rPr>
        <w:t>设计文件：指按照合同约定和技术要求，由设计人向发包人提供的阶段性成果、最终工作成果等，且应当采用合同中双方约定的载体。</w:t>
      </w:r>
    </w:p>
    <w:p w14:paraId="0DB0BF55">
      <w:pPr>
        <w:pStyle w:val="25"/>
        <w:spacing w:after="0" w:line="360" w:lineRule="auto"/>
        <w:ind w:left="0" w:leftChars="0"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日期和期限</w:t>
      </w:r>
    </w:p>
    <w:p w14:paraId="3FAF281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日期：包括计划</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日期和实际</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日期。计划</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日期是指合同协议书约定的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日期；实际</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日期是指</w:t>
      </w:r>
      <w:r>
        <w:rPr>
          <w:rFonts w:hint="eastAsia" w:ascii="宋体" w:hAnsi="宋体"/>
          <w:color w:val="000000" w:themeColor="text1"/>
          <w:sz w:val="21"/>
          <w:szCs w:val="21"/>
          <w:highlight w:val="none"/>
          <w14:textFill>
            <w14:solidFill>
              <w14:schemeClr w14:val="tx1"/>
            </w14:solidFill>
          </w14:textFill>
        </w:rPr>
        <w:t>发包人</w:t>
      </w:r>
      <w:r>
        <w:rPr>
          <w:rFonts w:ascii="宋体" w:hAnsi="宋体"/>
          <w:color w:val="000000" w:themeColor="text1"/>
          <w:sz w:val="21"/>
          <w:szCs w:val="21"/>
          <w:highlight w:val="none"/>
          <w14:textFill>
            <w14:solidFill>
              <w14:schemeClr w14:val="tx1"/>
            </w14:solidFill>
          </w14:textFill>
        </w:rPr>
        <w:t>发出的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通知中载明的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w:t>
      </w:r>
    </w:p>
    <w:p w14:paraId="4A33952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日期：包括计划</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日期和实际</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日期。计划</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日期是指合同协议书约定的</w:t>
      </w:r>
      <w:r>
        <w:rPr>
          <w:rFonts w:hint="eastAsia" w:ascii="宋体" w:hAnsi="宋体"/>
          <w:color w:val="000000" w:themeColor="text1"/>
          <w:sz w:val="21"/>
          <w:szCs w:val="21"/>
          <w:highlight w:val="none"/>
          <w14:textFill>
            <w14:solidFill>
              <w14:schemeClr w14:val="tx1"/>
            </w14:solidFill>
          </w14:textFill>
        </w:rPr>
        <w:t>完成设计及相关服务的</w:t>
      </w:r>
      <w:r>
        <w:rPr>
          <w:rFonts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实际</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14:textFill>
            <w14:solidFill>
              <w14:schemeClr w14:val="tx1"/>
            </w14:solidFill>
          </w14:textFill>
        </w:rPr>
        <w:t>是指设计人交付全部或阶段性设计成果及提供相关服务日期</w:t>
      </w:r>
      <w:r>
        <w:rPr>
          <w:rFonts w:ascii="宋体" w:hAnsi="宋体"/>
          <w:color w:val="000000" w:themeColor="text1"/>
          <w:sz w:val="21"/>
          <w:szCs w:val="21"/>
          <w:highlight w:val="none"/>
          <w14:textFill>
            <w14:solidFill>
              <w14:schemeClr w14:val="tx1"/>
            </w14:solidFill>
          </w14:textFill>
        </w:rPr>
        <w:t xml:space="preserve">。 </w:t>
      </w:r>
    </w:p>
    <w:p w14:paraId="70FEEBF3">
      <w:pPr>
        <w:spacing w:line="360" w:lineRule="auto"/>
        <w:ind w:firstLine="426" w:firstLineChars="203"/>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.3 </w:t>
      </w:r>
      <w:r>
        <w:rPr>
          <w:rFonts w:hint="eastAsia" w:ascii="宋体" w:hAnsi="宋体"/>
          <w:color w:val="000000" w:themeColor="text1"/>
          <w:sz w:val="21"/>
          <w:szCs w:val="21"/>
          <w:highlight w:val="none"/>
          <w14:textFill>
            <w14:solidFill>
              <w14:schemeClr w14:val="tx1"/>
            </w14:solidFill>
          </w14:textFill>
        </w:rPr>
        <w:t>设计周</w:t>
      </w:r>
      <w:r>
        <w:rPr>
          <w:rFonts w:ascii="宋体" w:hAnsi="宋体"/>
          <w:color w:val="000000" w:themeColor="text1"/>
          <w:sz w:val="21"/>
          <w:szCs w:val="21"/>
          <w:highlight w:val="none"/>
          <w14:textFill>
            <w14:solidFill>
              <w14:schemeClr w14:val="tx1"/>
            </w14:solidFill>
          </w14:textFill>
        </w:rPr>
        <w:t>期</w:t>
      </w:r>
      <w:r>
        <w:rPr>
          <w:rFonts w:hint="eastAsia" w:ascii="宋体" w:hAnsi="宋体"/>
          <w:color w:val="000000" w:themeColor="text1"/>
          <w:sz w:val="21"/>
          <w:szCs w:val="21"/>
          <w:highlight w:val="none"/>
          <w14:textFill>
            <w14:solidFill>
              <w14:schemeClr w14:val="tx1"/>
            </w14:solidFill>
          </w14:textFill>
        </w:rPr>
        <w:t>又称设计工期</w:t>
      </w:r>
      <w:r>
        <w:rPr>
          <w:rFonts w:ascii="宋体" w:hAnsi="宋体"/>
          <w:color w:val="000000" w:themeColor="text1"/>
          <w:sz w:val="21"/>
          <w:szCs w:val="21"/>
          <w:highlight w:val="none"/>
          <w14:textFill>
            <w14:solidFill>
              <w14:schemeClr w14:val="tx1"/>
            </w14:solidFill>
          </w14:textFill>
        </w:rPr>
        <w:t>：是指在合同协议书约定的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人完成工程</w:t>
      </w:r>
      <w:r>
        <w:rPr>
          <w:rFonts w:hint="eastAsia" w:ascii="宋体" w:hAnsi="宋体"/>
          <w:color w:val="000000" w:themeColor="text1"/>
          <w:sz w:val="21"/>
          <w:szCs w:val="21"/>
          <w:highlight w:val="none"/>
          <w14:textFill>
            <w14:solidFill>
              <w14:schemeClr w14:val="tx1"/>
            </w14:solidFill>
          </w14:textFill>
        </w:rPr>
        <w:t>设计及相关服务</w:t>
      </w:r>
      <w:r>
        <w:rPr>
          <w:rFonts w:ascii="宋体" w:hAnsi="宋体"/>
          <w:color w:val="000000" w:themeColor="text1"/>
          <w:sz w:val="21"/>
          <w:szCs w:val="21"/>
          <w:highlight w:val="none"/>
          <w14:textFill>
            <w14:solidFill>
              <w14:schemeClr w14:val="tx1"/>
            </w14:solidFill>
          </w14:textFill>
        </w:rPr>
        <w:t>所需的期限，包括按照合同约定所作的</w:t>
      </w:r>
      <w:r>
        <w:rPr>
          <w:rFonts w:hint="eastAsia" w:ascii="宋体" w:hAnsi="宋体"/>
          <w:color w:val="000000" w:themeColor="text1"/>
          <w:sz w:val="21"/>
          <w:szCs w:val="21"/>
          <w:highlight w:val="none"/>
          <w14:textFill>
            <w14:solidFill>
              <w14:schemeClr w14:val="tx1"/>
            </w14:solidFill>
          </w14:textFill>
        </w:rPr>
        <w:t>期限</w:t>
      </w:r>
      <w:r>
        <w:rPr>
          <w:rFonts w:ascii="宋体" w:hAnsi="宋体"/>
          <w:color w:val="000000" w:themeColor="text1"/>
          <w:sz w:val="21"/>
          <w:szCs w:val="21"/>
          <w:highlight w:val="none"/>
          <w14:textFill>
            <w14:solidFill>
              <w14:schemeClr w14:val="tx1"/>
            </w14:solidFill>
          </w14:textFill>
        </w:rPr>
        <w:t>变更。</w:t>
      </w:r>
    </w:p>
    <w:p w14:paraId="0310303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基准日期：招标发包的工程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以投标截止日前28天的日期为基准日</w:t>
      </w:r>
      <w:r>
        <w:rPr>
          <w:rFonts w:hint="eastAsia" w:ascii="宋体" w:hAnsi="宋体"/>
          <w:color w:val="000000" w:themeColor="text1"/>
          <w:sz w:val="21"/>
          <w:szCs w:val="21"/>
          <w:highlight w:val="none"/>
          <w14:textFill>
            <w14:solidFill>
              <w14:schemeClr w14:val="tx1"/>
            </w14:solidFill>
          </w14:textFill>
        </w:rPr>
        <w:t>期</w:t>
      </w:r>
      <w:r>
        <w:rPr>
          <w:rFonts w:ascii="宋体" w:hAnsi="宋体"/>
          <w:color w:val="000000" w:themeColor="text1"/>
          <w:sz w:val="21"/>
          <w:szCs w:val="21"/>
          <w:highlight w:val="none"/>
          <w14:textFill>
            <w14:solidFill>
              <w14:schemeClr w14:val="tx1"/>
            </w14:solidFill>
          </w14:textFill>
        </w:rPr>
        <w:t>，直接发包的工程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以合同签订日前28天的日期为基准日</w:t>
      </w:r>
      <w:r>
        <w:rPr>
          <w:rFonts w:hint="eastAsia" w:ascii="宋体" w:hAnsi="宋体"/>
          <w:color w:val="000000" w:themeColor="text1"/>
          <w:sz w:val="21"/>
          <w:szCs w:val="21"/>
          <w:highlight w:val="none"/>
          <w14:textFill>
            <w14:solidFill>
              <w14:schemeClr w14:val="tx1"/>
            </w14:solidFill>
          </w14:textFill>
        </w:rPr>
        <w:t>期</w:t>
      </w:r>
      <w:r>
        <w:rPr>
          <w:rFonts w:ascii="宋体" w:hAnsi="宋体"/>
          <w:color w:val="000000" w:themeColor="text1"/>
          <w:sz w:val="21"/>
          <w:szCs w:val="21"/>
          <w:highlight w:val="none"/>
          <w14:textFill>
            <w14:solidFill>
              <w14:schemeClr w14:val="tx1"/>
            </w14:solidFill>
          </w14:textFill>
        </w:rPr>
        <w:t>。</w:t>
      </w:r>
    </w:p>
    <w:p w14:paraId="0BC13CE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天：除特别指明外，均指日历天。合同中按天计算时间的，开始当天不计入，从次日开始计算，期限最后一天的截止时间为当天24:00时。</w:t>
      </w:r>
    </w:p>
    <w:p w14:paraId="16486F7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合同价格</w:t>
      </w:r>
    </w:p>
    <w:p w14:paraId="4069101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 签约合同价：是指发包人和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人在合同协议书中确定的总金额。</w:t>
      </w:r>
    </w:p>
    <w:p w14:paraId="799C3E1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 合同价格</w:t>
      </w:r>
      <w:r>
        <w:rPr>
          <w:rFonts w:hint="eastAsia" w:ascii="宋体" w:hAnsi="宋体"/>
          <w:color w:val="000000" w:themeColor="text1"/>
          <w:sz w:val="21"/>
          <w:szCs w:val="21"/>
          <w:highlight w:val="none"/>
          <w14:textFill>
            <w14:solidFill>
              <w14:schemeClr w14:val="tx1"/>
            </w14:solidFill>
          </w14:textFill>
        </w:rPr>
        <w:t>又称设计费</w:t>
      </w:r>
      <w:r>
        <w:rPr>
          <w:rFonts w:ascii="宋体" w:hAnsi="宋体"/>
          <w:color w:val="000000" w:themeColor="text1"/>
          <w:sz w:val="21"/>
          <w:szCs w:val="21"/>
          <w:highlight w:val="none"/>
          <w14:textFill>
            <w14:solidFill>
              <w14:schemeClr w14:val="tx1"/>
            </w14:solidFill>
          </w14:textFill>
        </w:rPr>
        <w:t>：是指发包人用于支付</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人按照合同约定完成</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范围内全部工作的金额，包括合同履行过程中按合同约定</w:t>
      </w:r>
      <w:r>
        <w:rPr>
          <w:rFonts w:hint="eastAsia" w:ascii="宋体" w:hAnsi="宋体"/>
          <w:color w:val="000000" w:themeColor="text1"/>
          <w:sz w:val="21"/>
          <w:szCs w:val="21"/>
          <w:highlight w:val="none"/>
          <w14:textFill>
            <w14:solidFill>
              <w14:schemeClr w14:val="tx1"/>
            </w14:solidFill>
          </w14:textFill>
        </w:rPr>
        <w:t>发生的价格变化。</w:t>
      </w:r>
    </w:p>
    <w:p w14:paraId="0A1C129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 其他</w:t>
      </w:r>
    </w:p>
    <w:p w14:paraId="45529EA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.1 书面形式：是指合同</w:t>
      </w:r>
      <w:r>
        <w:rPr>
          <w:rFonts w:hint="eastAsia" w:ascii="宋体" w:hAnsi="宋体"/>
          <w:color w:val="000000" w:themeColor="text1"/>
          <w:sz w:val="21"/>
          <w:szCs w:val="21"/>
          <w:highlight w:val="none"/>
          <w14:textFill>
            <w14:solidFill>
              <w14:schemeClr w14:val="tx1"/>
            </w14:solidFill>
          </w14:textFill>
        </w:rPr>
        <w:t>书</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信件和数据电文（包括</w:t>
      </w:r>
      <w:r>
        <w:rPr>
          <w:rFonts w:ascii="宋体" w:hAnsi="宋体"/>
          <w:color w:val="000000" w:themeColor="text1"/>
          <w:sz w:val="21"/>
          <w:szCs w:val="21"/>
          <w:highlight w:val="none"/>
          <w14:textFill>
            <w14:solidFill>
              <w14:schemeClr w14:val="tx1"/>
            </w14:solidFill>
          </w14:textFill>
        </w:rPr>
        <w:t>电报、</w:t>
      </w:r>
      <w:r>
        <w:rPr>
          <w:rFonts w:hint="eastAsia" w:ascii="宋体" w:hAnsi="宋体"/>
          <w:color w:val="000000" w:themeColor="text1"/>
          <w:sz w:val="21"/>
          <w:szCs w:val="21"/>
          <w:highlight w:val="none"/>
          <w14:textFill>
            <w14:solidFill>
              <w14:schemeClr w14:val="tx1"/>
            </w14:solidFill>
          </w14:textFill>
        </w:rPr>
        <w:t>电</w:t>
      </w:r>
      <w:r>
        <w:rPr>
          <w:rFonts w:ascii="宋体" w:hAnsi="宋体"/>
          <w:color w:val="000000" w:themeColor="text1"/>
          <w:sz w:val="21"/>
          <w:szCs w:val="21"/>
          <w:highlight w:val="none"/>
          <w14:textFill>
            <w14:solidFill>
              <w14:schemeClr w14:val="tx1"/>
            </w14:solidFill>
          </w14:textFill>
        </w:rPr>
        <w:t>传</w:t>
      </w:r>
      <w:r>
        <w:rPr>
          <w:rFonts w:hint="eastAsia" w:ascii="宋体" w:hAnsi="宋体"/>
          <w:color w:val="000000" w:themeColor="text1"/>
          <w:sz w:val="21"/>
          <w:szCs w:val="21"/>
          <w:highlight w:val="none"/>
          <w14:textFill>
            <w14:solidFill>
              <w14:schemeClr w14:val="tx1"/>
            </w14:solidFill>
          </w14:textFill>
        </w:rPr>
        <w:t>、传</w:t>
      </w:r>
      <w:r>
        <w:rPr>
          <w:rFonts w:ascii="宋体" w:hAnsi="宋体"/>
          <w:color w:val="000000" w:themeColor="text1"/>
          <w:sz w:val="21"/>
          <w:szCs w:val="21"/>
          <w:highlight w:val="none"/>
          <w14:textFill>
            <w14:solidFill>
              <w14:schemeClr w14:val="tx1"/>
            </w14:solidFill>
          </w14:textFill>
        </w:rPr>
        <w:t>真</w:t>
      </w:r>
      <w:r>
        <w:rPr>
          <w:rFonts w:hint="eastAsia" w:ascii="宋体" w:hAnsi="宋体"/>
          <w:color w:val="000000" w:themeColor="text1"/>
          <w:sz w:val="21"/>
          <w:szCs w:val="21"/>
          <w:highlight w:val="none"/>
          <w14:textFill>
            <w14:solidFill>
              <w14:schemeClr w14:val="tx1"/>
            </w14:solidFill>
          </w14:textFill>
        </w:rPr>
        <w:t>、电子数据交换和电子邮件）</w:t>
      </w:r>
      <w:r>
        <w:rPr>
          <w:rFonts w:ascii="宋体" w:hAnsi="宋体"/>
          <w:color w:val="000000" w:themeColor="text1"/>
          <w:sz w:val="21"/>
          <w:szCs w:val="21"/>
          <w:highlight w:val="none"/>
          <w14:textFill>
            <w14:solidFill>
              <w14:schemeClr w14:val="tx1"/>
            </w14:solidFill>
          </w14:textFill>
        </w:rPr>
        <w:t>等可以有形地表现所载内容的形式。</w:t>
      </w:r>
    </w:p>
    <w:p w14:paraId="523BD4E1">
      <w:pPr>
        <w:pStyle w:val="6"/>
        <w:spacing w:before="0" w:after="0" w:line="360" w:lineRule="auto"/>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    </w:t>
      </w:r>
      <w:bookmarkStart w:id="637" w:name="_Toc296346530"/>
      <w:bookmarkStart w:id="638" w:name="_Toc351203497"/>
      <w:bookmarkStart w:id="639" w:name="_Toc337558729"/>
      <w:bookmarkStart w:id="640" w:name="_Toc296503029"/>
      <w:r>
        <w:rPr>
          <w:rFonts w:ascii="宋体" w:hAnsi="宋体"/>
          <w:b w:val="0"/>
          <w:color w:val="000000" w:themeColor="text1"/>
          <w:sz w:val="21"/>
          <w:szCs w:val="21"/>
          <w:highlight w:val="none"/>
          <w14:textFill>
            <w14:solidFill>
              <w14:schemeClr w14:val="tx1"/>
            </w14:solidFill>
          </w14:textFill>
        </w:rPr>
        <w:t>1.2</w:t>
      </w: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语言文字</w:t>
      </w:r>
      <w:bookmarkEnd w:id="637"/>
      <w:bookmarkEnd w:id="638"/>
      <w:bookmarkEnd w:id="639"/>
      <w:bookmarkEnd w:id="640"/>
    </w:p>
    <w:p w14:paraId="73F40707">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14:paraId="202D5CE3">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41" w:name="_Toc296503030"/>
      <w:bookmarkStart w:id="642" w:name="_Toc351203498"/>
      <w:bookmarkStart w:id="643" w:name="_Toc337558730"/>
      <w:bookmarkStart w:id="644" w:name="_Toc296346531"/>
      <w:r>
        <w:rPr>
          <w:rFonts w:ascii="宋体" w:hAnsi="宋体"/>
          <w:b w:val="0"/>
          <w:color w:val="000000" w:themeColor="text1"/>
          <w:sz w:val="21"/>
          <w:szCs w:val="21"/>
          <w:highlight w:val="none"/>
          <w14:textFill>
            <w14:solidFill>
              <w14:schemeClr w14:val="tx1"/>
            </w14:solidFill>
          </w14:textFill>
        </w:rPr>
        <w:t>1.3</w:t>
      </w: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法律</w:t>
      </w:r>
      <w:bookmarkEnd w:id="641"/>
      <w:bookmarkEnd w:id="642"/>
      <w:bookmarkEnd w:id="643"/>
      <w:bookmarkEnd w:id="644"/>
    </w:p>
    <w:p w14:paraId="6A4A612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合同所称法律是指中华人民共和国法律、行政法规、部门规章，以及工程所在地的地方性法规、自治条例、单行条例和地方政府规章等。</w:t>
      </w:r>
    </w:p>
    <w:p w14:paraId="2E04A79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合同当事人可以在专用合同条款中约定合同适用的其他规范性文件。</w:t>
      </w:r>
    </w:p>
    <w:p w14:paraId="48DF579C">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45" w:name="_Toc351203499"/>
      <w:r>
        <w:rPr>
          <w:rFonts w:ascii="宋体" w:hAnsi="宋体"/>
          <w:b w:val="0"/>
          <w:color w:val="000000" w:themeColor="text1"/>
          <w:sz w:val="21"/>
          <w:szCs w:val="21"/>
          <w:highlight w:val="none"/>
          <w14:textFill>
            <w14:solidFill>
              <w14:schemeClr w14:val="tx1"/>
            </w14:solidFill>
          </w14:textFill>
        </w:rPr>
        <w:t xml:space="preserve">1.4 </w:t>
      </w:r>
      <w:r>
        <w:rPr>
          <w:rFonts w:hint="eastAsia" w:ascii="宋体" w:hAnsi="宋体"/>
          <w:b w:val="0"/>
          <w:color w:val="000000" w:themeColor="text1"/>
          <w:sz w:val="21"/>
          <w:szCs w:val="21"/>
          <w:highlight w:val="none"/>
          <w14:textFill>
            <w14:solidFill>
              <w14:schemeClr w14:val="tx1"/>
            </w14:solidFill>
          </w14:textFill>
        </w:rPr>
        <w:t>技术</w:t>
      </w:r>
      <w:r>
        <w:rPr>
          <w:rFonts w:ascii="宋体" w:hAnsi="宋体"/>
          <w:b w:val="0"/>
          <w:color w:val="000000" w:themeColor="text1"/>
          <w:sz w:val="21"/>
          <w:szCs w:val="21"/>
          <w:highlight w:val="none"/>
          <w14:textFill>
            <w14:solidFill>
              <w14:schemeClr w14:val="tx1"/>
            </w14:solidFill>
          </w14:textFill>
        </w:rPr>
        <w:t>标准</w:t>
      </w:r>
      <w:bookmarkEnd w:id="645"/>
    </w:p>
    <w:p w14:paraId="165D2FEE">
      <w:pPr>
        <w:autoSpaceDE w:val="0"/>
        <w:autoSpaceDN w:val="0"/>
        <w:spacing w:line="360" w:lineRule="auto"/>
        <w:ind w:firstLine="64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1.4.1 适用于工程的</w:t>
      </w:r>
      <w:r>
        <w:rPr>
          <w:rFonts w:hint="eastAsia" w:ascii="宋体" w:hAnsi="宋体"/>
          <w:color w:val="000000" w:themeColor="text1"/>
          <w:sz w:val="21"/>
          <w:szCs w:val="21"/>
          <w:highlight w:val="none"/>
          <w14:textFill>
            <w14:solidFill>
              <w14:schemeClr w14:val="tx1"/>
            </w14:solidFill>
          </w14:textFill>
        </w:rPr>
        <w:t>现行有效的</w:t>
      </w:r>
      <w:r>
        <w:rPr>
          <w:rFonts w:ascii="宋体" w:hAnsi="宋体"/>
          <w:color w:val="000000" w:themeColor="text1"/>
          <w:sz w:val="21"/>
          <w:szCs w:val="21"/>
          <w:highlight w:val="none"/>
          <w14:textFill>
            <w14:solidFill>
              <w14:schemeClr w14:val="tx1"/>
            </w14:solidFill>
          </w14:textFill>
        </w:rPr>
        <w:t>国家标准、行业标准、工程所在地的地方性标准，以及相应的规范、规程等，合同当事人有特别要求的，应在专用合同条款中约定。</w:t>
      </w:r>
    </w:p>
    <w:p w14:paraId="115F6B8F">
      <w:pPr>
        <w:autoSpaceDE w:val="0"/>
        <w:autoSpaceDN w:val="0"/>
        <w:spacing w:line="360" w:lineRule="auto"/>
        <w:ind w:firstLine="64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1.4.2 发包人要求使用国外</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标准的，发包人</w:t>
      </w:r>
      <w:r>
        <w:rPr>
          <w:rFonts w:hint="eastAsia" w:ascii="宋体" w:hAnsi="宋体"/>
          <w:color w:val="000000" w:themeColor="text1"/>
          <w:sz w:val="21"/>
          <w:szCs w:val="21"/>
          <w:highlight w:val="none"/>
          <w14:textFill>
            <w14:solidFill>
              <w14:schemeClr w14:val="tx1"/>
            </w14:solidFill>
          </w14:textFill>
        </w:rPr>
        <w:t>与设计人在专用合同条款中约定</w:t>
      </w:r>
      <w:r>
        <w:rPr>
          <w:rFonts w:ascii="宋体" w:hAnsi="宋体"/>
          <w:color w:val="000000" w:themeColor="text1"/>
          <w:sz w:val="21"/>
          <w:szCs w:val="21"/>
          <w:highlight w:val="none"/>
          <w14:textFill>
            <w14:solidFill>
              <w14:schemeClr w14:val="tx1"/>
            </w14:solidFill>
          </w14:textFill>
        </w:rPr>
        <w:t>原文版本和中文译本</w:t>
      </w:r>
      <w:r>
        <w:rPr>
          <w:rFonts w:hint="eastAsia" w:ascii="宋体" w:hAnsi="宋体"/>
          <w:color w:val="000000" w:themeColor="text1"/>
          <w:sz w:val="21"/>
          <w:szCs w:val="21"/>
          <w:highlight w:val="none"/>
          <w14:textFill>
            <w14:solidFill>
              <w14:schemeClr w14:val="tx1"/>
            </w14:solidFill>
          </w14:textFill>
        </w:rPr>
        <w:t>提供方及</w:t>
      </w:r>
      <w:r>
        <w:rPr>
          <w:rFonts w:ascii="宋体" w:hAnsi="宋体"/>
          <w:color w:val="000000" w:themeColor="text1"/>
          <w:sz w:val="21"/>
          <w:szCs w:val="21"/>
          <w:highlight w:val="none"/>
          <w14:textFill>
            <w14:solidFill>
              <w14:schemeClr w14:val="tx1"/>
            </w14:solidFill>
          </w14:textFill>
        </w:rPr>
        <w:t>提供标准的名称、份数</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时间</w:t>
      </w:r>
      <w:r>
        <w:rPr>
          <w:rFonts w:hint="eastAsia" w:ascii="宋体" w:hAnsi="宋体"/>
          <w:color w:val="000000" w:themeColor="text1"/>
          <w:sz w:val="21"/>
          <w:szCs w:val="21"/>
          <w:highlight w:val="none"/>
          <w14:textFill>
            <w14:solidFill>
              <w14:schemeClr w14:val="tx1"/>
            </w14:solidFill>
          </w14:textFill>
        </w:rPr>
        <w:t>及费用承担等事项</w:t>
      </w:r>
      <w:r>
        <w:rPr>
          <w:rFonts w:ascii="宋体" w:hAnsi="宋体"/>
          <w:color w:val="000000" w:themeColor="text1"/>
          <w:sz w:val="21"/>
          <w:szCs w:val="21"/>
          <w:highlight w:val="none"/>
          <w14:textFill>
            <w14:solidFill>
              <w14:schemeClr w14:val="tx1"/>
            </w14:solidFill>
          </w14:textFill>
        </w:rPr>
        <w:t>。</w:t>
      </w:r>
    </w:p>
    <w:p w14:paraId="3A4A66AB">
      <w:pPr>
        <w:autoSpaceDE w:val="0"/>
        <w:autoSpaceDN w:val="0"/>
        <w:spacing w:line="360" w:lineRule="auto"/>
        <w:ind w:firstLine="64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w:t>
      </w:r>
      <w:r>
        <w:rPr>
          <w:rFonts w:hint="eastAsia" w:ascii="宋体" w:hAnsi="宋体"/>
          <w:color w:val="000000" w:themeColor="text1"/>
          <w:sz w:val="21"/>
          <w:szCs w:val="21"/>
          <w:highlight w:val="none"/>
          <w14:textFill>
            <w14:solidFill>
              <w14:schemeClr w14:val="tx1"/>
            </w14:solidFill>
          </w14:textFill>
        </w:rPr>
        <w:t>设计人</w:t>
      </w:r>
      <w:r>
        <w:rPr>
          <w:rFonts w:ascii="宋体" w:hAnsi="宋体"/>
          <w:color w:val="000000" w:themeColor="text1"/>
          <w:sz w:val="21"/>
          <w:szCs w:val="21"/>
          <w:highlight w:val="none"/>
          <w14:textFill>
            <w14:solidFill>
              <w14:schemeClr w14:val="tx1"/>
            </w14:solidFill>
          </w14:textFill>
        </w:rPr>
        <w:t>在签订合同前已充分预见前述技术标准和功能要求的复杂程度，签约合同价中已包含由此产生的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w:t>
      </w:r>
    </w:p>
    <w:p w14:paraId="302937A5">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46" w:name="_Toc351203500"/>
      <w:r>
        <w:rPr>
          <w:rFonts w:ascii="宋体" w:hAnsi="宋体"/>
          <w:b w:val="0"/>
          <w:color w:val="000000" w:themeColor="text1"/>
          <w:sz w:val="21"/>
          <w:szCs w:val="21"/>
          <w:highlight w:val="none"/>
          <w14:textFill>
            <w14:solidFill>
              <w14:schemeClr w14:val="tx1"/>
            </w14:solidFill>
          </w14:textFill>
        </w:rPr>
        <w:t>1</w:t>
      </w:r>
      <w:bookmarkStart w:id="647" w:name="_Toc296346532"/>
      <w:bookmarkStart w:id="648" w:name="_Toc296503031"/>
      <w:bookmarkStart w:id="649" w:name="_Toc337558731"/>
      <w:r>
        <w:rPr>
          <w:rFonts w:ascii="宋体" w:hAnsi="宋体"/>
          <w:b w:val="0"/>
          <w:color w:val="000000" w:themeColor="text1"/>
          <w:sz w:val="21"/>
          <w:szCs w:val="21"/>
          <w:highlight w:val="none"/>
          <w14:textFill>
            <w14:solidFill>
              <w14:schemeClr w14:val="tx1"/>
            </w14:solidFill>
          </w14:textFill>
        </w:rPr>
        <w:t>.5 合同文件的优先顺序</w:t>
      </w:r>
      <w:bookmarkEnd w:id="646"/>
    </w:p>
    <w:bookmarkEnd w:id="647"/>
    <w:bookmarkEnd w:id="648"/>
    <w:bookmarkEnd w:id="649"/>
    <w:p w14:paraId="00EC5D37">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组成合同的各项文件应互相解释，互为说明。除专用合同条款另有约定外，解释合同文件的优先顺序如下：</w:t>
      </w:r>
    </w:p>
    <w:p w14:paraId="2D02DA1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（1）合同协议书；</w:t>
      </w:r>
    </w:p>
    <w:p w14:paraId="415326D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（2）专用合同条款及其附件； </w:t>
      </w:r>
    </w:p>
    <w:p w14:paraId="64C5498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（3）通用合同条款； </w:t>
      </w:r>
    </w:p>
    <w:p w14:paraId="6642ECE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）中标通知书（如果有）；</w:t>
      </w:r>
    </w:p>
    <w:p w14:paraId="59ACC42B">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）投标函及其附录（如果有）；</w:t>
      </w:r>
    </w:p>
    <w:p w14:paraId="374F063C">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（6）发包人要求；</w:t>
      </w:r>
    </w:p>
    <w:p w14:paraId="5407A50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7</w:t>
      </w:r>
      <w:r>
        <w:rPr>
          <w:rFonts w:ascii="宋体" w:hAnsi="宋体"/>
          <w:color w:val="000000" w:themeColor="text1"/>
          <w:sz w:val="21"/>
          <w:szCs w:val="21"/>
          <w:highlight w:val="none"/>
          <w14:textFill>
            <w14:solidFill>
              <w14:schemeClr w14:val="tx1"/>
            </w14:solidFill>
          </w14:textFill>
        </w:rPr>
        <w:t>）技术标准；</w:t>
      </w:r>
    </w:p>
    <w:p w14:paraId="0E08EA27">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8</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发包人提供的上一阶段</w:t>
      </w:r>
      <w:r>
        <w:rPr>
          <w:rFonts w:ascii="宋体" w:hAnsi="宋体"/>
          <w:color w:val="000000" w:themeColor="text1"/>
          <w:sz w:val="21"/>
          <w:szCs w:val="21"/>
          <w:highlight w:val="none"/>
          <w14:textFill>
            <w14:solidFill>
              <w14:schemeClr w14:val="tx1"/>
            </w14:solidFill>
          </w14:textFill>
        </w:rPr>
        <w:t>图纸</w:t>
      </w:r>
      <w:r>
        <w:rPr>
          <w:rFonts w:hint="eastAsia" w:ascii="宋体" w:hAnsi="宋体"/>
          <w:color w:val="000000" w:themeColor="text1"/>
          <w:sz w:val="21"/>
          <w:szCs w:val="21"/>
          <w:highlight w:val="none"/>
          <w14:textFill>
            <w14:solidFill>
              <w14:schemeClr w14:val="tx1"/>
            </w14:solidFill>
          </w14:textFill>
        </w:rPr>
        <w:t>（如果有）</w:t>
      </w:r>
      <w:r>
        <w:rPr>
          <w:rFonts w:ascii="宋体" w:hAnsi="宋体"/>
          <w:color w:val="000000" w:themeColor="text1"/>
          <w:sz w:val="21"/>
          <w:szCs w:val="21"/>
          <w:highlight w:val="none"/>
          <w14:textFill>
            <w14:solidFill>
              <w14:schemeClr w14:val="tx1"/>
            </w14:solidFill>
          </w14:textFill>
        </w:rPr>
        <w:t>；</w:t>
      </w:r>
    </w:p>
    <w:p w14:paraId="5EE7F5A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9</w:t>
      </w:r>
      <w:r>
        <w:rPr>
          <w:rFonts w:ascii="宋体" w:hAnsi="宋体"/>
          <w:color w:val="000000" w:themeColor="text1"/>
          <w:sz w:val="21"/>
          <w:szCs w:val="21"/>
          <w:highlight w:val="none"/>
          <w14:textFill>
            <w14:solidFill>
              <w14:schemeClr w14:val="tx1"/>
            </w14:solidFill>
          </w14:textFill>
        </w:rPr>
        <w:t>）其他合同文件。</w:t>
      </w:r>
    </w:p>
    <w:p w14:paraId="6A6B2DFE">
      <w:pPr>
        <w:spacing w:line="360" w:lineRule="auto"/>
        <w:ind w:firstLine="447" w:firstLineChars="213"/>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736128B8">
      <w:pPr>
        <w:spacing w:line="360" w:lineRule="auto"/>
        <w:ind w:firstLine="447" w:firstLineChars="213"/>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在合同履行过程中形成的与合同有关的文件均构成合同文件组成部分，并根据其性质确定优先解释顺序。</w:t>
      </w:r>
    </w:p>
    <w:p w14:paraId="49229B1D">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50" w:name="_Toc351203502"/>
      <w:r>
        <w:rPr>
          <w:rFonts w:ascii="宋体" w:hAnsi="宋体"/>
          <w:b w:val="0"/>
          <w:color w:val="000000" w:themeColor="text1"/>
          <w:sz w:val="21"/>
          <w:szCs w:val="21"/>
          <w:highlight w:val="none"/>
          <w14:textFill>
            <w14:solidFill>
              <w14:schemeClr w14:val="tx1"/>
            </w14:solidFill>
          </w14:textFill>
        </w:rPr>
        <w:t>1</w:t>
      </w:r>
      <w:bookmarkStart w:id="651" w:name="_Toc337558733"/>
      <w:bookmarkStart w:id="652" w:name="_Toc296503033"/>
      <w:bookmarkStart w:id="653" w:name="_Toc296346534"/>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 xml:space="preserve">6 </w:t>
      </w:r>
      <w:r>
        <w:rPr>
          <w:rFonts w:ascii="宋体" w:hAnsi="宋体"/>
          <w:b w:val="0"/>
          <w:color w:val="000000" w:themeColor="text1"/>
          <w:sz w:val="21"/>
          <w:szCs w:val="21"/>
          <w:highlight w:val="none"/>
          <w14:textFill>
            <w14:solidFill>
              <w14:schemeClr w14:val="tx1"/>
            </w14:solidFill>
          </w14:textFill>
        </w:rPr>
        <w:t>联络</w:t>
      </w:r>
      <w:bookmarkEnd w:id="650"/>
    </w:p>
    <w:bookmarkEnd w:id="651"/>
    <w:bookmarkEnd w:id="652"/>
    <w:bookmarkEnd w:id="653"/>
    <w:p w14:paraId="0C28BD2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.1 与合同有关的通知、批准、证明、证书、指示、指令、要求、请求、同意、确定和决定等，均应采用书面形式，并应在合同约定的期限内送达接收人和送达地点。</w:t>
      </w:r>
    </w:p>
    <w:p w14:paraId="3B6EA58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.2 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人应在专用合同条款中约定各自的送达接收人</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送达地点</w:t>
      </w:r>
      <w:r>
        <w:rPr>
          <w:rFonts w:hint="eastAsia" w:ascii="宋体" w:hAnsi="宋体"/>
          <w:color w:val="000000" w:themeColor="text1"/>
          <w:sz w:val="21"/>
          <w:szCs w:val="21"/>
          <w:highlight w:val="none"/>
          <w14:textFill>
            <w14:solidFill>
              <w14:schemeClr w14:val="tx1"/>
            </w14:solidFill>
          </w14:textFill>
        </w:rPr>
        <w:t>、电子邮箱</w:t>
      </w:r>
      <w:r>
        <w:rPr>
          <w:rFonts w:ascii="宋体" w:hAnsi="宋体"/>
          <w:color w:val="000000" w:themeColor="text1"/>
          <w:sz w:val="21"/>
          <w:szCs w:val="21"/>
          <w:highlight w:val="none"/>
          <w14:textFill>
            <w14:solidFill>
              <w14:schemeClr w14:val="tx1"/>
            </w14:solidFill>
          </w14:textFill>
        </w:rPr>
        <w:t>。任何一方合同当事人指定的接收人或送达地点</w:t>
      </w:r>
      <w:r>
        <w:rPr>
          <w:rFonts w:hint="eastAsia" w:ascii="宋体" w:hAnsi="宋体"/>
          <w:color w:val="000000" w:themeColor="text1"/>
          <w:sz w:val="21"/>
          <w:szCs w:val="21"/>
          <w:highlight w:val="none"/>
          <w14:textFill>
            <w14:solidFill>
              <w14:schemeClr w14:val="tx1"/>
            </w14:solidFill>
          </w14:textFill>
        </w:rPr>
        <w:t>或电子邮箱</w:t>
      </w:r>
      <w:r>
        <w:rPr>
          <w:rFonts w:ascii="宋体" w:hAnsi="宋体"/>
          <w:color w:val="000000" w:themeColor="text1"/>
          <w:sz w:val="21"/>
          <w:szCs w:val="21"/>
          <w:highlight w:val="none"/>
          <w14:textFill>
            <w14:solidFill>
              <w14:schemeClr w14:val="tx1"/>
            </w14:solidFill>
          </w14:textFill>
        </w:rPr>
        <w:t>发生变动的，应提前3天以书面形式通知对方</w:t>
      </w:r>
      <w:r>
        <w:rPr>
          <w:rFonts w:hint="eastAsia" w:ascii="宋体" w:hAnsi="宋体"/>
          <w:color w:val="000000" w:themeColor="text1"/>
          <w:sz w:val="21"/>
          <w:szCs w:val="21"/>
          <w:highlight w:val="none"/>
          <w14:textFill>
            <w14:solidFill>
              <w14:schemeClr w14:val="tx1"/>
            </w14:solidFill>
          </w14:textFill>
        </w:rPr>
        <w:t>，否则视为未发生变动</w:t>
      </w:r>
      <w:r>
        <w:rPr>
          <w:rFonts w:ascii="宋体" w:hAnsi="宋体"/>
          <w:color w:val="000000" w:themeColor="text1"/>
          <w:sz w:val="21"/>
          <w:szCs w:val="21"/>
          <w:highlight w:val="none"/>
          <w14:textFill>
            <w14:solidFill>
              <w14:schemeClr w14:val="tx1"/>
            </w14:solidFill>
          </w14:textFill>
        </w:rPr>
        <w:t>。</w:t>
      </w:r>
    </w:p>
    <w:p w14:paraId="5DA2207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.3 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人应当及时签收另一方送达至送达地点和指定接收人的来往信函</w:t>
      </w:r>
      <w:r>
        <w:rPr>
          <w:rFonts w:hint="eastAsia" w:ascii="宋体" w:hAnsi="宋体"/>
          <w:color w:val="000000" w:themeColor="text1"/>
          <w:sz w:val="21"/>
          <w:szCs w:val="21"/>
          <w:highlight w:val="none"/>
          <w14:textFill>
            <w14:solidFill>
              <w14:schemeClr w14:val="tx1"/>
            </w14:solidFill>
          </w14:textFill>
        </w:rPr>
        <w:t>，如确有充分证据证明一方无正当理由拒不签收的，视为拒绝签收一方认可往来信函的内容</w:t>
      </w:r>
      <w:r>
        <w:rPr>
          <w:rFonts w:ascii="宋体" w:hAnsi="宋体"/>
          <w:color w:val="000000" w:themeColor="text1"/>
          <w:sz w:val="21"/>
          <w:szCs w:val="21"/>
          <w:highlight w:val="none"/>
          <w14:textFill>
            <w14:solidFill>
              <w14:schemeClr w14:val="tx1"/>
            </w14:solidFill>
          </w14:textFill>
        </w:rPr>
        <w:t>。</w:t>
      </w:r>
    </w:p>
    <w:p w14:paraId="61F58E96">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54" w:name="_Toc351203503"/>
      <w:r>
        <w:rPr>
          <w:rFonts w:ascii="宋体" w:hAnsi="宋体"/>
          <w:b w:val="0"/>
          <w:color w:val="000000" w:themeColor="text1"/>
          <w:sz w:val="21"/>
          <w:szCs w:val="21"/>
          <w:highlight w:val="none"/>
          <w14:textFill>
            <w14:solidFill>
              <w14:schemeClr w14:val="tx1"/>
            </w14:solidFill>
          </w14:textFill>
        </w:rPr>
        <w:t>1</w:t>
      </w:r>
      <w:bookmarkStart w:id="655" w:name="_Toc296503035"/>
      <w:bookmarkStart w:id="656" w:name="_Toc337558734"/>
      <w:bookmarkStart w:id="657" w:name="_Toc296346536"/>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 xml:space="preserve">7 </w:t>
      </w:r>
      <w:r>
        <w:rPr>
          <w:rFonts w:ascii="宋体" w:hAnsi="宋体"/>
          <w:b w:val="0"/>
          <w:color w:val="000000" w:themeColor="text1"/>
          <w:sz w:val="21"/>
          <w:szCs w:val="21"/>
          <w:highlight w:val="none"/>
          <w14:textFill>
            <w14:solidFill>
              <w14:schemeClr w14:val="tx1"/>
            </w14:solidFill>
          </w14:textFill>
        </w:rPr>
        <w:t>严禁贿赂</w:t>
      </w:r>
      <w:bookmarkEnd w:id="654"/>
    </w:p>
    <w:bookmarkEnd w:id="655"/>
    <w:bookmarkEnd w:id="656"/>
    <w:bookmarkEnd w:id="657"/>
    <w:p w14:paraId="5D738CA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合同当事人不得以贿赂或变相贿赂的方式，谋取非法利益或损害对方权益。因一方合同当事人的贿赂造成对方损失的，应赔偿损失，</w:t>
      </w:r>
      <w:r>
        <w:rPr>
          <w:rFonts w:hint="eastAsia" w:ascii="宋体" w:hAnsi="宋体"/>
          <w:color w:val="000000" w:themeColor="text1"/>
          <w:sz w:val="21"/>
          <w:szCs w:val="21"/>
          <w:highlight w:val="none"/>
          <w14:textFill>
            <w14:solidFill>
              <w14:schemeClr w14:val="tx1"/>
            </w14:solidFill>
          </w14:textFill>
        </w:rPr>
        <w:t>并</w:t>
      </w:r>
      <w:r>
        <w:rPr>
          <w:rFonts w:ascii="宋体" w:hAnsi="宋体"/>
          <w:color w:val="000000" w:themeColor="text1"/>
          <w:sz w:val="21"/>
          <w:szCs w:val="21"/>
          <w:highlight w:val="none"/>
          <w14:textFill>
            <w14:solidFill>
              <w14:schemeClr w14:val="tx1"/>
            </w14:solidFill>
          </w14:textFill>
        </w:rPr>
        <w:t>承担相应的法律责任。</w:t>
      </w:r>
    </w:p>
    <w:p w14:paraId="2635DB5A">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bookmarkStart w:id="658" w:name="_Toc337558738"/>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 xml:space="preserve">8 </w:t>
      </w:r>
      <w:r>
        <w:rPr>
          <w:rFonts w:ascii="宋体" w:hAnsi="宋体"/>
          <w:b w:val="0"/>
          <w:color w:val="000000" w:themeColor="text1"/>
          <w:sz w:val="21"/>
          <w:szCs w:val="21"/>
          <w:highlight w:val="none"/>
          <w14:textFill>
            <w14:solidFill>
              <w14:schemeClr w14:val="tx1"/>
            </w14:solidFill>
          </w14:textFill>
        </w:rPr>
        <w:t>保密</w:t>
      </w:r>
    </w:p>
    <w:bookmarkEnd w:id="658"/>
    <w:p w14:paraId="20F15BF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除法律规定或合同另有约定外，未经发包人同意，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人不得将发包人提供的图纸、文件以及声明需要保密的资料信息等商业秘密泄露给第三方。</w:t>
      </w:r>
    </w:p>
    <w:p w14:paraId="735D2B0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除法律规定或合同另有约定外，未经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人同意，发包人不得将</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人提供的</w:t>
      </w:r>
      <w:r>
        <w:rPr>
          <w:rFonts w:hint="eastAsia" w:ascii="宋体" w:hAnsi="宋体"/>
          <w:color w:val="000000" w:themeColor="text1"/>
          <w:sz w:val="21"/>
          <w:szCs w:val="21"/>
          <w:highlight w:val="none"/>
          <w14:textFill>
            <w14:solidFill>
              <w14:schemeClr w14:val="tx1"/>
            </w14:solidFill>
          </w14:textFill>
        </w:rPr>
        <w:t>技术文件、技术成果、</w:t>
      </w:r>
      <w:r>
        <w:rPr>
          <w:rFonts w:ascii="宋体" w:hAnsi="宋体"/>
          <w:color w:val="000000" w:themeColor="text1"/>
          <w:sz w:val="21"/>
          <w:szCs w:val="21"/>
          <w:highlight w:val="none"/>
          <w14:textFill>
            <w14:solidFill>
              <w14:schemeClr w14:val="tx1"/>
            </w14:solidFill>
          </w14:textFill>
        </w:rPr>
        <w:t>技术秘密及声明需要保密的资料信息等商业秘密泄露给第三方。</w:t>
      </w:r>
    </w:p>
    <w:p w14:paraId="7CE13CC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保密期限由发包人与设计人在专用合同条款中约定。</w:t>
      </w:r>
    </w:p>
    <w:p w14:paraId="43A5D25A">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659" w:name="_Toc351203509"/>
      <w:r>
        <w:rPr>
          <w:rFonts w:ascii="黑体" w:hAnsi="黑体" w:eastAsia="黑体" w:cs="Times New Roman"/>
          <w:b w:val="0"/>
          <w:color w:val="000000" w:themeColor="text1"/>
          <w:highlight w:val="none"/>
          <w14:textFill>
            <w14:solidFill>
              <w14:schemeClr w14:val="tx1"/>
            </w14:solidFill>
          </w14:textFill>
        </w:rPr>
        <w:t>2</w:t>
      </w:r>
      <w:bookmarkStart w:id="660" w:name="_Toc296346539"/>
      <w:bookmarkStart w:id="661" w:name="_Toc296503038"/>
      <w:bookmarkStart w:id="662" w:name="_Toc337558739"/>
      <w:bookmarkStart w:id="663" w:name="OLE_LINK1"/>
      <w:bookmarkStart w:id="664" w:name="OLE_LINK2"/>
      <w:r>
        <w:rPr>
          <w:rFonts w:ascii="黑体" w:hAnsi="黑体" w:eastAsia="黑体" w:cs="Times New Roman"/>
          <w:b w:val="0"/>
          <w:color w:val="000000" w:themeColor="text1"/>
          <w:highlight w:val="none"/>
          <w14:textFill>
            <w14:solidFill>
              <w14:schemeClr w14:val="tx1"/>
            </w14:solidFill>
          </w14:textFill>
        </w:rPr>
        <w:t>.发包人</w:t>
      </w:r>
      <w:bookmarkEnd w:id="659"/>
    </w:p>
    <w:bookmarkEnd w:id="660"/>
    <w:bookmarkEnd w:id="661"/>
    <w:bookmarkEnd w:id="662"/>
    <w:p w14:paraId="73C07372">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65" w:name="_Toc351203510"/>
      <w:r>
        <w:rPr>
          <w:rFonts w:ascii="宋体" w:hAnsi="宋体"/>
          <w:b w:val="0"/>
          <w:color w:val="000000" w:themeColor="text1"/>
          <w:sz w:val="21"/>
          <w:szCs w:val="21"/>
          <w:highlight w:val="none"/>
          <w14:textFill>
            <w14:solidFill>
              <w14:schemeClr w14:val="tx1"/>
            </w14:solidFill>
          </w14:textFill>
        </w:rPr>
        <w:t>2</w:t>
      </w:r>
      <w:bookmarkStart w:id="666" w:name="_Toc337558740"/>
      <w:bookmarkStart w:id="667" w:name="_Toc296503039"/>
      <w:bookmarkStart w:id="668" w:name="_Toc296346540"/>
      <w:r>
        <w:rPr>
          <w:rFonts w:ascii="宋体" w:hAnsi="宋体"/>
          <w:b w:val="0"/>
          <w:color w:val="000000" w:themeColor="text1"/>
          <w:sz w:val="21"/>
          <w:szCs w:val="21"/>
          <w:highlight w:val="none"/>
          <w14:textFill>
            <w14:solidFill>
              <w14:schemeClr w14:val="tx1"/>
            </w14:solidFill>
          </w14:textFill>
        </w:rPr>
        <w:t xml:space="preserve">.1 </w:t>
      </w:r>
      <w:bookmarkEnd w:id="665"/>
      <w:r>
        <w:rPr>
          <w:rFonts w:hint="eastAsia" w:ascii="宋体" w:hAnsi="宋体"/>
          <w:b w:val="0"/>
          <w:color w:val="000000" w:themeColor="text1"/>
          <w:sz w:val="21"/>
          <w:szCs w:val="21"/>
          <w:highlight w:val="none"/>
          <w14:textFill>
            <w14:solidFill>
              <w14:schemeClr w14:val="tx1"/>
            </w14:solidFill>
          </w14:textFill>
        </w:rPr>
        <w:t>发包人一般义务</w:t>
      </w:r>
    </w:p>
    <w:p w14:paraId="34E6DCF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2.1.1 </w:t>
      </w:r>
      <w:r>
        <w:rPr>
          <w:rFonts w:ascii="宋体" w:hAnsi="宋体"/>
          <w:color w:val="000000" w:themeColor="text1"/>
          <w:sz w:val="21"/>
          <w:szCs w:val="21"/>
          <w:highlight w:val="none"/>
          <w14:textFill>
            <w14:solidFill>
              <w14:schemeClr w14:val="tx1"/>
            </w14:solidFill>
          </w14:textFill>
        </w:rPr>
        <w:t>发包人应遵守法律，并办理法律规定由其办理的许可、</w:t>
      </w:r>
      <w:r>
        <w:rPr>
          <w:rFonts w:hint="eastAsia" w:ascii="宋体" w:hAnsi="宋体"/>
          <w:color w:val="000000" w:themeColor="text1"/>
          <w:sz w:val="21"/>
          <w:szCs w:val="21"/>
          <w:highlight w:val="none"/>
          <w14:textFill>
            <w14:solidFill>
              <w14:schemeClr w14:val="tx1"/>
            </w14:solidFill>
          </w14:textFill>
        </w:rPr>
        <w:t>核准</w:t>
      </w:r>
      <w:r>
        <w:rPr>
          <w:rFonts w:ascii="宋体" w:hAnsi="宋体"/>
          <w:color w:val="000000" w:themeColor="text1"/>
          <w:sz w:val="21"/>
          <w:szCs w:val="21"/>
          <w:highlight w:val="none"/>
          <w14:textFill>
            <w14:solidFill>
              <w14:schemeClr w14:val="tx1"/>
            </w14:solidFill>
          </w14:textFill>
        </w:rPr>
        <w:t>或备案，包括但不限于建设用地规划许可证、建设工程规划许可证、</w:t>
      </w:r>
      <w:r>
        <w:rPr>
          <w:rFonts w:hint="eastAsia" w:ascii="宋体" w:hAnsi="宋体"/>
          <w:color w:val="000000" w:themeColor="text1"/>
          <w:sz w:val="21"/>
          <w:szCs w:val="21"/>
          <w:highlight w:val="none"/>
          <w14:textFill>
            <w14:solidFill>
              <w14:schemeClr w14:val="tx1"/>
            </w14:solidFill>
          </w14:textFill>
        </w:rPr>
        <w:t>建设工程方案设计批准、施工图设计审查</w:t>
      </w:r>
      <w:r>
        <w:rPr>
          <w:rFonts w:ascii="宋体" w:hAnsi="宋体"/>
          <w:color w:val="000000" w:themeColor="text1"/>
          <w:sz w:val="21"/>
          <w:szCs w:val="21"/>
          <w:highlight w:val="none"/>
          <w14:textFill>
            <w14:solidFill>
              <w14:schemeClr w14:val="tx1"/>
            </w14:solidFill>
          </w14:textFill>
        </w:rPr>
        <w:t>等许可</w:t>
      </w:r>
      <w:r>
        <w:rPr>
          <w:rFonts w:hint="eastAsia" w:ascii="宋体" w:hAnsi="宋体"/>
          <w:color w:val="000000" w:themeColor="text1"/>
          <w:sz w:val="21"/>
          <w:szCs w:val="21"/>
          <w:highlight w:val="none"/>
          <w14:textFill>
            <w14:solidFill>
              <w14:schemeClr w14:val="tx1"/>
            </w14:solidFill>
          </w14:textFill>
        </w:rPr>
        <w:t>、核准或备案</w:t>
      </w:r>
      <w:r>
        <w:rPr>
          <w:rFonts w:ascii="宋体" w:hAnsi="宋体"/>
          <w:color w:val="000000" w:themeColor="text1"/>
          <w:sz w:val="21"/>
          <w:szCs w:val="21"/>
          <w:highlight w:val="none"/>
          <w14:textFill>
            <w14:solidFill>
              <w14:schemeClr w14:val="tx1"/>
            </w14:solidFill>
          </w14:textFill>
        </w:rPr>
        <w:t>。</w:t>
      </w:r>
    </w:p>
    <w:p w14:paraId="2C45DC7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发包人负责本项目各阶段设计文件向规划设计管理部门的送审报批工作，并负责将报批结果书面通知设计人。</w:t>
      </w:r>
      <w:r>
        <w:rPr>
          <w:rFonts w:ascii="宋体" w:hAnsi="宋体"/>
          <w:color w:val="000000" w:themeColor="text1"/>
          <w:sz w:val="21"/>
          <w:szCs w:val="21"/>
          <w:highlight w:val="none"/>
          <w14:textFill>
            <w14:solidFill>
              <w14:schemeClr w14:val="tx1"/>
            </w14:solidFill>
          </w14:textFill>
        </w:rPr>
        <w:t>因发包人原因未能及时办理完毕前述许可、</w:t>
      </w:r>
      <w:r>
        <w:rPr>
          <w:rFonts w:hint="eastAsia" w:ascii="宋体" w:hAnsi="宋体"/>
          <w:color w:val="000000" w:themeColor="text1"/>
          <w:sz w:val="21"/>
          <w:szCs w:val="21"/>
          <w:highlight w:val="none"/>
          <w14:textFill>
            <w14:solidFill>
              <w14:schemeClr w14:val="tx1"/>
            </w14:solidFill>
          </w14:textFill>
        </w:rPr>
        <w:t>核</w:t>
      </w:r>
      <w:r>
        <w:rPr>
          <w:rFonts w:ascii="宋体" w:hAnsi="宋体"/>
          <w:color w:val="000000" w:themeColor="text1"/>
          <w:sz w:val="21"/>
          <w:szCs w:val="21"/>
          <w:highlight w:val="none"/>
          <w14:textFill>
            <w14:solidFill>
              <w14:schemeClr w14:val="tx1"/>
            </w14:solidFill>
          </w14:textFill>
        </w:rPr>
        <w:t>准或备案</w:t>
      </w:r>
      <w:r>
        <w:rPr>
          <w:rFonts w:hint="eastAsia" w:ascii="宋体" w:hAnsi="宋体"/>
          <w:color w:val="000000" w:themeColor="text1"/>
          <w:sz w:val="21"/>
          <w:szCs w:val="21"/>
          <w:highlight w:val="none"/>
          <w14:textFill>
            <w14:solidFill>
              <w14:schemeClr w14:val="tx1"/>
            </w14:solidFill>
          </w14:textFill>
        </w:rPr>
        <w:t>手续</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导致设计工作量增加和（或）设计周期延长时，</w:t>
      </w:r>
      <w:r>
        <w:rPr>
          <w:rFonts w:ascii="宋体" w:hAnsi="宋体"/>
          <w:color w:val="000000" w:themeColor="text1"/>
          <w:sz w:val="21"/>
          <w:szCs w:val="21"/>
          <w:highlight w:val="none"/>
          <w14:textFill>
            <w14:solidFill>
              <w14:schemeClr w14:val="tx1"/>
            </w14:solidFill>
          </w14:textFill>
        </w:rPr>
        <w:t>由发包人承担由此增加的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费用和（或）延</w:t>
      </w:r>
      <w:r>
        <w:rPr>
          <w:rFonts w:hint="eastAsia" w:ascii="宋体" w:hAnsi="宋体"/>
          <w:color w:val="000000" w:themeColor="text1"/>
          <w:sz w:val="21"/>
          <w:szCs w:val="21"/>
          <w:highlight w:val="none"/>
          <w14:textFill>
            <w14:solidFill>
              <w14:schemeClr w14:val="tx1"/>
            </w14:solidFill>
          </w14:textFill>
        </w:rPr>
        <w:t>长</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设计周期</w:t>
      </w:r>
      <w:r>
        <w:rPr>
          <w:rFonts w:ascii="宋体" w:hAnsi="宋体"/>
          <w:color w:val="000000" w:themeColor="text1"/>
          <w:sz w:val="21"/>
          <w:szCs w:val="21"/>
          <w:highlight w:val="none"/>
          <w14:textFill>
            <w14:solidFill>
              <w14:schemeClr w14:val="tx1"/>
            </w14:solidFill>
          </w14:textFill>
        </w:rPr>
        <w:t>。</w:t>
      </w:r>
    </w:p>
    <w:p w14:paraId="3FE57C6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2.1.2 发包人应当负责工程设计的所有外部关系（包括但不限于当地政府主管部门等）的协调，为设计人履行合同提供必要的外部条件。</w:t>
      </w:r>
    </w:p>
    <w:p w14:paraId="15B21B2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 专用合同条款约定的其他义务。</w:t>
      </w:r>
    </w:p>
    <w:p w14:paraId="22502E3A">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69" w:name="_Toc351203511"/>
      <w:r>
        <w:rPr>
          <w:rFonts w:ascii="宋体" w:hAnsi="宋体"/>
          <w:b w:val="0"/>
          <w:color w:val="000000" w:themeColor="text1"/>
          <w:sz w:val="21"/>
          <w:szCs w:val="21"/>
          <w:highlight w:val="none"/>
          <w14:textFill>
            <w14:solidFill>
              <w14:schemeClr w14:val="tx1"/>
            </w14:solidFill>
          </w14:textFill>
        </w:rPr>
        <w:t>2.2 发包人代表</w:t>
      </w:r>
      <w:bookmarkEnd w:id="669"/>
    </w:p>
    <w:p w14:paraId="5C2C189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发包人应在专用合同条款中明确其</w:t>
      </w:r>
      <w:r>
        <w:rPr>
          <w:rFonts w:hint="eastAsia" w:ascii="宋体" w:hAnsi="宋体"/>
          <w:color w:val="000000" w:themeColor="text1"/>
          <w:sz w:val="21"/>
          <w:szCs w:val="21"/>
          <w:highlight w:val="none"/>
          <w14:textFill>
            <w14:solidFill>
              <w14:schemeClr w14:val="tx1"/>
            </w14:solidFill>
          </w14:textFill>
        </w:rPr>
        <w:t>负责工程设计</w:t>
      </w:r>
      <w:r>
        <w:rPr>
          <w:rFonts w:ascii="宋体" w:hAnsi="宋体"/>
          <w:color w:val="000000" w:themeColor="text1"/>
          <w:sz w:val="21"/>
          <w:szCs w:val="21"/>
          <w:highlight w:val="none"/>
          <w14:textFill>
            <w14:solidFill>
              <w14:schemeClr w14:val="tx1"/>
            </w14:solidFill>
          </w14:textFill>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宋体" w:hAnsi="宋体"/>
          <w:color w:val="000000" w:themeColor="text1"/>
          <w:sz w:val="21"/>
          <w:szCs w:val="21"/>
          <w:highlight w:val="none"/>
          <w14:textFill>
            <w14:solidFill>
              <w14:schemeClr w14:val="tx1"/>
            </w14:solidFill>
          </w14:textFill>
        </w:rPr>
        <w:t>在专用合同条款约定的期限内</w:t>
      </w:r>
      <w:r>
        <w:rPr>
          <w:rFonts w:ascii="宋体" w:hAnsi="宋体"/>
          <w:color w:val="000000" w:themeColor="text1"/>
          <w:sz w:val="21"/>
          <w:szCs w:val="21"/>
          <w:highlight w:val="none"/>
          <w14:textFill>
            <w14:solidFill>
              <w14:schemeClr w14:val="tx1"/>
            </w14:solidFill>
          </w14:textFill>
        </w:rPr>
        <w:t>提前书面通知</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p>
    <w:p w14:paraId="461BBC6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发包人代表不能按照合同约定履行其职责及义务，并导致合同无法继续正常履行的，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人可以要求发包人撤换发包人代表。</w:t>
      </w:r>
    </w:p>
    <w:p w14:paraId="504647E0">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发包人决定</w:t>
      </w:r>
    </w:p>
    <w:p w14:paraId="4FBA3F8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21153D7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2.3.2 发包人应在专用合同条款约定的期限内对设计人书面提出的事项作出书面决定，如发包人不在确定时间内作出书面决定，设计人的设计周期相应延长。</w:t>
      </w:r>
    </w:p>
    <w:bookmarkEnd w:id="663"/>
    <w:bookmarkEnd w:id="664"/>
    <w:bookmarkEnd w:id="666"/>
    <w:bookmarkEnd w:id="667"/>
    <w:bookmarkEnd w:id="668"/>
    <w:p w14:paraId="599F28C4">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2</w:t>
      </w:r>
      <w:bookmarkStart w:id="670" w:name="_Toc337558745"/>
      <w:bookmarkStart w:id="671" w:name="_Toc296503042"/>
      <w:bookmarkStart w:id="672" w:name="_Toc296346543"/>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4</w:t>
      </w:r>
      <w:r>
        <w:rPr>
          <w:rFonts w:ascii="宋体" w:hAnsi="宋体"/>
          <w:b w:val="0"/>
          <w:color w:val="000000" w:themeColor="text1"/>
          <w:sz w:val="21"/>
          <w:szCs w:val="21"/>
          <w:highlight w:val="none"/>
          <w14:textFill>
            <w14:solidFill>
              <w14:schemeClr w14:val="tx1"/>
            </w14:solidFill>
          </w14:textFill>
        </w:rPr>
        <w:t xml:space="preserve"> </w:t>
      </w:r>
      <w:bookmarkEnd w:id="670"/>
      <w:bookmarkEnd w:id="671"/>
      <w:bookmarkEnd w:id="672"/>
      <w:bookmarkStart w:id="673" w:name="_Toc351203515"/>
      <w:r>
        <w:rPr>
          <w:rFonts w:ascii="宋体" w:hAnsi="宋体"/>
          <w:b w:val="0"/>
          <w:color w:val="000000" w:themeColor="text1"/>
          <w:sz w:val="21"/>
          <w:szCs w:val="21"/>
          <w:highlight w:val="none"/>
          <w14:textFill>
            <w14:solidFill>
              <w14:schemeClr w14:val="tx1"/>
            </w14:solidFill>
          </w14:textFill>
        </w:rPr>
        <w:t>支付合同价款</w:t>
      </w:r>
      <w:bookmarkEnd w:id="673"/>
    </w:p>
    <w:p w14:paraId="116962A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发包人应按合同约定向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人及时</w:t>
      </w:r>
      <w:r>
        <w:rPr>
          <w:rFonts w:hint="eastAsia" w:ascii="宋体" w:hAnsi="宋体"/>
          <w:color w:val="000000" w:themeColor="text1"/>
          <w:sz w:val="21"/>
          <w:szCs w:val="21"/>
          <w:highlight w:val="none"/>
          <w14:textFill>
            <w14:solidFill>
              <w14:schemeClr w14:val="tx1"/>
            </w14:solidFill>
          </w14:textFill>
        </w:rPr>
        <w:t>足额</w:t>
      </w:r>
      <w:r>
        <w:rPr>
          <w:rFonts w:ascii="宋体" w:hAnsi="宋体"/>
          <w:color w:val="000000" w:themeColor="text1"/>
          <w:sz w:val="21"/>
          <w:szCs w:val="21"/>
          <w:highlight w:val="none"/>
          <w14:textFill>
            <w14:solidFill>
              <w14:schemeClr w14:val="tx1"/>
            </w14:solidFill>
          </w14:textFill>
        </w:rPr>
        <w:t>支付合同价款。</w:t>
      </w:r>
    </w:p>
    <w:p w14:paraId="1136E00F">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74" w:name="_Toc351203516"/>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 xml:space="preserve"> </w:t>
      </w:r>
      <w:bookmarkEnd w:id="674"/>
      <w:r>
        <w:rPr>
          <w:rFonts w:hint="eastAsia" w:ascii="宋体" w:hAnsi="宋体"/>
          <w:b w:val="0"/>
          <w:color w:val="000000" w:themeColor="text1"/>
          <w:sz w:val="21"/>
          <w:szCs w:val="21"/>
          <w:highlight w:val="none"/>
          <w14:textFill>
            <w14:solidFill>
              <w14:schemeClr w14:val="tx1"/>
            </w14:solidFill>
          </w14:textFill>
        </w:rPr>
        <w:t>设计文件接收</w:t>
      </w:r>
    </w:p>
    <w:p w14:paraId="151ADBA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发包人应按合同约定及时</w:t>
      </w:r>
      <w:r>
        <w:rPr>
          <w:rFonts w:hint="eastAsia" w:ascii="宋体" w:hAnsi="宋体"/>
          <w:color w:val="000000" w:themeColor="text1"/>
          <w:sz w:val="21"/>
          <w:szCs w:val="21"/>
          <w:highlight w:val="none"/>
          <w14:textFill>
            <w14:solidFill>
              <w14:schemeClr w14:val="tx1"/>
            </w14:solidFill>
          </w14:textFill>
        </w:rPr>
        <w:t>接收设计人提交的工程设计文件</w:t>
      </w:r>
      <w:r>
        <w:rPr>
          <w:rFonts w:ascii="宋体" w:hAnsi="宋体"/>
          <w:color w:val="000000" w:themeColor="text1"/>
          <w:sz w:val="21"/>
          <w:szCs w:val="21"/>
          <w:highlight w:val="none"/>
          <w14:textFill>
            <w14:solidFill>
              <w14:schemeClr w14:val="tx1"/>
            </w14:solidFill>
          </w14:textFill>
        </w:rPr>
        <w:t>。</w:t>
      </w:r>
    </w:p>
    <w:p w14:paraId="68A8EB92">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675" w:name="_Toc351203518"/>
      <w:r>
        <w:rPr>
          <w:rFonts w:ascii="黑体" w:hAnsi="黑体" w:eastAsia="黑体" w:cs="Times New Roman"/>
          <w:b w:val="0"/>
          <w:color w:val="000000" w:themeColor="text1"/>
          <w:highlight w:val="none"/>
          <w14:textFill>
            <w14:solidFill>
              <w14:schemeClr w14:val="tx1"/>
            </w14:solidFill>
          </w14:textFill>
        </w:rPr>
        <w:t>3</w:t>
      </w:r>
      <w:bookmarkStart w:id="676" w:name="_Toc296346546"/>
      <w:bookmarkStart w:id="677" w:name="_Toc337558746"/>
      <w:bookmarkStart w:id="678" w:name="_Toc296503045"/>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设计</w:t>
      </w:r>
      <w:r>
        <w:rPr>
          <w:rFonts w:ascii="黑体" w:hAnsi="黑体" w:eastAsia="黑体" w:cs="Times New Roman"/>
          <w:b w:val="0"/>
          <w:color w:val="000000" w:themeColor="text1"/>
          <w:highlight w:val="none"/>
          <w14:textFill>
            <w14:solidFill>
              <w14:schemeClr w14:val="tx1"/>
            </w14:solidFill>
          </w14:textFill>
        </w:rPr>
        <w:t>人</w:t>
      </w:r>
      <w:bookmarkEnd w:id="675"/>
    </w:p>
    <w:bookmarkEnd w:id="676"/>
    <w:bookmarkEnd w:id="677"/>
    <w:bookmarkEnd w:id="678"/>
    <w:p w14:paraId="3CE3376F">
      <w:pPr>
        <w:pStyle w:val="6"/>
        <w:keepNext w:val="0"/>
        <w:keepLines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79" w:name="_Toc351203519"/>
      <w:r>
        <w:rPr>
          <w:rFonts w:ascii="宋体" w:hAnsi="宋体"/>
          <w:b w:val="0"/>
          <w:color w:val="000000" w:themeColor="text1"/>
          <w:sz w:val="21"/>
          <w:szCs w:val="21"/>
          <w:highlight w:val="none"/>
          <w14:textFill>
            <w14:solidFill>
              <w14:schemeClr w14:val="tx1"/>
            </w14:solidFill>
          </w14:textFill>
        </w:rPr>
        <w:t>3</w:t>
      </w:r>
      <w:bookmarkStart w:id="680" w:name="_Toc296503046"/>
      <w:bookmarkStart w:id="681" w:name="_Toc296346547"/>
      <w:bookmarkStart w:id="682" w:name="_Toc337558747"/>
      <w:r>
        <w:rPr>
          <w:rFonts w:ascii="宋体" w:hAnsi="宋体"/>
          <w:b w:val="0"/>
          <w:color w:val="000000" w:themeColor="text1"/>
          <w:sz w:val="21"/>
          <w:szCs w:val="21"/>
          <w:highlight w:val="none"/>
          <w14:textFill>
            <w14:solidFill>
              <w14:schemeClr w14:val="tx1"/>
            </w14:solidFill>
          </w14:textFill>
        </w:rPr>
        <w:t xml:space="preserve">.1 </w:t>
      </w:r>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人一般义务</w:t>
      </w:r>
      <w:bookmarkEnd w:id="679"/>
    </w:p>
    <w:bookmarkEnd w:id="680"/>
    <w:bookmarkEnd w:id="681"/>
    <w:bookmarkEnd w:id="682"/>
    <w:p w14:paraId="52117FF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3.1.1 设计</w:t>
      </w:r>
      <w:r>
        <w:rPr>
          <w:rFonts w:ascii="宋体" w:hAnsi="宋体"/>
          <w:color w:val="000000" w:themeColor="text1"/>
          <w:sz w:val="21"/>
          <w:szCs w:val="21"/>
          <w:highlight w:val="none"/>
          <w14:textFill>
            <w14:solidFill>
              <w14:schemeClr w14:val="tx1"/>
            </w14:solidFill>
          </w14:textFill>
        </w:rPr>
        <w:t>人应遵守法律和</w:t>
      </w:r>
      <w:r>
        <w:rPr>
          <w:rFonts w:hint="eastAsia" w:ascii="宋体" w:hAnsi="宋体"/>
          <w:color w:val="000000" w:themeColor="text1"/>
          <w:sz w:val="21"/>
          <w:szCs w:val="21"/>
          <w:highlight w:val="none"/>
          <w14:textFill>
            <w14:solidFill>
              <w14:schemeClr w14:val="tx1"/>
            </w14:solidFill>
          </w14:textFill>
        </w:rPr>
        <w:t>有关技术标准的强制性规定</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完成合同约定范围内的房屋建筑工程方案设计、初步设计、施工图设计，提供符合技术标准及合同要求的工程设计文件，提供施工配合服务。</w:t>
      </w:r>
    </w:p>
    <w:p w14:paraId="79D3196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设计人应当按照专用合同条款约定配合发包人</w:t>
      </w:r>
      <w:r>
        <w:rPr>
          <w:rFonts w:ascii="宋体" w:hAnsi="宋体"/>
          <w:color w:val="000000" w:themeColor="text1"/>
          <w:sz w:val="21"/>
          <w:szCs w:val="21"/>
          <w:highlight w:val="none"/>
          <w14:textFill>
            <w14:solidFill>
              <w14:schemeClr w14:val="tx1"/>
            </w14:solidFill>
          </w14:textFill>
        </w:rPr>
        <w:t>办理</w:t>
      </w:r>
      <w:r>
        <w:rPr>
          <w:rFonts w:hint="eastAsia" w:ascii="宋体" w:hAnsi="宋体"/>
          <w:color w:val="000000" w:themeColor="text1"/>
          <w:sz w:val="21"/>
          <w:szCs w:val="21"/>
          <w:highlight w:val="none"/>
          <w14:textFill>
            <w14:solidFill>
              <w14:schemeClr w14:val="tx1"/>
            </w14:solidFill>
          </w14:textFill>
        </w:rPr>
        <w:t>有关</w:t>
      </w:r>
      <w:r>
        <w:rPr>
          <w:rFonts w:ascii="宋体" w:hAnsi="宋体"/>
          <w:color w:val="000000" w:themeColor="text1"/>
          <w:sz w:val="21"/>
          <w:szCs w:val="21"/>
          <w:highlight w:val="none"/>
          <w14:textFill>
            <w14:solidFill>
              <w14:schemeClr w14:val="tx1"/>
            </w14:solidFill>
          </w14:textFill>
        </w:rPr>
        <w:t>许可、</w:t>
      </w:r>
      <w:r>
        <w:rPr>
          <w:rFonts w:hint="eastAsia" w:ascii="宋体" w:hAnsi="宋体"/>
          <w:color w:val="000000" w:themeColor="text1"/>
          <w:sz w:val="21"/>
          <w:szCs w:val="21"/>
          <w:highlight w:val="none"/>
          <w14:textFill>
            <w14:solidFill>
              <w14:schemeClr w14:val="tx1"/>
            </w14:solidFill>
          </w14:textFill>
        </w:rPr>
        <w:t>核</w:t>
      </w:r>
      <w:r>
        <w:rPr>
          <w:rFonts w:ascii="宋体" w:hAnsi="宋体"/>
          <w:color w:val="000000" w:themeColor="text1"/>
          <w:sz w:val="21"/>
          <w:szCs w:val="21"/>
          <w:highlight w:val="none"/>
          <w14:textFill>
            <w14:solidFill>
              <w14:schemeClr w14:val="tx1"/>
            </w14:solidFill>
          </w14:textFill>
        </w:rPr>
        <w:t>准或备案</w:t>
      </w:r>
      <w:r>
        <w:rPr>
          <w:rFonts w:hint="eastAsia" w:ascii="宋体" w:hAnsi="宋体"/>
          <w:color w:val="000000" w:themeColor="text1"/>
          <w:sz w:val="21"/>
          <w:szCs w:val="21"/>
          <w:highlight w:val="none"/>
          <w14:textFill>
            <w14:solidFill>
              <w14:schemeClr w14:val="tx1"/>
            </w14:solidFill>
          </w14:textFill>
        </w:rPr>
        <w:t>手续</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w:t>
      </w:r>
      <w:r>
        <w:rPr>
          <w:rFonts w:hint="eastAsia" w:ascii="宋体" w:hAnsi="宋体"/>
          <w:color w:val="000000" w:themeColor="text1"/>
          <w:sz w:val="21"/>
          <w:szCs w:val="21"/>
          <w:highlight w:val="none"/>
          <w14:textFill>
            <w14:solidFill>
              <w14:schemeClr w14:val="tx1"/>
            </w14:solidFill>
          </w14:textFill>
        </w:rPr>
        <w:t>造成发包人</w:t>
      </w:r>
      <w:r>
        <w:rPr>
          <w:rFonts w:ascii="宋体" w:hAnsi="宋体"/>
          <w:color w:val="000000" w:themeColor="text1"/>
          <w:sz w:val="21"/>
          <w:szCs w:val="21"/>
          <w:highlight w:val="none"/>
          <w14:textFill>
            <w14:solidFill>
              <w14:schemeClr w14:val="tx1"/>
            </w14:solidFill>
          </w14:textFill>
        </w:rPr>
        <w:t>未能及时办理许可、</w:t>
      </w:r>
      <w:r>
        <w:rPr>
          <w:rFonts w:hint="eastAsia" w:ascii="宋体" w:hAnsi="宋体"/>
          <w:color w:val="000000" w:themeColor="text1"/>
          <w:sz w:val="21"/>
          <w:szCs w:val="21"/>
          <w:highlight w:val="none"/>
          <w14:textFill>
            <w14:solidFill>
              <w14:schemeClr w14:val="tx1"/>
            </w14:solidFill>
          </w14:textFill>
        </w:rPr>
        <w:t>核准</w:t>
      </w:r>
      <w:r>
        <w:rPr>
          <w:rFonts w:ascii="宋体" w:hAnsi="宋体"/>
          <w:color w:val="000000" w:themeColor="text1"/>
          <w:sz w:val="21"/>
          <w:szCs w:val="21"/>
          <w:highlight w:val="none"/>
          <w14:textFill>
            <w14:solidFill>
              <w14:schemeClr w14:val="tx1"/>
            </w14:solidFill>
          </w14:textFill>
        </w:rPr>
        <w:t>或备案</w:t>
      </w:r>
      <w:r>
        <w:rPr>
          <w:rFonts w:hint="eastAsia" w:ascii="宋体" w:hAnsi="宋体"/>
          <w:color w:val="000000" w:themeColor="text1"/>
          <w:sz w:val="21"/>
          <w:szCs w:val="21"/>
          <w:highlight w:val="none"/>
          <w14:textFill>
            <w14:solidFill>
              <w14:schemeClr w14:val="tx1"/>
            </w14:solidFill>
          </w14:textFill>
        </w:rPr>
        <w:t>手续</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导致设计工作量增加和（或）设计周期延长时，</w:t>
      </w:r>
      <w:r>
        <w:rPr>
          <w:rFonts w:ascii="宋体" w:hAnsi="宋体"/>
          <w:color w:val="000000" w:themeColor="text1"/>
          <w:sz w:val="21"/>
          <w:szCs w:val="21"/>
          <w:highlight w:val="none"/>
          <w14:textFill>
            <w14:solidFill>
              <w14:schemeClr w14:val="tx1"/>
            </w14:solidFill>
          </w14:textFill>
        </w:rPr>
        <w:t>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自行</w:t>
      </w:r>
      <w:r>
        <w:rPr>
          <w:rFonts w:ascii="宋体" w:hAnsi="宋体"/>
          <w:color w:val="000000" w:themeColor="text1"/>
          <w:sz w:val="21"/>
          <w:szCs w:val="21"/>
          <w:highlight w:val="none"/>
          <w14:textFill>
            <w14:solidFill>
              <w14:schemeClr w14:val="tx1"/>
            </w14:solidFill>
          </w14:textFill>
        </w:rPr>
        <w:t>承担由此增加的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设计周期延长的责任。</w:t>
      </w:r>
    </w:p>
    <w:p w14:paraId="418CF91D">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3.1.2 设计人应当完成合同约定的工程设计其他服务。</w:t>
      </w:r>
    </w:p>
    <w:p w14:paraId="023A87A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3.1.3 专用合同条款约定的其他义务。</w:t>
      </w:r>
    </w:p>
    <w:p w14:paraId="2059656E">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83" w:name="_Toc351203520"/>
      <w:r>
        <w:rPr>
          <w:rFonts w:ascii="宋体" w:hAnsi="宋体"/>
          <w:b w:val="0"/>
          <w:color w:val="000000" w:themeColor="text1"/>
          <w:sz w:val="21"/>
          <w:szCs w:val="21"/>
          <w:highlight w:val="none"/>
          <w14:textFill>
            <w14:solidFill>
              <w14:schemeClr w14:val="tx1"/>
            </w14:solidFill>
          </w14:textFill>
        </w:rPr>
        <w:t>3</w:t>
      </w:r>
      <w:bookmarkStart w:id="684" w:name="_Toc296503047"/>
      <w:bookmarkStart w:id="685" w:name="_Toc337558748"/>
      <w:bookmarkStart w:id="686" w:name="_Toc296346548"/>
      <w:r>
        <w:rPr>
          <w:rFonts w:ascii="宋体" w:hAnsi="宋体"/>
          <w:b w:val="0"/>
          <w:color w:val="000000" w:themeColor="text1"/>
          <w:sz w:val="21"/>
          <w:szCs w:val="21"/>
          <w:highlight w:val="none"/>
          <w14:textFill>
            <w14:solidFill>
              <w14:schemeClr w14:val="tx1"/>
            </w14:solidFill>
          </w14:textFill>
        </w:rPr>
        <w:t xml:space="preserve">.2 </w:t>
      </w:r>
      <w:bookmarkEnd w:id="683"/>
      <w:r>
        <w:rPr>
          <w:rFonts w:ascii="宋体" w:hAnsi="宋体"/>
          <w:b w:val="0"/>
          <w:color w:val="000000" w:themeColor="text1"/>
          <w:sz w:val="21"/>
          <w:szCs w:val="21"/>
          <w:highlight w:val="none"/>
          <w14:textFill>
            <w14:solidFill>
              <w14:schemeClr w14:val="tx1"/>
            </w14:solidFill>
          </w14:textFill>
        </w:rPr>
        <w:t>项目负责人</w:t>
      </w:r>
    </w:p>
    <w:bookmarkEnd w:id="684"/>
    <w:bookmarkEnd w:id="685"/>
    <w:bookmarkEnd w:id="686"/>
    <w:p w14:paraId="2345018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3.2.1 项目负责人应为合同当事人所确认的人选，并在专用合同条款中明确项目负责人的姓名、</w:t>
      </w:r>
      <w:r>
        <w:rPr>
          <w:rFonts w:hint="eastAsia" w:ascii="宋体" w:hAnsi="宋体"/>
          <w:color w:val="000000" w:themeColor="text1"/>
          <w:sz w:val="21"/>
          <w:szCs w:val="21"/>
          <w:highlight w:val="none"/>
          <w14:textFill>
            <w14:solidFill>
              <w14:schemeClr w14:val="tx1"/>
            </w14:solidFill>
          </w14:textFill>
        </w:rPr>
        <w:t>执业资格及等级</w:t>
      </w:r>
      <w:r>
        <w:rPr>
          <w:rFonts w:ascii="宋体" w:hAnsi="宋体"/>
          <w:color w:val="000000" w:themeColor="text1"/>
          <w:sz w:val="21"/>
          <w:szCs w:val="21"/>
          <w:highlight w:val="none"/>
          <w14:textFill>
            <w14:solidFill>
              <w14:schemeClr w14:val="tx1"/>
            </w14:solidFill>
          </w14:textFill>
        </w:rPr>
        <w:t>、注册执业证书编号、联系方式及授权范围等事项，项目负责人经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人授权后代表</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人负责履行合同。</w:t>
      </w:r>
    </w:p>
    <w:p w14:paraId="6AEAC12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人需要更换项目负责人的，应</w:t>
      </w:r>
      <w:r>
        <w:rPr>
          <w:rFonts w:hint="eastAsia" w:ascii="宋体" w:hAnsi="宋体"/>
          <w:color w:val="000000" w:themeColor="text1"/>
          <w:sz w:val="21"/>
          <w:szCs w:val="21"/>
          <w:highlight w:val="none"/>
          <w14:textFill>
            <w14:solidFill>
              <w14:schemeClr w14:val="tx1"/>
            </w14:solidFill>
          </w14:textFill>
        </w:rPr>
        <w:t>在专用合同条款约定的期限内</w:t>
      </w:r>
      <w:r>
        <w:rPr>
          <w:rFonts w:ascii="宋体" w:hAnsi="宋体"/>
          <w:color w:val="000000" w:themeColor="text1"/>
          <w:sz w:val="21"/>
          <w:szCs w:val="21"/>
          <w:highlight w:val="none"/>
          <w14:textFill>
            <w14:solidFill>
              <w14:schemeClr w14:val="tx1"/>
            </w14:solidFill>
          </w14:textFill>
        </w:rPr>
        <w:t>提前书面通知发包人，并征得发包人书面同意。通知中应当载明继任项目负责人的注册执业资格、管理经验等资料，继任项目负责人继续履行第3.2.1项约定的职责。未经发包人书面同意，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人不得擅自更换项目负责人。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人擅自更换项目负责人的，应按照专用合同条款的约定承担违约责任</w:t>
      </w:r>
      <w:r>
        <w:rPr>
          <w:rFonts w:hint="eastAsia" w:ascii="宋体" w:hAnsi="宋体"/>
          <w:color w:val="000000" w:themeColor="text1"/>
          <w:sz w:val="21"/>
          <w:szCs w:val="21"/>
          <w:highlight w:val="none"/>
          <w14:textFill>
            <w14:solidFill>
              <w14:schemeClr w14:val="tx1"/>
            </w14:solidFill>
          </w14:textFill>
        </w:rPr>
        <w:t>。对于设计人项目负责人确因患病、与设计人解除或终止劳动关系、工伤等原因更换项目负责人的，发包人无正当理由不得拒绝更换。</w:t>
      </w:r>
    </w:p>
    <w:p w14:paraId="10F36B0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发包人有权书面通知设计人更换其认为不称职的项目负责人，通知中应当载明要求更换的理由。</w:t>
      </w:r>
      <w:r>
        <w:rPr>
          <w:rFonts w:hint="eastAsia" w:ascii="宋体" w:hAnsi="宋体"/>
          <w:color w:val="000000" w:themeColor="text1"/>
          <w:sz w:val="21"/>
          <w:szCs w:val="21"/>
          <w:highlight w:val="none"/>
          <w14:textFill>
            <w14:solidFill>
              <w14:schemeClr w14:val="tx1"/>
            </w14:solidFill>
          </w14:textFill>
        </w:rPr>
        <w:t>对于发包人有理由的更换要求，设计</w:t>
      </w:r>
      <w:r>
        <w:rPr>
          <w:rFonts w:ascii="宋体" w:hAnsi="宋体"/>
          <w:color w:val="000000" w:themeColor="text1"/>
          <w:sz w:val="21"/>
          <w:szCs w:val="21"/>
          <w:highlight w:val="none"/>
          <w14:textFill>
            <w14:solidFill>
              <w14:schemeClr w14:val="tx1"/>
            </w14:solidFill>
          </w14:textFill>
        </w:rPr>
        <w:t>人应在</w:t>
      </w:r>
      <w:r>
        <w:rPr>
          <w:rFonts w:hint="eastAsia" w:ascii="宋体" w:hAnsi="宋体"/>
          <w:color w:val="000000" w:themeColor="text1"/>
          <w:sz w:val="21"/>
          <w:szCs w:val="21"/>
          <w:highlight w:val="none"/>
          <w14:textFill>
            <w14:solidFill>
              <w14:schemeClr w14:val="tx1"/>
            </w14:solidFill>
          </w14:textFill>
        </w:rPr>
        <w:t>收</w:t>
      </w:r>
      <w:r>
        <w:rPr>
          <w:rFonts w:ascii="宋体" w:hAnsi="宋体"/>
          <w:color w:val="000000" w:themeColor="text1"/>
          <w:sz w:val="21"/>
          <w:szCs w:val="21"/>
          <w:highlight w:val="none"/>
          <w14:textFill>
            <w14:solidFill>
              <w14:schemeClr w14:val="tx1"/>
            </w14:solidFill>
          </w14:textFill>
        </w:rPr>
        <w:t>到</w:t>
      </w:r>
      <w:r>
        <w:rPr>
          <w:rFonts w:hint="eastAsia" w:ascii="宋体" w:hAnsi="宋体"/>
          <w:color w:val="000000" w:themeColor="text1"/>
          <w:sz w:val="21"/>
          <w:szCs w:val="21"/>
          <w:highlight w:val="none"/>
          <w14:textFill>
            <w14:solidFill>
              <w14:schemeClr w14:val="tx1"/>
            </w14:solidFill>
          </w14:textFill>
        </w:rPr>
        <w:t>书面</w:t>
      </w:r>
      <w:r>
        <w:rPr>
          <w:rFonts w:ascii="宋体" w:hAnsi="宋体"/>
          <w:color w:val="000000" w:themeColor="text1"/>
          <w:sz w:val="21"/>
          <w:szCs w:val="21"/>
          <w:highlight w:val="none"/>
          <w14:textFill>
            <w14:solidFill>
              <w14:schemeClr w14:val="tx1"/>
            </w14:solidFill>
          </w14:textFill>
        </w:rPr>
        <w:t>更换通知后</w:t>
      </w:r>
      <w:r>
        <w:rPr>
          <w:rFonts w:hint="eastAsia" w:ascii="宋体" w:hAnsi="宋体"/>
          <w:color w:val="000000" w:themeColor="text1"/>
          <w:sz w:val="21"/>
          <w:szCs w:val="21"/>
          <w:highlight w:val="none"/>
          <w14:textFill>
            <w14:solidFill>
              <w14:schemeClr w14:val="tx1"/>
            </w14:solidFill>
          </w14:textFill>
        </w:rPr>
        <w:t>在专用合同条款约定的期限内</w:t>
      </w:r>
      <w:r>
        <w:rPr>
          <w:rFonts w:ascii="宋体" w:hAnsi="宋体"/>
          <w:color w:val="000000" w:themeColor="text1"/>
          <w:sz w:val="21"/>
          <w:szCs w:val="21"/>
          <w:highlight w:val="none"/>
          <w14:textFill>
            <w14:solidFill>
              <w14:schemeClr w14:val="tx1"/>
            </w14:solidFill>
          </w14:textFill>
        </w:rPr>
        <w:t>进行更换，并将新任命的项目负责人的注册执业资格、管理经验等资料书面通知发包人。</w:t>
      </w:r>
      <w:r>
        <w:rPr>
          <w:rFonts w:hint="eastAsia" w:ascii="宋体" w:hAnsi="宋体"/>
          <w:color w:val="000000" w:themeColor="text1"/>
          <w:sz w:val="21"/>
          <w:szCs w:val="21"/>
          <w:highlight w:val="none"/>
          <w14:textFill>
            <w14:solidFill>
              <w14:schemeClr w14:val="tx1"/>
            </w14:solidFill>
          </w14:textFill>
        </w:rPr>
        <w:t>继</w:t>
      </w:r>
      <w:r>
        <w:rPr>
          <w:rFonts w:ascii="宋体" w:hAnsi="宋体"/>
          <w:color w:val="000000" w:themeColor="text1"/>
          <w:sz w:val="21"/>
          <w:szCs w:val="21"/>
          <w:highlight w:val="none"/>
          <w14:textFill>
            <w14:solidFill>
              <w14:schemeClr w14:val="tx1"/>
            </w14:solidFill>
          </w14:textFill>
        </w:rPr>
        <w:t>任项目负责人继续履行第3.2.1项约定的职责。</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人无正当理由拒绝更换项目负责人的，应按照专用合同条款的约定承担违约责任。</w:t>
      </w:r>
    </w:p>
    <w:p w14:paraId="7AD351F1">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87" w:name="_Toc351203521"/>
      <w:r>
        <w:rPr>
          <w:rFonts w:ascii="宋体" w:hAnsi="宋体"/>
          <w:b w:val="0"/>
          <w:color w:val="000000" w:themeColor="text1"/>
          <w:sz w:val="21"/>
          <w:szCs w:val="21"/>
          <w:highlight w:val="none"/>
          <w14:textFill>
            <w14:solidFill>
              <w14:schemeClr w14:val="tx1"/>
            </w14:solidFill>
          </w14:textFill>
        </w:rPr>
        <w:t>3</w:t>
      </w:r>
      <w:bookmarkStart w:id="688" w:name="_Toc296346549"/>
      <w:bookmarkStart w:id="689" w:name="_Toc296503048"/>
      <w:bookmarkStart w:id="690" w:name="_Toc337558749"/>
      <w:r>
        <w:rPr>
          <w:rFonts w:ascii="宋体" w:hAnsi="宋体"/>
          <w:b w:val="0"/>
          <w:color w:val="000000" w:themeColor="text1"/>
          <w:sz w:val="21"/>
          <w:szCs w:val="21"/>
          <w:highlight w:val="none"/>
          <w14:textFill>
            <w14:solidFill>
              <w14:schemeClr w14:val="tx1"/>
            </w14:solidFill>
          </w14:textFill>
        </w:rPr>
        <w:t xml:space="preserve">.3 </w:t>
      </w:r>
      <w:bookmarkEnd w:id="688"/>
      <w:bookmarkEnd w:id="689"/>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人人员</w:t>
      </w:r>
      <w:bookmarkEnd w:id="687"/>
    </w:p>
    <w:bookmarkEnd w:id="690"/>
    <w:p w14:paraId="78AA7E4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3.3.1 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人应在接到</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通知后7天内，向</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人提交</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人项目管理机构及人员安排的报告，其内容应包括</w:t>
      </w:r>
      <w:r>
        <w:rPr>
          <w:rFonts w:hint="eastAsia" w:ascii="宋体" w:hAnsi="宋体"/>
          <w:color w:val="000000" w:themeColor="text1"/>
          <w:sz w:val="21"/>
          <w:szCs w:val="21"/>
          <w:highlight w:val="none"/>
          <w14:textFill>
            <w14:solidFill>
              <w14:schemeClr w14:val="tx1"/>
            </w14:solidFill>
          </w14:textFill>
        </w:rPr>
        <w:t>建筑、结构、给排水、暖通、电气</w:t>
      </w:r>
      <w:r>
        <w:rPr>
          <w:rFonts w:ascii="宋体" w:hAnsi="宋体"/>
          <w:color w:val="000000" w:themeColor="text1"/>
          <w:sz w:val="21"/>
          <w:szCs w:val="21"/>
          <w:highlight w:val="none"/>
          <w14:textFill>
            <w14:solidFill>
              <w14:schemeClr w14:val="tx1"/>
            </w14:solidFill>
          </w14:textFill>
        </w:rPr>
        <w:t>等</w:t>
      </w:r>
      <w:r>
        <w:rPr>
          <w:rFonts w:hint="eastAsia" w:ascii="宋体" w:hAnsi="宋体"/>
          <w:color w:val="000000" w:themeColor="text1"/>
          <w:sz w:val="21"/>
          <w:szCs w:val="21"/>
          <w:highlight w:val="none"/>
          <w14:textFill>
            <w14:solidFill>
              <w14:schemeClr w14:val="tx1"/>
            </w14:solidFill>
          </w14:textFill>
        </w:rPr>
        <w:t>专业负责人</w:t>
      </w:r>
      <w:r>
        <w:rPr>
          <w:rFonts w:ascii="宋体" w:hAnsi="宋体"/>
          <w:color w:val="000000" w:themeColor="text1"/>
          <w:sz w:val="21"/>
          <w:szCs w:val="21"/>
          <w:highlight w:val="none"/>
          <w14:textFill>
            <w14:solidFill>
              <w14:schemeClr w14:val="tx1"/>
            </w14:solidFill>
          </w14:textFill>
        </w:rPr>
        <w:t>名单及其岗位、注册执业资格等。</w:t>
      </w:r>
    </w:p>
    <w:p w14:paraId="648637B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3.3.2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委</w:t>
      </w:r>
      <w:r>
        <w:rPr>
          <w:rFonts w:ascii="宋体" w:hAnsi="宋体"/>
          <w:color w:val="000000" w:themeColor="text1"/>
          <w:sz w:val="21"/>
          <w:szCs w:val="21"/>
          <w:highlight w:val="none"/>
          <w14:textFill>
            <w14:solidFill>
              <w14:schemeClr w14:val="tx1"/>
            </w14:solidFill>
          </w14:textFill>
        </w:rPr>
        <w:t>派到</w:t>
      </w:r>
      <w:r>
        <w:rPr>
          <w:rFonts w:hint="eastAsia" w:ascii="宋体" w:hAnsi="宋体"/>
          <w:color w:val="000000" w:themeColor="text1"/>
          <w:sz w:val="21"/>
          <w:szCs w:val="21"/>
          <w:highlight w:val="none"/>
          <w14:textFill>
            <w14:solidFill>
              <w14:schemeClr w14:val="tx1"/>
            </w14:solidFill>
          </w14:textFill>
        </w:rPr>
        <w:t>工程设计中的设计</w:t>
      </w:r>
      <w:r>
        <w:rPr>
          <w:rFonts w:ascii="宋体" w:hAnsi="宋体"/>
          <w:color w:val="000000" w:themeColor="text1"/>
          <w:sz w:val="21"/>
          <w:szCs w:val="21"/>
          <w:highlight w:val="none"/>
          <w14:textFill>
            <w14:solidFill>
              <w14:schemeClr w14:val="tx1"/>
            </w14:solidFill>
          </w14:textFill>
        </w:rPr>
        <w:t>人员应相对稳定。</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过程中</w:t>
      </w:r>
      <w:r>
        <w:rPr>
          <w:rFonts w:hint="eastAsia" w:ascii="宋体" w:hAnsi="宋体"/>
          <w:color w:val="000000" w:themeColor="text1"/>
          <w:sz w:val="21"/>
          <w:szCs w:val="21"/>
          <w:highlight w:val="none"/>
          <w14:textFill>
            <w14:solidFill>
              <w14:schemeClr w14:val="tx1"/>
            </w14:solidFill>
          </w14:textFill>
        </w:rPr>
        <w:t>如有变动</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人应及时向</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人提交</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人员变动情况的报告。</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人更换</w:t>
      </w:r>
      <w:r>
        <w:rPr>
          <w:rFonts w:hint="eastAsia" w:ascii="宋体" w:hAnsi="宋体"/>
          <w:color w:val="000000" w:themeColor="text1"/>
          <w:sz w:val="21"/>
          <w:szCs w:val="21"/>
          <w:highlight w:val="none"/>
          <w14:textFill>
            <w14:solidFill>
              <w14:schemeClr w14:val="tx1"/>
            </w14:solidFill>
          </w14:textFill>
        </w:rPr>
        <w:t>专业负责</w:t>
      </w:r>
      <w:r>
        <w:rPr>
          <w:rFonts w:ascii="宋体" w:hAnsi="宋体"/>
          <w:color w:val="000000" w:themeColor="text1"/>
          <w:sz w:val="21"/>
          <w:szCs w:val="21"/>
          <w:highlight w:val="none"/>
          <w14:textFill>
            <w14:solidFill>
              <w14:schemeClr w14:val="tx1"/>
            </w14:solidFill>
          </w14:textFill>
        </w:rPr>
        <w:t>人时，应提前7天书面通知</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除专业负责人无法正常履职情形外，还应</w:t>
      </w:r>
      <w:r>
        <w:rPr>
          <w:rFonts w:ascii="宋体" w:hAnsi="宋体"/>
          <w:color w:val="000000" w:themeColor="text1"/>
          <w:sz w:val="21"/>
          <w:szCs w:val="21"/>
          <w:highlight w:val="none"/>
          <w14:textFill>
            <w14:solidFill>
              <w14:schemeClr w14:val="tx1"/>
            </w14:solidFill>
          </w14:textFill>
        </w:rPr>
        <w:t>征得发包人书面同意。通知中应当载明继任人员的注册执业资格、</w:t>
      </w:r>
      <w:r>
        <w:rPr>
          <w:rFonts w:hint="eastAsia" w:ascii="宋体" w:hAnsi="宋体"/>
          <w:color w:val="000000" w:themeColor="text1"/>
          <w:sz w:val="21"/>
          <w:szCs w:val="21"/>
          <w:highlight w:val="none"/>
          <w14:textFill>
            <w14:solidFill>
              <w14:schemeClr w14:val="tx1"/>
            </w14:solidFill>
          </w14:textFill>
        </w:rPr>
        <w:t>执业</w:t>
      </w:r>
      <w:r>
        <w:rPr>
          <w:rFonts w:ascii="宋体" w:hAnsi="宋体"/>
          <w:color w:val="000000" w:themeColor="text1"/>
          <w:sz w:val="21"/>
          <w:szCs w:val="21"/>
          <w:highlight w:val="none"/>
          <w14:textFill>
            <w14:solidFill>
              <w14:schemeClr w14:val="tx1"/>
            </w14:solidFill>
          </w14:textFill>
        </w:rPr>
        <w:t>经验等资料。</w:t>
      </w:r>
    </w:p>
    <w:p w14:paraId="13C37554">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3.3.3 发包人对于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人主要</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人员</w:t>
      </w:r>
      <w:r>
        <w:rPr>
          <w:rFonts w:hint="eastAsia" w:ascii="宋体" w:hAnsi="宋体"/>
          <w:color w:val="000000" w:themeColor="text1"/>
          <w:sz w:val="21"/>
          <w:szCs w:val="21"/>
          <w:highlight w:val="none"/>
          <w14:textFill>
            <w14:solidFill>
              <w14:schemeClr w14:val="tx1"/>
            </w14:solidFill>
          </w14:textFill>
        </w:rPr>
        <w:t>的资格或能力</w:t>
      </w:r>
      <w:r>
        <w:rPr>
          <w:rFonts w:ascii="宋体" w:hAnsi="宋体"/>
          <w:color w:val="000000" w:themeColor="text1"/>
          <w:sz w:val="21"/>
          <w:szCs w:val="21"/>
          <w:highlight w:val="none"/>
          <w14:textFill>
            <w14:solidFill>
              <w14:schemeClr w14:val="tx1"/>
            </w14:solidFill>
          </w14:textFill>
        </w:rPr>
        <w:t>有异议的，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人应提供资料证明被质疑人员有能力完成其岗位工作或不存在发包人所质疑的情形。发包人要求撤换不能按照合同约定履行职责及义务的主要</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人员的，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认为发包人有理由的，</w:t>
      </w:r>
      <w:r>
        <w:rPr>
          <w:rFonts w:ascii="宋体" w:hAnsi="宋体"/>
          <w:color w:val="000000" w:themeColor="text1"/>
          <w:sz w:val="21"/>
          <w:szCs w:val="21"/>
          <w:highlight w:val="none"/>
          <w14:textFill>
            <w14:solidFill>
              <w14:schemeClr w14:val="tx1"/>
            </w14:solidFill>
          </w14:textFill>
        </w:rPr>
        <w:t>应当撤换。</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人无正当理由拒绝撤换的，应按照专用合同条款的约定承担违约责任。</w:t>
      </w:r>
    </w:p>
    <w:p w14:paraId="1F21ECEF">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91" w:name="_Toc351203523"/>
      <w:r>
        <w:rPr>
          <w:rFonts w:ascii="宋体" w:hAnsi="宋体"/>
          <w:b w:val="0"/>
          <w:color w:val="000000" w:themeColor="text1"/>
          <w:sz w:val="21"/>
          <w:szCs w:val="21"/>
          <w:highlight w:val="none"/>
          <w14:textFill>
            <w14:solidFill>
              <w14:schemeClr w14:val="tx1"/>
            </w14:solidFill>
          </w14:textFill>
        </w:rPr>
        <w:t>3</w:t>
      </w:r>
      <w:bookmarkStart w:id="692" w:name="_Toc296346552"/>
      <w:bookmarkStart w:id="693" w:name="_Toc337558751"/>
      <w:bookmarkStart w:id="694" w:name="_Toc296503051"/>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4</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分包</w:t>
      </w:r>
      <w:bookmarkEnd w:id="691"/>
    </w:p>
    <w:bookmarkEnd w:id="692"/>
    <w:bookmarkEnd w:id="693"/>
    <w:bookmarkEnd w:id="694"/>
    <w:p w14:paraId="355C97A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分包的一般约定</w:t>
      </w:r>
    </w:p>
    <w:p w14:paraId="3177A12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人不得将其承包的全部工程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转包给第三人，或将其承包的全部工程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肢解后以分包的名义转包给第三人。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人不得将工程主体结构、关键性工作及专用合同条款中禁止分包的工程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分包给第三人，</w:t>
      </w:r>
      <w:r>
        <w:rPr>
          <w:rFonts w:hint="eastAsia" w:ascii="宋体" w:hAnsi="宋体"/>
          <w:color w:val="000000" w:themeColor="text1"/>
          <w:sz w:val="21"/>
          <w:szCs w:val="21"/>
          <w:highlight w:val="none"/>
          <w14:textFill>
            <w14:solidFill>
              <w14:schemeClr w14:val="tx1"/>
            </w14:solidFill>
          </w14:textFill>
        </w:rPr>
        <w:t>工程</w:t>
      </w:r>
      <w:r>
        <w:rPr>
          <w:rFonts w:ascii="宋体" w:hAnsi="宋体"/>
          <w:color w:val="000000" w:themeColor="text1"/>
          <w:sz w:val="21"/>
          <w:szCs w:val="21"/>
          <w:highlight w:val="none"/>
          <w14:textFill>
            <w14:solidFill>
              <w14:schemeClr w14:val="tx1"/>
            </w14:solidFill>
          </w14:textFill>
        </w:rPr>
        <w:t>主体结构、关键性工作的范围由合同当事人按照法律规定在专用合同条款中予以明确。</w:t>
      </w:r>
      <w:r>
        <w:rPr>
          <w:rFonts w:hint="eastAsia" w:ascii="宋体" w:hAnsi="宋体"/>
          <w:color w:val="000000" w:themeColor="text1"/>
          <w:sz w:val="21"/>
          <w:szCs w:val="21"/>
          <w:highlight w:val="none"/>
          <w14:textFill>
            <w14:solidFill>
              <w14:schemeClr w14:val="tx1"/>
            </w14:solidFill>
          </w14:textFill>
        </w:rPr>
        <w:t>设计人不得进行违法分包。</w:t>
      </w:r>
    </w:p>
    <w:p w14:paraId="25B0641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分包的确定</w:t>
      </w:r>
    </w:p>
    <w:p w14:paraId="3736E27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人应按专用合同条款的约定</w:t>
      </w:r>
      <w:r>
        <w:rPr>
          <w:rFonts w:hint="eastAsia" w:ascii="宋体" w:hAnsi="宋体"/>
          <w:color w:val="000000" w:themeColor="text1"/>
          <w:sz w:val="21"/>
          <w:szCs w:val="21"/>
          <w:highlight w:val="none"/>
          <w14:textFill>
            <w14:solidFill>
              <w14:schemeClr w14:val="tx1"/>
            </w14:solidFill>
          </w14:textFill>
        </w:rPr>
        <w:t>或经过发包人书面同意后</w:t>
      </w:r>
      <w:r>
        <w:rPr>
          <w:rFonts w:ascii="宋体" w:hAnsi="宋体"/>
          <w:color w:val="000000" w:themeColor="text1"/>
          <w:sz w:val="21"/>
          <w:szCs w:val="21"/>
          <w:highlight w:val="none"/>
          <w14:textFill>
            <w14:solidFill>
              <w14:schemeClr w14:val="tx1"/>
            </w14:solidFill>
          </w14:textFill>
        </w:rPr>
        <w:t>进行分包，确定分包人。按照合同约定</w:t>
      </w:r>
      <w:r>
        <w:rPr>
          <w:rFonts w:hint="eastAsia" w:ascii="宋体" w:hAnsi="宋体"/>
          <w:color w:val="000000" w:themeColor="text1"/>
          <w:sz w:val="21"/>
          <w:szCs w:val="21"/>
          <w:highlight w:val="none"/>
          <w14:textFill>
            <w14:solidFill>
              <w14:schemeClr w14:val="tx1"/>
            </w14:solidFill>
          </w14:textFill>
        </w:rPr>
        <w:t>或经过发包人书面同意后</w:t>
      </w:r>
      <w:r>
        <w:rPr>
          <w:rFonts w:ascii="宋体" w:hAnsi="宋体"/>
          <w:color w:val="000000" w:themeColor="text1"/>
          <w:sz w:val="21"/>
          <w:szCs w:val="21"/>
          <w:highlight w:val="none"/>
          <w14:textFill>
            <w14:solidFill>
              <w14:schemeClr w14:val="tx1"/>
            </w14:solidFill>
          </w14:textFill>
        </w:rPr>
        <w:t>进行分包的，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人应确保分包人具有相应的资质和能力。工程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分包不减轻或免除</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人的责任和义务，</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人和分包人就分包工程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向发包人承担连带责任。</w:t>
      </w:r>
    </w:p>
    <w:p w14:paraId="75CFB0A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.3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分包管理</w:t>
      </w:r>
    </w:p>
    <w:p w14:paraId="1248F98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w:t>
      </w:r>
      <w:r>
        <w:rPr>
          <w:rFonts w:hint="eastAsia" w:ascii="宋体" w:hAnsi="宋体"/>
          <w:color w:val="000000" w:themeColor="text1"/>
          <w:sz w:val="21"/>
          <w:szCs w:val="21"/>
          <w:highlight w:val="none"/>
          <w14:textFill>
            <w14:solidFill>
              <w14:schemeClr w14:val="tx1"/>
            </w14:solidFill>
          </w14:textFill>
        </w:rPr>
        <w:t>按照专用合同条款的约定</w:t>
      </w:r>
      <w:r>
        <w:rPr>
          <w:rFonts w:ascii="宋体" w:hAnsi="宋体"/>
          <w:color w:val="000000" w:themeColor="text1"/>
          <w:sz w:val="21"/>
          <w:szCs w:val="21"/>
          <w:highlight w:val="none"/>
          <w14:textFill>
            <w14:solidFill>
              <w14:schemeClr w14:val="tx1"/>
            </w14:solidFill>
          </w14:textFill>
        </w:rPr>
        <w:t>向</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人提交分包人的主要</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人员</w:t>
      </w:r>
      <w:r>
        <w:rPr>
          <w:rFonts w:hint="eastAsia" w:ascii="宋体" w:hAnsi="宋体"/>
          <w:color w:val="000000" w:themeColor="text1"/>
          <w:sz w:val="21"/>
          <w:szCs w:val="21"/>
          <w:highlight w:val="none"/>
          <w14:textFill>
            <w14:solidFill>
              <w14:schemeClr w14:val="tx1"/>
            </w14:solidFill>
          </w14:textFill>
        </w:rPr>
        <w:t>名单、注册执业资格及执业经历等。</w:t>
      </w:r>
    </w:p>
    <w:p w14:paraId="116512E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.4 分包</w:t>
      </w:r>
      <w:r>
        <w:rPr>
          <w:rFonts w:hint="eastAsia" w:ascii="宋体" w:hAnsi="宋体"/>
          <w:color w:val="000000" w:themeColor="text1"/>
          <w:sz w:val="21"/>
          <w:szCs w:val="21"/>
          <w:highlight w:val="none"/>
          <w14:textFill>
            <w14:solidFill>
              <w14:schemeClr w14:val="tx1"/>
            </w14:solidFill>
          </w14:textFill>
        </w:rPr>
        <w:t>工程设计费</w:t>
      </w:r>
    </w:p>
    <w:p w14:paraId="5E3C673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（1）除本项第（2）目约定的情况或专用合同条款另有约定外，分包</w:t>
      </w:r>
      <w:r>
        <w:rPr>
          <w:rFonts w:hint="eastAsia" w:ascii="宋体" w:hAnsi="宋体"/>
          <w:color w:val="000000" w:themeColor="text1"/>
          <w:sz w:val="21"/>
          <w:szCs w:val="21"/>
          <w:highlight w:val="none"/>
          <w14:textFill>
            <w14:solidFill>
              <w14:schemeClr w14:val="tx1"/>
            </w14:solidFill>
          </w14:textFill>
        </w:rPr>
        <w:t>工程设计费</w:t>
      </w:r>
      <w:r>
        <w:rPr>
          <w:rFonts w:ascii="宋体" w:hAnsi="宋体"/>
          <w:color w:val="000000" w:themeColor="text1"/>
          <w:sz w:val="21"/>
          <w:szCs w:val="21"/>
          <w:highlight w:val="none"/>
          <w14:textFill>
            <w14:solidFill>
              <w14:schemeClr w14:val="tx1"/>
            </w14:solidFill>
          </w14:textFill>
        </w:rPr>
        <w:t>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人与分包人结算，未经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人同意，发包人不得向分包人支付分包工程</w:t>
      </w:r>
      <w:r>
        <w:rPr>
          <w:rFonts w:hint="eastAsia" w:ascii="宋体" w:hAnsi="宋体"/>
          <w:color w:val="000000" w:themeColor="text1"/>
          <w:sz w:val="21"/>
          <w:szCs w:val="21"/>
          <w:highlight w:val="none"/>
          <w14:textFill>
            <w14:solidFill>
              <w14:schemeClr w14:val="tx1"/>
            </w14:solidFill>
          </w14:textFill>
        </w:rPr>
        <w:t>设计费</w:t>
      </w:r>
      <w:r>
        <w:rPr>
          <w:rFonts w:ascii="宋体" w:hAnsi="宋体"/>
          <w:color w:val="000000" w:themeColor="text1"/>
          <w:sz w:val="21"/>
          <w:szCs w:val="21"/>
          <w:highlight w:val="none"/>
          <w14:textFill>
            <w14:solidFill>
              <w14:schemeClr w14:val="tx1"/>
            </w14:solidFill>
          </w14:textFill>
        </w:rPr>
        <w:t>；</w:t>
      </w:r>
    </w:p>
    <w:p w14:paraId="333A522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（2）生效</w:t>
      </w:r>
      <w:r>
        <w:rPr>
          <w:rFonts w:hint="eastAsia" w:ascii="宋体" w:hAnsi="宋体"/>
          <w:color w:val="000000" w:themeColor="text1"/>
          <w:sz w:val="21"/>
          <w:szCs w:val="21"/>
          <w:highlight w:val="none"/>
          <w14:textFill>
            <w14:solidFill>
              <w14:schemeClr w14:val="tx1"/>
            </w14:solidFill>
          </w14:textFill>
        </w:rPr>
        <w:t>的法院判决书或仲裁裁决书</w:t>
      </w:r>
      <w:r>
        <w:rPr>
          <w:rFonts w:ascii="宋体" w:hAnsi="宋体"/>
          <w:color w:val="000000" w:themeColor="text1"/>
          <w:sz w:val="21"/>
          <w:szCs w:val="21"/>
          <w:highlight w:val="none"/>
          <w14:textFill>
            <w14:solidFill>
              <w14:schemeClr w14:val="tx1"/>
            </w14:solidFill>
          </w14:textFill>
        </w:rPr>
        <w:t>要求发包人向分包人支付分包</w:t>
      </w:r>
      <w:r>
        <w:rPr>
          <w:rFonts w:hint="eastAsia" w:ascii="宋体" w:hAnsi="宋体"/>
          <w:color w:val="000000" w:themeColor="text1"/>
          <w:sz w:val="21"/>
          <w:szCs w:val="21"/>
          <w:highlight w:val="none"/>
          <w14:textFill>
            <w14:solidFill>
              <w14:schemeClr w14:val="tx1"/>
            </w14:solidFill>
          </w14:textFill>
        </w:rPr>
        <w:t>工程设计费</w:t>
      </w:r>
      <w:r>
        <w:rPr>
          <w:rFonts w:ascii="宋体" w:hAnsi="宋体"/>
          <w:color w:val="000000" w:themeColor="text1"/>
          <w:sz w:val="21"/>
          <w:szCs w:val="21"/>
          <w:highlight w:val="none"/>
          <w14:textFill>
            <w14:solidFill>
              <w14:schemeClr w14:val="tx1"/>
            </w14:solidFill>
          </w14:textFill>
        </w:rPr>
        <w:t>的，发包人有权从应付</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合同价</w:t>
      </w:r>
      <w:r>
        <w:rPr>
          <w:rFonts w:ascii="宋体" w:hAnsi="宋体"/>
          <w:color w:val="000000" w:themeColor="text1"/>
          <w:sz w:val="21"/>
          <w:szCs w:val="21"/>
          <w:highlight w:val="none"/>
          <w14:textFill>
            <w14:solidFill>
              <w14:schemeClr w14:val="tx1"/>
            </w14:solidFill>
          </w14:textFill>
        </w:rPr>
        <w:t>款中扣除该部分</w:t>
      </w:r>
      <w:r>
        <w:rPr>
          <w:rFonts w:hint="eastAsia" w:ascii="宋体" w:hAnsi="宋体"/>
          <w:color w:val="000000" w:themeColor="text1"/>
          <w:sz w:val="21"/>
          <w:szCs w:val="21"/>
          <w:highlight w:val="none"/>
          <w14:textFill>
            <w14:solidFill>
              <w14:schemeClr w14:val="tx1"/>
            </w14:solidFill>
          </w14:textFill>
        </w:rPr>
        <w:t>费用</w:t>
      </w:r>
      <w:r>
        <w:rPr>
          <w:rFonts w:ascii="宋体" w:hAnsi="宋体"/>
          <w:color w:val="000000" w:themeColor="text1"/>
          <w:sz w:val="21"/>
          <w:szCs w:val="21"/>
          <w:highlight w:val="none"/>
          <w14:textFill>
            <w14:solidFill>
              <w14:schemeClr w14:val="tx1"/>
            </w14:solidFill>
          </w14:textFill>
        </w:rPr>
        <w:t>。</w:t>
      </w:r>
    </w:p>
    <w:p w14:paraId="55C67A08">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695" w:name="_Toc351203526"/>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 xml:space="preserve"> 联合体</w:t>
      </w:r>
      <w:bookmarkEnd w:id="695"/>
    </w:p>
    <w:p w14:paraId="645B20D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 联合体各方应共同与发包人签订合同协议书。联合体各方应为履行合同</w:t>
      </w:r>
      <w:r>
        <w:rPr>
          <w:rFonts w:hint="eastAsia" w:ascii="宋体" w:hAnsi="宋体"/>
          <w:color w:val="000000" w:themeColor="text1"/>
          <w:sz w:val="21"/>
          <w:szCs w:val="21"/>
          <w:highlight w:val="none"/>
          <w14:textFill>
            <w14:solidFill>
              <w14:schemeClr w14:val="tx1"/>
            </w14:solidFill>
          </w14:textFill>
        </w:rPr>
        <w:t>向发包人</w:t>
      </w:r>
      <w:r>
        <w:rPr>
          <w:rFonts w:ascii="宋体" w:hAnsi="宋体"/>
          <w:color w:val="000000" w:themeColor="text1"/>
          <w:sz w:val="21"/>
          <w:szCs w:val="21"/>
          <w:highlight w:val="none"/>
          <w14:textFill>
            <w14:solidFill>
              <w14:schemeClr w14:val="tx1"/>
            </w14:solidFill>
          </w14:textFill>
        </w:rPr>
        <w:t>承担连带责任。</w:t>
      </w:r>
    </w:p>
    <w:p w14:paraId="63736AB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 联合体协议</w:t>
      </w:r>
      <w:r>
        <w:rPr>
          <w:rFonts w:hint="eastAsia" w:ascii="宋体" w:hAnsi="宋体"/>
          <w:color w:val="000000" w:themeColor="text1"/>
          <w:sz w:val="21"/>
          <w:szCs w:val="21"/>
          <w:highlight w:val="none"/>
          <w14:textFill>
            <w14:solidFill>
              <w14:schemeClr w14:val="tx1"/>
            </w14:solidFill>
          </w14:textFill>
        </w:rPr>
        <w:t>，应当约定联合体各成员工作分工，</w:t>
      </w:r>
      <w:r>
        <w:rPr>
          <w:rFonts w:ascii="宋体" w:hAnsi="宋体"/>
          <w:color w:val="000000" w:themeColor="text1"/>
          <w:sz w:val="21"/>
          <w:szCs w:val="21"/>
          <w:highlight w:val="none"/>
          <w14:textFill>
            <w14:solidFill>
              <w14:schemeClr w14:val="tx1"/>
            </w14:solidFill>
          </w14:textFill>
        </w:rPr>
        <w:t>经发包人确认后作为合同附件。在履行合同过程中，未经发包人同意，不得修改联合体协议。</w:t>
      </w:r>
    </w:p>
    <w:p w14:paraId="6FF2513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.3 联合体牵头人负责与发包人联系，并接受指示，负责组织联合体各成员全面履行合同。</w:t>
      </w:r>
    </w:p>
    <w:p w14:paraId="2BDD9E17">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3.5.4 发包人向联合体支付设计费用的方式在专用合同条款中约定。</w:t>
      </w:r>
    </w:p>
    <w:p w14:paraId="5ED0E15F">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4</w:t>
      </w:r>
      <w:r>
        <w:rPr>
          <w:rFonts w:ascii="黑体" w:hAnsi="黑体" w:eastAsia="黑体" w:cs="Times New Roman"/>
          <w:b w:val="0"/>
          <w:color w:val="000000" w:themeColor="text1"/>
          <w:highlight w:val="none"/>
          <w14:textFill>
            <w14:solidFill>
              <w14:schemeClr w14:val="tx1"/>
            </w14:solidFill>
          </w14:textFill>
        </w:rPr>
        <w:t>.工程</w:t>
      </w:r>
      <w:r>
        <w:rPr>
          <w:rFonts w:hint="eastAsia" w:ascii="黑体" w:hAnsi="黑体" w:eastAsia="黑体" w:cs="Times New Roman"/>
          <w:b w:val="0"/>
          <w:color w:val="000000" w:themeColor="text1"/>
          <w:highlight w:val="none"/>
          <w14:textFill>
            <w14:solidFill>
              <w14:schemeClr w14:val="tx1"/>
            </w14:solidFill>
          </w14:textFill>
        </w:rPr>
        <w:t>设计资料</w:t>
      </w:r>
    </w:p>
    <w:p w14:paraId="5BA850DD">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4</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1</w:t>
      </w:r>
      <w:r>
        <w:rPr>
          <w:rFonts w:ascii="宋体" w:hAnsi="宋体"/>
          <w:b w:val="0"/>
          <w:color w:val="000000" w:themeColor="text1"/>
          <w:sz w:val="21"/>
          <w:szCs w:val="21"/>
          <w:highlight w:val="none"/>
          <w14:textFill>
            <w14:solidFill>
              <w14:schemeClr w14:val="tx1"/>
            </w14:solidFill>
          </w14:textFill>
        </w:rPr>
        <w:t xml:space="preserve"> 提供</w:t>
      </w:r>
      <w:r>
        <w:rPr>
          <w:rFonts w:hint="eastAsia" w:ascii="宋体" w:hAnsi="宋体"/>
          <w:b w:val="0"/>
          <w:color w:val="000000" w:themeColor="text1"/>
          <w:sz w:val="21"/>
          <w:szCs w:val="21"/>
          <w:highlight w:val="none"/>
          <w14:textFill>
            <w14:solidFill>
              <w14:schemeClr w14:val="tx1"/>
            </w14:solidFill>
          </w14:textFill>
        </w:rPr>
        <w:t>工程</w:t>
      </w:r>
      <w:r>
        <w:rPr>
          <w:rFonts w:ascii="宋体" w:hAnsi="宋体"/>
          <w:b w:val="0"/>
          <w:color w:val="000000" w:themeColor="text1"/>
          <w:sz w:val="21"/>
          <w:szCs w:val="21"/>
          <w:highlight w:val="none"/>
          <w14:textFill>
            <w14:solidFill>
              <w14:schemeClr w14:val="tx1"/>
            </w14:solidFill>
          </w14:textFill>
        </w:rPr>
        <w:t>设计资料</w:t>
      </w:r>
    </w:p>
    <w:p w14:paraId="7F3BFA5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发包人应当在</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前</w:t>
      </w:r>
      <w:r>
        <w:rPr>
          <w:rFonts w:hint="eastAsia" w:ascii="宋体" w:hAnsi="宋体"/>
          <w:color w:val="000000" w:themeColor="text1"/>
          <w:sz w:val="21"/>
          <w:szCs w:val="21"/>
          <w:highlight w:val="none"/>
          <w14:textFill>
            <w14:solidFill>
              <w14:schemeClr w14:val="tx1"/>
            </w14:solidFill>
          </w14:textFill>
        </w:rPr>
        <w:t>或专用合同条款附件2约定的时间</w:t>
      </w:r>
      <w:r>
        <w:rPr>
          <w:rFonts w:ascii="宋体" w:hAnsi="宋体"/>
          <w:color w:val="000000" w:themeColor="text1"/>
          <w:sz w:val="21"/>
          <w:szCs w:val="21"/>
          <w:highlight w:val="none"/>
          <w14:textFill>
            <w14:solidFill>
              <w14:schemeClr w14:val="tx1"/>
            </w14:solidFill>
          </w14:textFill>
        </w:rPr>
        <w:t>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人提供工程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所必需的</w:t>
      </w:r>
      <w:r>
        <w:rPr>
          <w:rFonts w:hint="eastAsia" w:ascii="宋体" w:hAnsi="宋体"/>
          <w:color w:val="000000" w:themeColor="text1"/>
          <w:sz w:val="21"/>
          <w:szCs w:val="21"/>
          <w:highlight w:val="none"/>
          <w14:textFill>
            <w14:solidFill>
              <w14:schemeClr w14:val="tx1"/>
            </w14:solidFill>
          </w14:textFill>
        </w:rPr>
        <w:t>工程</w:t>
      </w:r>
      <w:r>
        <w:rPr>
          <w:rFonts w:ascii="宋体" w:hAnsi="宋体"/>
          <w:color w:val="000000" w:themeColor="text1"/>
          <w:sz w:val="21"/>
          <w:szCs w:val="21"/>
          <w:highlight w:val="none"/>
          <w14:textFill>
            <w14:solidFill>
              <w14:schemeClr w14:val="tx1"/>
            </w14:solidFill>
          </w14:textFill>
        </w:rPr>
        <w:t>设计资料，并对所提供资料的真实性、准确性和完整性负责。</w:t>
      </w:r>
    </w:p>
    <w:p w14:paraId="5D1E61B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按照法律规定确需在工程设计开始后方能提供的设计资料，发包人应及时地在相应工程设计文件提交给发包人前的合理期限内提供，合理期限应以不影响设计人的正常设计为限。</w:t>
      </w:r>
    </w:p>
    <w:p w14:paraId="7094D7B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4.2</w:t>
      </w:r>
      <w:r>
        <w:rPr>
          <w:rFonts w:ascii="宋体" w:hAnsi="宋体"/>
          <w:bCs/>
          <w:color w:val="000000" w:themeColor="text1"/>
          <w:sz w:val="21"/>
          <w:szCs w:val="21"/>
          <w:highlight w:val="none"/>
          <w14:textFill>
            <w14:solidFill>
              <w14:schemeClr w14:val="tx1"/>
            </w14:solidFill>
          </w14:textFill>
        </w:rPr>
        <w:t xml:space="preserve"> 逾期提供的责任</w:t>
      </w:r>
    </w:p>
    <w:p w14:paraId="0E88FB7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发包人提交上述文件和资料超过约定期限的，超过约定期限</w:t>
      </w:r>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天以内，设计人按本合同约定的交付工程设计文件时间相应顺延；超过约定期限</w:t>
      </w:r>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天以外时，设计人有权重新确定提交工程设计文件的时间。工程设计资料逾期提供导致增加了设计工作量的，设计人可以要求发包人另行支付相应设计费用，并相应延长设计周期。</w:t>
      </w:r>
    </w:p>
    <w:p w14:paraId="46B95628">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696" w:name="_Toc351203532"/>
      <w:bookmarkStart w:id="697" w:name="_Toc337558758"/>
      <w:r>
        <w:rPr>
          <w:rFonts w:hint="eastAsia" w:ascii="黑体" w:hAnsi="黑体" w:eastAsia="黑体" w:cs="Times New Roman"/>
          <w:b w:val="0"/>
          <w:color w:val="000000" w:themeColor="text1"/>
          <w:highlight w:val="none"/>
          <w14:textFill>
            <w14:solidFill>
              <w14:schemeClr w14:val="tx1"/>
            </w14:solidFill>
          </w14:textFill>
        </w:rPr>
        <w:t>5</w:t>
      </w:r>
      <w:r>
        <w:rPr>
          <w:rFonts w:ascii="黑体" w:hAnsi="黑体" w:eastAsia="黑体" w:cs="Times New Roman"/>
          <w:b w:val="0"/>
          <w:color w:val="000000" w:themeColor="text1"/>
          <w:highlight w:val="none"/>
          <w14:textFill>
            <w14:solidFill>
              <w14:schemeClr w14:val="tx1"/>
            </w14:solidFill>
          </w14:textFill>
        </w:rPr>
        <w:t>.工程</w:t>
      </w:r>
      <w:r>
        <w:rPr>
          <w:rFonts w:hint="eastAsia" w:ascii="黑体" w:hAnsi="黑体" w:eastAsia="黑体" w:cs="Times New Roman"/>
          <w:b w:val="0"/>
          <w:color w:val="000000" w:themeColor="text1"/>
          <w:highlight w:val="none"/>
          <w14:textFill>
            <w14:solidFill>
              <w14:schemeClr w14:val="tx1"/>
            </w14:solidFill>
          </w14:textFill>
        </w:rPr>
        <w:t>设计</w:t>
      </w:r>
      <w:bookmarkEnd w:id="696"/>
      <w:r>
        <w:rPr>
          <w:rFonts w:hint="eastAsia" w:ascii="黑体" w:hAnsi="黑体" w:eastAsia="黑体" w:cs="Times New Roman"/>
          <w:b w:val="0"/>
          <w:color w:val="000000" w:themeColor="text1"/>
          <w:highlight w:val="none"/>
          <w14:textFill>
            <w14:solidFill>
              <w14:schemeClr w14:val="tx1"/>
            </w14:solidFill>
          </w14:textFill>
        </w:rPr>
        <w:t>要求</w:t>
      </w:r>
    </w:p>
    <w:bookmarkEnd w:id="697"/>
    <w:p w14:paraId="7543C503">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bookmarkStart w:id="698" w:name="_Toc351203533"/>
      <w:bookmarkStart w:id="699" w:name="_Toc337558759"/>
      <w:r>
        <w:rPr>
          <w:rFonts w:hint="eastAsia" w:ascii="宋体" w:hAnsi="宋体"/>
          <w:b w:val="0"/>
          <w:color w:val="000000" w:themeColor="text1"/>
          <w:sz w:val="21"/>
          <w:szCs w:val="21"/>
          <w:highlight w:val="none"/>
          <w14:textFill>
            <w14:solidFill>
              <w14:schemeClr w14:val="tx1"/>
            </w14:solidFill>
          </w14:textFill>
        </w:rPr>
        <w:t>5.1 工程设计一般要求</w:t>
      </w:r>
    </w:p>
    <w:p w14:paraId="6BE531FB">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w:t>
      </w:r>
      <w:r>
        <w:rPr>
          <w:rFonts w:ascii="宋体" w:hAnsi="宋体"/>
          <w:b w:val="0"/>
          <w:bCs w:val="0"/>
          <w:color w:val="000000" w:themeColor="text1"/>
          <w:sz w:val="21"/>
          <w:szCs w:val="21"/>
          <w:highlight w:val="none"/>
          <w14:textFill>
            <w14:solidFill>
              <w14:schemeClr w14:val="tx1"/>
            </w14:solidFill>
          </w14:textFill>
        </w:rPr>
        <w:t>.</w:t>
      </w:r>
      <w:r>
        <w:rPr>
          <w:rFonts w:hint="eastAsia" w:ascii="宋体" w:hAnsi="宋体"/>
          <w:b w:val="0"/>
          <w:bCs w:val="0"/>
          <w:color w:val="000000" w:themeColor="text1"/>
          <w:sz w:val="21"/>
          <w:szCs w:val="21"/>
          <w:highlight w:val="none"/>
          <w14:textFill>
            <w14:solidFill>
              <w14:schemeClr w14:val="tx1"/>
            </w14:solidFill>
          </w14:textFill>
        </w:rPr>
        <w:t>1.1 对发包人的</w:t>
      </w:r>
      <w:r>
        <w:rPr>
          <w:rFonts w:ascii="宋体" w:hAnsi="宋体"/>
          <w:b w:val="0"/>
          <w:bCs w:val="0"/>
          <w:color w:val="000000" w:themeColor="text1"/>
          <w:sz w:val="21"/>
          <w:szCs w:val="21"/>
          <w:highlight w:val="none"/>
          <w14:textFill>
            <w14:solidFill>
              <w14:schemeClr w14:val="tx1"/>
            </w14:solidFill>
          </w14:textFill>
        </w:rPr>
        <w:t>要求</w:t>
      </w:r>
    </w:p>
    <w:p w14:paraId="1FACE3EB">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5.1.1.1 发包人应当遵守法律和技术标准，不得以任何理由要求设计人违反法律和工程质量、安全标准进行工程设计，降低工程质量。</w:t>
      </w:r>
    </w:p>
    <w:p w14:paraId="02FF04A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2FF08F81">
      <w:pPr>
        <w:spacing w:line="360" w:lineRule="auto"/>
        <w:ind w:firstLine="56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5.1.1.3 发包人应当严格遵守主要技术指标控制的前提条件，由于发包人的原因导致工程设计文件超出主要技术指标控制值的，发包人承担相应责任。</w:t>
      </w:r>
    </w:p>
    <w:p w14:paraId="4EB068DB">
      <w:pPr>
        <w:pStyle w:val="6"/>
        <w:keepNext w:val="0"/>
        <w:keepLines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5.1.2 对设计人的要求</w:t>
      </w:r>
    </w:p>
    <w:p w14:paraId="4869FF7C">
      <w:pPr>
        <w:pStyle w:val="6"/>
        <w:keepNext w:val="0"/>
        <w:keepLines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5.1.2.1 设计人应当按法律和技术标准的强制性规定及发包人要求进行工程设计。</w:t>
      </w:r>
      <w:r>
        <w:rPr>
          <w:rFonts w:ascii="宋体" w:hAnsi="宋体"/>
          <w:b w:val="0"/>
          <w:bCs w:val="0"/>
          <w:color w:val="000000" w:themeColor="text1"/>
          <w:sz w:val="21"/>
          <w:szCs w:val="21"/>
          <w:highlight w:val="none"/>
          <w14:textFill>
            <w14:solidFill>
              <w14:schemeClr w14:val="tx1"/>
            </w14:solidFill>
          </w14:textFill>
        </w:rPr>
        <w:t>有关工程</w:t>
      </w:r>
      <w:r>
        <w:rPr>
          <w:rFonts w:hint="eastAsia" w:ascii="宋体" w:hAnsi="宋体"/>
          <w:b w:val="0"/>
          <w:bCs w:val="0"/>
          <w:color w:val="000000" w:themeColor="text1"/>
          <w:sz w:val="21"/>
          <w:szCs w:val="21"/>
          <w:highlight w:val="none"/>
          <w14:textFill>
            <w14:solidFill>
              <w14:schemeClr w14:val="tx1"/>
            </w14:solidFill>
          </w14:textFill>
        </w:rPr>
        <w:t>设计</w:t>
      </w:r>
      <w:r>
        <w:rPr>
          <w:rFonts w:ascii="宋体" w:hAnsi="宋体"/>
          <w:b w:val="0"/>
          <w:bCs w:val="0"/>
          <w:color w:val="000000" w:themeColor="text1"/>
          <w:sz w:val="21"/>
          <w:szCs w:val="21"/>
          <w:highlight w:val="none"/>
          <w14:textFill>
            <w14:solidFill>
              <w14:schemeClr w14:val="tx1"/>
            </w14:solidFill>
          </w14:textFill>
        </w:rPr>
        <w:t>的特殊标准或要求由合同当事人在专用合同条款中约定。</w:t>
      </w:r>
      <w:bookmarkEnd w:id="698"/>
    </w:p>
    <w:p w14:paraId="54C8CF8F">
      <w:pPr>
        <w:spacing w:line="360" w:lineRule="auto"/>
        <w:ind w:firstLine="65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设计人发现发包人提供的工程设计资料有问题的，设计人应当及时通知发包人并经发包人确认。</w:t>
      </w:r>
    </w:p>
    <w:bookmarkEnd w:id="699"/>
    <w:p w14:paraId="0CC1A90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rFonts w:ascii="宋体" w:hAnsi="宋体"/>
          <w:color w:val="000000" w:themeColor="text1"/>
          <w:sz w:val="21"/>
          <w:szCs w:val="21"/>
          <w:highlight w:val="none"/>
          <w14:textFill>
            <w14:solidFill>
              <w14:schemeClr w14:val="tx1"/>
            </w14:solidFill>
          </w14:textFill>
        </w:rPr>
        <w:t>增加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设计周期延长的，</w:t>
      </w:r>
      <w:r>
        <w:rPr>
          <w:rFonts w:ascii="宋体" w:hAnsi="宋体"/>
          <w:color w:val="000000" w:themeColor="text1"/>
          <w:sz w:val="21"/>
          <w:szCs w:val="21"/>
          <w:highlight w:val="none"/>
          <w14:textFill>
            <w14:solidFill>
              <w14:schemeClr w14:val="tx1"/>
            </w14:solidFill>
          </w14:textFill>
        </w:rPr>
        <w:t>由发包人承担</w:t>
      </w:r>
      <w:r>
        <w:rPr>
          <w:rFonts w:hint="eastAsia" w:ascii="宋体" w:hAnsi="宋体"/>
          <w:color w:val="000000" w:themeColor="text1"/>
          <w:sz w:val="21"/>
          <w:szCs w:val="21"/>
          <w:highlight w:val="none"/>
          <w14:textFill>
            <w14:solidFill>
              <w14:schemeClr w14:val="tx1"/>
            </w14:solidFill>
          </w14:textFill>
        </w:rPr>
        <w:t>。</w:t>
      </w:r>
    </w:p>
    <w:p w14:paraId="6EDFBB1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5.1.2.3 设计人应当根据建筑工程的使用功能和专业技术协调要求，合理确定基础类型、结构体系、结构布置、使用荷载及综合管线等。</w:t>
      </w:r>
    </w:p>
    <w:p w14:paraId="3B831E6D">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5.1.2.4 设计人应当严格执行其双方书面确认的主要技术指标控制值，由于设计人的原因导致工程设计文件超出在专用合同条款中约定的主要技术指标控制值比例的，设计人应当承担相应的违约责任。</w:t>
      </w:r>
    </w:p>
    <w:p w14:paraId="181A870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5.1.2.5 设计人在工程设计中选用的材料、设备，应当注明其规格、型号、性能等技术指标及适应性，满足质量、安全、节能、环保等要求。</w:t>
      </w:r>
    </w:p>
    <w:p w14:paraId="2D6EEA97">
      <w:pPr>
        <w:pStyle w:val="6"/>
        <w:keepNext w:val="0"/>
        <w:keepLines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5.2 工程设计保证措施</w:t>
      </w:r>
    </w:p>
    <w:p w14:paraId="094DA21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.1 发包人的</w:t>
      </w:r>
      <w:r>
        <w:rPr>
          <w:rFonts w:hint="eastAsia" w:ascii="宋体" w:hAnsi="宋体"/>
          <w:color w:val="000000" w:themeColor="text1"/>
          <w:sz w:val="21"/>
          <w:szCs w:val="21"/>
          <w:highlight w:val="none"/>
          <w14:textFill>
            <w14:solidFill>
              <w14:schemeClr w14:val="tx1"/>
            </w14:solidFill>
          </w14:textFill>
        </w:rPr>
        <w:t>保证措施</w:t>
      </w:r>
    </w:p>
    <w:p w14:paraId="3A65C35C">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发包人应按照法律规定及合同约定完成与工程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有关的各项工作。</w:t>
      </w:r>
    </w:p>
    <w:p w14:paraId="2D614C8D">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人的</w:t>
      </w:r>
      <w:r>
        <w:rPr>
          <w:rFonts w:hint="eastAsia" w:ascii="宋体" w:hAnsi="宋体"/>
          <w:color w:val="000000" w:themeColor="text1"/>
          <w:sz w:val="21"/>
          <w:szCs w:val="21"/>
          <w:highlight w:val="none"/>
          <w14:textFill>
            <w14:solidFill>
              <w14:schemeClr w14:val="tx1"/>
            </w14:solidFill>
          </w14:textFill>
        </w:rPr>
        <w:t>保证措施</w:t>
      </w:r>
    </w:p>
    <w:p w14:paraId="2B64955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设计人应做好工程设计的质量与技术管理工作，建立健全工程设计质量保证体系，加强工程设计全过程的质量控制，建立完整的设计文件的设计、复核、审核、会签和批准制度，明确各阶段的责任人。</w:t>
      </w:r>
    </w:p>
    <w:p w14:paraId="55DBEDC1">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3 工程设计文件的要求</w:t>
      </w:r>
    </w:p>
    <w:p w14:paraId="3FB4BEC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5.3.1 工程设计文件的编制应符合法律、技术标准的强制性规定及合同的要求。</w:t>
      </w:r>
    </w:p>
    <w:p w14:paraId="1001ECE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5.3.2 工程设计依据应完整、准确、可靠，设计方案论证充分，计算成果可靠，并能够实施。</w:t>
      </w:r>
    </w:p>
    <w:p w14:paraId="1C75FC2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5.3.3 工程设计文件的深度应满足本合同相应设计阶段的规定要求，并符合国家和行业现行有效的相关规定。</w:t>
      </w:r>
    </w:p>
    <w:p w14:paraId="2449ECB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5.3.4 工程设计文件必须保证工程质量和施工安全等方面的要求，按照有关法律法规规定在工程设计文件中提出保障施工作业人员安全和预防生产安全事故的措施建议。</w:t>
      </w:r>
    </w:p>
    <w:p w14:paraId="6BB9C0F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5.3.5 应根据法律、技术标准要求，保证房屋建筑工程的合理使用寿命年限，并应在工程设计文件中注明相应的合理使用寿命年限。</w:t>
      </w:r>
    </w:p>
    <w:p w14:paraId="2D381D08">
      <w:pPr>
        <w:pStyle w:val="6"/>
        <w:keepNext w:val="0"/>
        <w:keepLines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bookmarkStart w:id="700" w:name="_Toc351203536"/>
      <w:bookmarkStart w:id="701" w:name="_Toc337558762"/>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 xml:space="preserve">4 </w:t>
      </w:r>
      <w:r>
        <w:rPr>
          <w:rFonts w:ascii="宋体" w:hAnsi="宋体"/>
          <w:b w:val="0"/>
          <w:color w:val="000000" w:themeColor="text1"/>
          <w:sz w:val="21"/>
          <w:szCs w:val="21"/>
          <w:highlight w:val="none"/>
          <w14:textFill>
            <w14:solidFill>
              <w14:schemeClr w14:val="tx1"/>
            </w14:solidFill>
          </w14:textFill>
        </w:rPr>
        <w:t>不合格工程</w:t>
      </w:r>
      <w:r>
        <w:rPr>
          <w:rFonts w:hint="eastAsia" w:ascii="宋体" w:hAnsi="宋体"/>
          <w:b w:val="0"/>
          <w:color w:val="000000" w:themeColor="text1"/>
          <w:sz w:val="21"/>
          <w:szCs w:val="21"/>
          <w:highlight w:val="none"/>
          <w14:textFill>
            <w14:solidFill>
              <w14:schemeClr w14:val="tx1"/>
            </w14:solidFill>
          </w14:textFill>
        </w:rPr>
        <w:t>设计文件</w:t>
      </w:r>
      <w:r>
        <w:rPr>
          <w:rFonts w:ascii="宋体" w:hAnsi="宋体"/>
          <w:b w:val="0"/>
          <w:color w:val="000000" w:themeColor="text1"/>
          <w:sz w:val="21"/>
          <w:szCs w:val="21"/>
          <w:highlight w:val="none"/>
          <w14:textFill>
            <w14:solidFill>
              <w14:schemeClr w14:val="tx1"/>
            </w14:solidFill>
          </w14:textFill>
        </w:rPr>
        <w:t>的处理</w:t>
      </w:r>
      <w:bookmarkEnd w:id="700"/>
    </w:p>
    <w:bookmarkEnd w:id="701"/>
    <w:p w14:paraId="64D2B2F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4.1</w:t>
      </w:r>
      <w:r>
        <w:rPr>
          <w:rFonts w:ascii="宋体" w:hAnsi="宋体"/>
          <w:color w:val="000000" w:themeColor="text1"/>
          <w:sz w:val="21"/>
          <w:szCs w:val="21"/>
          <w:highlight w:val="none"/>
          <w14:textFill>
            <w14:solidFill>
              <w14:schemeClr w14:val="tx1"/>
            </w14:solidFill>
          </w14:textFill>
        </w:rPr>
        <w:t xml:space="preserve"> 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人原因造成工程</w:t>
      </w:r>
      <w:r>
        <w:rPr>
          <w:rFonts w:hint="eastAsia" w:ascii="宋体" w:hAnsi="宋体"/>
          <w:color w:val="000000" w:themeColor="text1"/>
          <w:sz w:val="21"/>
          <w:szCs w:val="21"/>
          <w:highlight w:val="none"/>
          <w14:textFill>
            <w14:solidFill>
              <w14:schemeClr w14:val="tx1"/>
            </w14:solidFill>
          </w14:textFill>
        </w:rPr>
        <w:t>设计文件</w:t>
      </w:r>
      <w:r>
        <w:rPr>
          <w:rFonts w:ascii="宋体" w:hAnsi="宋体"/>
          <w:color w:val="000000" w:themeColor="text1"/>
          <w:sz w:val="21"/>
          <w:szCs w:val="21"/>
          <w:highlight w:val="none"/>
          <w14:textFill>
            <w14:solidFill>
              <w14:schemeClr w14:val="tx1"/>
            </w14:solidFill>
          </w14:textFill>
        </w:rPr>
        <w:t>不合格的，发包人有权要求</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人采取补救措施，直至达到合同要求的质量标准</w:t>
      </w:r>
      <w:r>
        <w:rPr>
          <w:rFonts w:hint="eastAsia" w:ascii="宋体" w:hAnsi="宋体"/>
          <w:color w:val="000000" w:themeColor="text1"/>
          <w:sz w:val="21"/>
          <w:szCs w:val="21"/>
          <w:highlight w:val="none"/>
          <w14:textFill>
            <w14:solidFill>
              <w14:schemeClr w14:val="tx1"/>
            </w14:solidFill>
          </w14:textFill>
        </w:rPr>
        <w:t>，并按第14.2款〔设计人违约责任〕的约定承担责任</w:t>
      </w:r>
      <w:r>
        <w:rPr>
          <w:rFonts w:ascii="宋体" w:hAnsi="宋体"/>
          <w:color w:val="000000" w:themeColor="text1"/>
          <w:sz w:val="21"/>
          <w:szCs w:val="21"/>
          <w:highlight w:val="none"/>
          <w14:textFill>
            <w14:solidFill>
              <w14:schemeClr w14:val="tx1"/>
            </w14:solidFill>
          </w14:textFill>
        </w:rPr>
        <w:t xml:space="preserve">。 </w:t>
      </w:r>
    </w:p>
    <w:p w14:paraId="756FF51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4.2</w:t>
      </w:r>
      <w:r>
        <w:rPr>
          <w:rFonts w:ascii="宋体" w:hAnsi="宋体"/>
          <w:color w:val="000000" w:themeColor="text1"/>
          <w:sz w:val="21"/>
          <w:szCs w:val="21"/>
          <w:highlight w:val="none"/>
          <w14:textFill>
            <w14:solidFill>
              <w14:schemeClr w14:val="tx1"/>
            </w14:solidFill>
          </w14:textFill>
        </w:rPr>
        <w:t xml:space="preserve"> 因发包人原因造成工程</w:t>
      </w:r>
      <w:r>
        <w:rPr>
          <w:rFonts w:hint="eastAsia" w:ascii="宋体" w:hAnsi="宋体"/>
          <w:color w:val="000000" w:themeColor="text1"/>
          <w:sz w:val="21"/>
          <w:szCs w:val="21"/>
          <w:highlight w:val="none"/>
          <w14:textFill>
            <w14:solidFill>
              <w14:schemeClr w14:val="tx1"/>
            </w14:solidFill>
          </w14:textFill>
        </w:rPr>
        <w:t>设计文件</w:t>
      </w:r>
      <w:r>
        <w:rPr>
          <w:rFonts w:ascii="宋体" w:hAnsi="宋体"/>
          <w:color w:val="000000" w:themeColor="text1"/>
          <w:sz w:val="21"/>
          <w:szCs w:val="21"/>
          <w:highlight w:val="none"/>
          <w14:textFill>
            <w14:solidFill>
              <w14:schemeClr w14:val="tx1"/>
            </w14:solidFill>
          </w14:textFill>
        </w:rPr>
        <w:t>不合格的，</w:t>
      </w:r>
      <w:r>
        <w:rPr>
          <w:rFonts w:hint="eastAsia" w:ascii="宋体" w:hAnsi="宋体"/>
          <w:color w:val="000000" w:themeColor="text1"/>
          <w:sz w:val="21"/>
          <w:szCs w:val="21"/>
          <w:highlight w:val="none"/>
          <w14:textFill>
            <w14:solidFill>
              <w14:schemeClr w14:val="tx1"/>
            </w14:solidFill>
          </w14:textFill>
        </w:rPr>
        <w:t>设计人应当采取补救措施，直至达到合同要求的质量标准，</w:t>
      </w:r>
      <w:r>
        <w:rPr>
          <w:rFonts w:ascii="宋体" w:hAnsi="宋体"/>
          <w:color w:val="000000" w:themeColor="text1"/>
          <w:sz w:val="21"/>
          <w:szCs w:val="21"/>
          <w:highlight w:val="none"/>
          <w14:textFill>
            <w14:solidFill>
              <w14:schemeClr w14:val="tx1"/>
            </w14:solidFill>
          </w14:textFill>
        </w:rPr>
        <w:t>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设计周期的延长</w:t>
      </w:r>
      <w:r>
        <w:rPr>
          <w:rFonts w:ascii="宋体" w:hAnsi="宋体"/>
          <w:color w:val="000000" w:themeColor="text1"/>
          <w:sz w:val="21"/>
          <w:szCs w:val="21"/>
          <w:highlight w:val="none"/>
          <w14:textFill>
            <w14:solidFill>
              <w14:schemeClr w14:val="tx1"/>
            </w14:solidFill>
          </w14:textFill>
        </w:rPr>
        <w:t>由发包人承担。</w:t>
      </w:r>
    </w:p>
    <w:p w14:paraId="1D37C50B">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702" w:name="_Toc351203542"/>
      <w:bookmarkStart w:id="703" w:name="_Toc337558767"/>
      <w:r>
        <w:rPr>
          <w:rFonts w:hint="eastAsia" w:ascii="黑体" w:hAnsi="黑体" w:eastAsia="黑体" w:cs="Times New Roman"/>
          <w:b w:val="0"/>
          <w:color w:val="000000" w:themeColor="text1"/>
          <w:highlight w:val="none"/>
          <w14:textFill>
            <w14:solidFill>
              <w14:schemeClr w14:val="tx1"/>
            </w14:solidFill>
          </w14:textFill>
        </w:rPr>
        <w:t>6</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工程设计</w:t>
      </w:r>
      <w:r>
        <w:rPr>
          <w:rFonts w:ascii="黑体" w:hAnsi="黑体" w:eastAsia="黑体" w:cs="Times New Roman"/>
          <w:b w:val="0"/>
          <w:color w:val="000000" w:themeColor="text1"/>
          <w:highlight w:val="none"/>
          <w14:textFill>
            <w14:solidFill>
              <w14:schemeClr w14:val="tx1"/>
            </w14:solidFill>
          </w14:textFill>
        </w:rPr>
        <w:t>进度</w:t>
      </w:r>
      <w:bookmarkEnd w:id="702"/>
      <w:r>
        <w:rPr>
          <w:rFonts w:hint="eastAsia" w:ascii="黑体" w:hAnsi="黑体" w:eastAsia="黑体" w:cs="Times New Roman"/>
          <w:b w:val="0"/>
          <w:color w:val="000000" w:themeColor="text1"/>
          <w:highlight w:val="none"/>
          <w14:textFill>
            <w14:solidFill>
              <w14:schemeClr w14:val="tx1"/>
            </w14:solidFill>
          </w14:textFill>
        </w:rPr>
        <w:t>与周期</w:t>
      </w:r>
    </w:p>
    <w:bookmarkEnd w:id="703"/>
    <w:p w14:paraId="257D5056">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04" w:name="_Toc351203544"/>
      <w:bookmarkStart w:id="705" w:name="_Toc337558769"/>
      <w:bookmarkStart w:id="706" w:name="_Toc296346567"/>
      <w:bookmarkStart w:id="707" w:name="_Toc296503066"/>
      <w:r>
        <w:rPr>
          <w:rFonts w:hint="eastAsia" w:ascii="宋体" w:hAnsi="宋体"/>
          <w:b w:val="0"/>
          <w:color w:val="000000" w:themeColor="text1"/>
          <w:sz w:val="21"/>
          <w:szCs w:val="21"/>
          <w:highlight w:val="none"/>
          <w14:textFill>
            <w14:solidFill>
              <w14:schemeClr w14:val="tx1"/>
            </w14:solidFill>
          </w14:textFill>
        </w:rPr>
        <w:t>6</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1</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工程设计</w:t>
      </w:r>
      <w:r>
        <w:rPr>
          <w:rFonts w:ascii="宋体" w:hAnsi="宋体"/>
          <w:b w:val="0"/>
          <w:color w:val="000000" w:themeColor="text1"/>
          <w:sz w:val="21"/>
          <w:szCs w:val="21"/>
          <w:highlight w:val="none"/>
          <w14:textFill>
            <w14:solidFill>
              <w14:schemeClr w14:val="tx1"/>
            </w14:solidFill>
          </w14:textFill>
        </w:rPr>
        <w:t>进度计划</w:t>
      </w:r>
      <w:bookmarkEnd w:id="704"/>
    </w:p>
    <w:bookmarkEnd w:id="705"/>
    <w:p w14:paraId="42D4F7A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进度计划的编制</w:t>
      </w:r>
    </w:p>
    <w:p w14:paraId="0CD7C80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人应按照</w:t>
      </w:r>
      <w:r>
        <w:rPr>
          <w:rFonts w:hint="eastAsia" w:ascii="宋体" w:hAnsi="宋体"/>
          <w:color w:val="000000" w:themeColor="text1"/>
          <w:sz w:val="21"/>
          <w:szCs w:val="21"/>
          <w:highlight w:val="none"/>
          <w14:textFill>
            <w14:solidFill>
              <w14:schemeClr w14:val="tx1"/>
            </w14:solidFill>
          </w14:textFill>
        </w:rPr>
        <w:t>专用合同条款</w:t>
      </w:r>
      <w:r>
        <w:rPr>
          <w:rFonts w:ascii="宋体" w:hAnsi="宋体"/>
          <w:color w:val="000000" w:themeColor="text1"/>
          <w:sz w:val="21"/>
          <w:szCs w:val="21"/>
          <w:highlight w:val="none"/>
          <w14:textFill>
            <w14:solidFill>
              <w14:schemeClr w14:val="tx1"/>
            </w14:solidFill>
          </w14:textFill>
        </w:rPr>
        <w:t>约定提交</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进度计划的编制应当符合法律规定和一般工程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实践惯例，</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进度计划经发包人批准后实施。</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进度计划是控制工程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进度的依据，发包人有权按照</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w:t>
      </w:r>
      <w:r>
        <w:rPr>
          <w:rFonts w:hint="eastAsia" w:ascii="宋体" w:hAnsi="宋体"/>
          <w:color w:val="000000" w:themeColor="text1"/>
          <w:sz w:val="21"/>
          <w:szCs w:val="21"/>
          <w:highlight w:val="none"/>
          <w14:textFill>
            <w14:solidFill>
              <w14:schemeClr w14:val="tx1"/>
            </w14:solidFill>
          </w14:textFill>
        </w:rPr>
        <w:t>中列明的关键性控制节点</w:t>
      </w:r>
      <w:r>
        <w:rPr>
          <w:rFonts w:ascii="宋体" w:hAnsi="宋体"/>
          <w:color w:val="000000" w:themeColor="text1"/>
          <w:sz w:val="21"/>
          <w:szCs w:val="21"/>
          <w:highlight w:val="none"/>
          <w14:textFill>
            <w14:solidFill>
              <w14:schemeClr w14:val="tx1"/>
            </w14:solidFill>
          </w14:textFill>
        </w:rPr>
        <w:t>检查工程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进度情况。</w:t>
      </w:r>
    </w:p>
    <w:p w14:paraId="17350EB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14:paraId="681F366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进度计划的修订</w:t>
      </w:r>
    </w:p>
    <w:p w14:paraId="2780B15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进度计划不符合合同要求或与工程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的实际进度不一致的，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人应向</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人提交修订的</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进度计划，并附具有关措施和相关资料。除专用合同条款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另有约定外，发包人应在收到修订的</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进度计划后</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天内完成审核和批准或提出修改意见</w:t>
      </w:r>
      <w:r>
        <w:rPr>
          <w:rFonts w:hint="eastAsia" w:ascii="宋体" w:hAnsi="宋体"/>
          <w:color w:val="000000" w:themeColor="text1"/>
          <w:sz w:val="21"/>
          <w:szCs w:val="21"/>
          <w:highlight w:val="none"/>
          <w14:textFill>
            <w14:solidFill>
              <w14:schemeClr w14:val="tx1"/>
            </w14:solidFill>
          </w14:textFill>
        </w:rPr>
        <w:t>，否则视为发包人同意设计人提交的修订的工程设计进度计划。</w:t>
      </w:r>
    </w:p>
    <w:p w14:paraId="402C073E">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08" w:name="_Toc351203545"/>
      <w:bookmarkStart w:id="709" w:name="_Toc337558770"/>
      <w:r>
        <w:rPr>
          <w:rFonts w:hint="eastAsia" w:ascii="宋体" w:hAnsi="宋体"/>
          <w:b w:val="0"/>
          <w:color w:val="000000" w:themeColor="text1"/>
          <w:sz w:val="21"/>
          <w:szCs w:val="21"/>
          <w:highlight w:val="none"/>
          <w14:textFill>
            <w14:solidFill>
              <w14:schemeClr w14:val="tx1"/>
            </w14:solidFill>
          </w14:textFill>
        </w:rPr>
        <w:t>6</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2</w:t>
      </w:r>
      <w:r>
        <w:rPr>
          <w:rFonts w:ascii="宋体" w:hAnsi="宋体"/>
          <w:b w:val="0"/>
          <w:color w:val="000000" w:themeColor="text1"/>
          <w:sz w:val="21"/>
          <w:szCs w:val="21"/>
          <w:highlight w:val="none"/>
          <w14:textFill>
            <w14:solidFill>
              <w14:schemeClr w14:val="tx1"/>
            </w14:solidFill>
          </w14:textFill>
        </w:rPr>
        <w:t xml:space="preserve"> </w:t>
      </w:r>
      <w:bookmarkEnd w:id="708"/>
      <w:r>
        <w:rPr>
          <w:rFonts w:hint="eastAsia" w:ascii="宋体" w:hAnsi="宋体"/>
          <w:b w:val="0"/>
          <w:color w:val="000000" w:themeColor="text1"/>
          <w:sz w:val="21"/>
          <w:szCs w:val="21"/>
          <w:highlight w:val="none"/>
          <w14:textFill>
            <w14:solidFill>
              <w14:schemeClr w14:val="tx1"/>
            </w14:solidFill>
          </w14:textFill>
        </w:rPr>
        <w:t>工程设计开始</w:t>
      </w:r>
    </w:p>
    <w:bookmarkEnd w:id="709"/>
    <w:p w14:paraId="660948B8">
      <w:pPr>
        <w:spacing w:line="360" w:lineRule="auto"/>
        <w:ind w:firstLine="438" w:firstLineChars="20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发包人应按照法律规定获得工程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所需的许可。发包人发出的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通知应符合法律规定</w:t>
      </w:r>
      <w:r>
        <w:rPr>
          <w:rFonts w:hint="eastAsia" w:ascii="宋体" w:hAnsi="宋体"/>
          <w:color w:val="000000" w:themeColor="text1"/>
          <w:sz w:val="21"/>
          <w:szCs w:val="21"/>
          <w:highlight w:val="none"/>
          <w14:textFill>
            <w14:solidFill>
              <w14:schemeClr w14:val="tx1"/>
            </w14:solidFill>
          </w14:textFill>
        </w:rPr>
        <w:t>，一般</w:t>
      </w:r>
      <w:r>
        <w:rPr>
          <w:rFonts w:ascii="宋体" w:hAnsi="宋体"/>
          <w:color w:val="000000" w:themeColor="text1"/>
          <w:sz w:val="21"/>
          <w:szCs w:val="21"/>
          <w:highlight w:val="none"/>
          <w14:textFill>
            <w14:solidFill>
              <w14:schemeClr w14:val="tx1"/>
            </w14:solidFill>
          </w14:textFill>
        </w:rPr>
        <w:t>应在计划</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日期7天前向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人发出</w:t>
      </w:r>
      <w:r>
        <w:rPr>
          <w:rFonts w:hint="eastAsia" w:ascii="宋体" w:hAnsi="宋体"/>
          <w:color w:val="000000" w:themeColor="text1"/>
          <w:sz w:val="21"/>
          <w:szCs w:val="21"/>
          <w:highlight w:val="none"/>
          <w14:textFill>
            <w14:solidFill>
              <w14:schemeClr w14:val="tx1"/>
            </w14:solidFill>
          </w14:textFill>
        </w:rPr>
        <w:t>开始工程设计工作</w:t>
      </w:r>
      <w:r>
        <w:rPr>
          <w:rFonts w:ascii="宋体" w:hAnsi="宋体"/>
          <w:color w:val="000000" w:themeColor="text1"/>
          <w:sz w:val="21"/>
          <w:szCs w:val="21"/>
          <w:highlight w:val="none"/>
          <w14:textFill>
            <w14:solidFill>
              <w14:schemeClr w14:val="tx1"/>
            </w14:solidFill>
          </w14:textFill>
        </w:rPr>
        <w:t>通知，</w:t>
      </w:r>
      <w:r>
        <w:rPr>
          <w:rFonts w:hint="eastAsia" w:ascii="宋体" w:hAnsi="宋体"/>
          <w:color w:val="000000" w:themeColor="text1"/>
          <w:sz w:val="21"/>
          <w:szCs w:val="21"/>
          <w:highlight w:val="none"/>
          <w14:textFill>
            <w14:solidFill>
              <w14:schemeClr w14:val="tx1"/>
            </w14:solidFill>
          </w14:textFill>
        </w:rPr>
        <w:t>工程设计周期</w:t>
      </w:r>
      <w:r>
        <w:rPr>
          <w:rFonts w:ascii="宋体" w:hAnsi="宋体"/>
          <w:color w:val="000000" w:themeColor="text1"/>
          <w:sz w:val="21"/>
          <w:szCs w:val="21"/>
          <w:highlight w:val="none"/>
          <w14:textFill>
            <w14:solidFill>
              <w14:schemeClr w14:val="tx1"/>
            </w14:solidFill>
          </w14:textFill>
        </w:rPr>
        <w:t>自</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通知中载明的</w:t>
      </w:r>
      <w:r>
        <w:rPr>
          <w:rFonts w:hint="eastAsia" w:ascii="宋体" w:hAnsi="宋体"/>
          <w:color w:val="000000" w:themeColor="text1"/>
          <w:sz w:val="21"/>
          <w:szCs w:val="21"/>
          <w:highlight w:val="none"/>
          <w14:textFill>
            <w14:solidFill>
              <w14:schemeClr w14:val="tx1"/>
            </w14:solidFill>
          </w14:textFill>
        </w:rPr>
        <w:t>开始设计的</w:t>
      </w:r>
      <w:r>
        <w:rPr>
          <w:rFonts w:ascii="宋体" w:hAnsi="宋体"/>
          <w:color w:val="000000" w:themeColor="text1"/>
          <w:sz w:val="21"/>
          <w:szCs w:val="21"/>
          <w:highlight w:val="none"/>
          <w14:textFill>
            <w14:solidFill>
              <w14:schemeClr w14:val="tx1"/>
            </w14:solidFill>
          </w14:textFill>
        </w:rPr>
        <w:t>日期起算。</w:t>
      </w:r>
    </w:p>
    <w:p w14:paraId="395447A7">
      <w:pPr>
        <w:autoSpaceDE w:val="0"/>
        <w:autoSpaceDN w:val="0"/>
        <w:spacing w:line="360" w:lineRule="auto"/>
        <w:ind w:firstLine="441" w:firstLineChars="21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设计人应当在收到发包人提供的工程设计资料及专用合同条款约定的定金或预付款后，开始工程设计工作。</w:t>
      </w:r>
    </w:p>
    <w:p w14:paraId="1A81C16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各设计阶段的开始时间均以设计人收到的发包人发出开始设计工作的书面通知书中载明的开始设计的</w:t>
      </w:r>
      <w:r>
        <w:rPr>
          <w:rFonts w:ascii="宋体" w:hAnsi="宋体"/>
          <w:color w:val="000000" w:themeColor="text1"/>
          <w:sz w:val="21"/>
          <w:szCs w:val="21"/>
          <w:highlight w:val="none"/>
          <w14:textFill>
            <w14:solidFill>
              <w14:schemeClr w14:val="tx1"/>
            </w14:solidFill>
          </w14:textFill>
        </w:rPr>
        <w:t>日期起算。</w:t>
      </w:r>
    </w:p>
    <w:bookmarkEnd w:id="706"/>
    <w:bookmarkEnd w:id="707"/>
    <w:p w14:paraId="1ADF29AF">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10" w:name="_Toc351203547"/>
      <w:bookmarkStart w:id="711" w:name="_Toc337558772"/>
      <w:bookmarkStart w:id="712" w:name="_Toc296503073"/>
      <w:bookmarkStart w:id="713" w:name="_Toc296346574"/>
      <w:r>
        <w:rPr>
          <w:rFonts w:hint="eastAsia" w:ascii="宋体" w:hAnsi="宋体"/>
          <w:b w:val="0"/>
          <w:color w:val="000000" w:themeColor="text1"/>
          <w:sz w:val="21"/>
          <w:szCs w:val="21"/>
          <w:highlight w:val="none"/>
          <w14:textFill>
            <w14:solidFill>
              <w14:schemeClr w14:val="tx1"/>
            </w14:solidFill>
          </w14:textFill>
        </w:rPr>
        <w:t>6</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3 工程设计进度</w:t>
      </w:r>
      <w:r>
        <w:rPr>
          <w:rFonts w:ascii="宋体" w:hAnsi="宋体"/>
          <w:b w:val="0"/>
          <w:color w:val="000000" w:themeColor="text1"/>
          <w:sz w:val="21"/>
          <w:szCs w:val="21"/>
          <w:highlight w:val="none"/>
          <w14:textFill>
            <w14:solidFill>
              <w14:schemeClr w14:val="tx1"/>
            </w14:solidFill>
          </w14:textFill>
        </w:rPr>
        <w:t>延误</w:t>
      </w:r>
      <w:bookmarkEnd w:id="710"/>
    </w:p>
    <w:bookmarkEnd w:id="711"/>
    <w:bookmarkEnd w:id="712"/>
    <w:bookmarkEnd w:id="713"/>
    <w:p w14:paraId="0A1E596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.1 因发包人原因导致</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w:t>
      </w:r>
    </w:p>
    <w:p w14:paraId="1074EA1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在合同履行过程中，</w:t>
      </w:r>
      <w:r>
        <w:rPr>
          <w:rFonts w:hint="eastAsia" w:ascii="宋体" w:hAnsi="宋体"/>
          <w:color w:val="000000" w:themeColor="text1"/>
          <w:sz w:val="21"/>
          <w:szCs w:val="21"/>
          <w:highlight w:val="none"/>
          <w14:textFill>
            <w14:solidFill>
              <w14:schemeClr w14:val="tx1"/>
            </w14:solidFill>
          </w14:textFill>
        </w:rPr>
        <w:t>发包人导致工程设计进度延误的情形主要有</w:t>
      </w:r>
      <w:r>
        <w:rPr>
          <w:rFonts w:ascii="宋体" w:hAnsi="宋体"/>
          <w:color w:val="000000" w:themeColor="text1"/>
          <w:sz w:val="21"/>
          <w:szCs w:val="21"/>
          <w:highlight w:val="none"/>
          <w14:textFill>
            <w14:solidFill>
              <w14:schemeClr w14:val="tx1"/>
            </w14:solidFill>
          </w14:textFill>
        </w:rPr>
        <w:t xml:space="preserve">： </w:t>
      </w:r>
    </w:p>
    <w:p w14:paraId="27B6685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（1）发包人未能按合同约定提供</w:t>
      </w:r>
      <w:r>
        <w:rPr>
          <w:rFonts w:hint="eastAsia" w:ascii="宋体" w:hAnsi="宋体"/>
          <w:color w:val="000000" w:themeColor="text1"/>
          <w:sz w:val="21"/>
          <w:szCs w:val="21"/>
          <w:highlight w:val="none"/>
          <w14:textFill>
            <w14:solidFill>
              <w14:schemeClr w14:val="tx1"/>
            </w14:solidFill>
          </w14:textFill>
        </w:rPr>
        <w:t>工程设计资料</w:t>
      </w:r>
      <w:r>
        <w:rPr>
          <w:rFonts w:ascii="宋体" w:hAnsi="宋体"/>
          <w:color w:val="000000" w:themeColor="text1"/>
          <w:sz w:val="21"/>
          <w:szCs w:val="21"/>
          <w:highlight w:val="none"/>
          <w14:textFill>
            <w14:solidFill>
              <w14:schemeClr w14:val="tx1"/>
            </w14:solidFill>
          </w14:textFill>
        </w:rPr>
        <w:t>或所提供</w:t>
      </w:r>
      <w:r>
        <w:rPr>
          <w:rFonts w:hint="eastAsia" w:ascii="宋体" w:hAnsi="宋体"/>
          <w:color w:val="000000" w:themeColor="text1"/>
          <w:sz w:val="21"/>
          <w:szCs w:val="21"/>
          <w:highlight w:val="none"/>
          <w14:textFill>
            <w14:solidFill>
              <w14:schemeClr w14:val="tx1"/>
            </w14:solidFill>
          </w14:textFill>
        </w:rPr>
        <w:t>的工程设计资料</w:t>
      </w:r>
      <w:r>
        <w:rPr>
          <w:rFonts w:ascii="宋体" w:hAnsi="宋体"/>
          <w:color w:val="000000" w:themeColor="text1"/>
          <w:sz w:val="21"/>
          <w:szCs w:val="21"/>
          <w:highlight w:val="none"/>
          <w14:textFill>
            <w14:solidFill>
              <w14:schemeClr w14:val="tx1"/>
            </w14:solidFill>
          </w14:textFill>
        </w:rPr>
        <w:t>不符合合同约定</w:t>
      </w:r>
      <w:r>
        <w:rPr>
          <w:rFonts w:hint="eastAsia" w:ascii="宋体" w:hAnsi="宋体"/>
          <w:color w:val="000000" w:themeColor="text1"/>
          <w:sz w:val="21"/>
          <w:szCs w:val="21"/>
          <w:highlight w:val="none"/>
          <w14:textFill>
            <w14:solidFill>
              <w14:schemeClr w14:val="tx1"/>
            </w14:solidFill>
          </w14:textFill>
        </w:rPr>
        <w:t>或</w:t>
      </w:r>
      <w:r>
        <w:rPr>
          <w:rFonts w:ascii="宋体" w:hAnsi="宋体"/>
          <w:color w:val="000000" w:themeColor="text1"/>
          <w:sz w:val="21"/>
          <w:szCs w:val="21"/>
          <w:highlight w:val="none"/>
          <w14:textFill>
            <w14:solidFill>
              <w14:schemeClr w14:val="tx1"/>
            </w14:solidFill>
          </w14:textFill>
        </w:rPr>
        <w:t>存在错误或疏漏的；</w:t>
      </w:r>
    </w:p>
    <w:p w14:paraId="2B2A970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（2）发包人未能按合同约定日期</w:t>
      </w:r>
      <w:r>
        <w:rPr>
          <w:rFonts w:hint="eastAsia" w:ascii="宋体" w:hAnsi="宋体"/>
          <w:color w:val="000000" w:themeColor="text1"/>
          <w:sz w:val="21"/>
          <w:szCs w:val="21"/>
          <w:highlight w:val="none"/>
          <w14:textFill>
            <w14:solidFill>
              <w14:schemeClr w14:val="tx1"/>
            </w14:solidFill>
          </w14:textFill>
        </w:rPr>
        <w:t>足额</w:t>
      </w:r>
      <w:r>
        <w:rPr>
          <w:rFonts w:ascii="宋体" w:hAnsi="宋体"/>
          <w:color w:val="000000" w:themeColor="text1"/>
          <w:sz w:val="21"/>
          <w:szCs w:val="21"/>
          <w:highlight w:val="none"/>
          <w14:textFill>
            <w14:solidFill>
              <w14:schemeClr w14:val="tx1"/>
            </w14:solidFill>
          </w14:textFill>
        </w:rPr>
        <w:t>支付</w:t>
      </w:r>
      <w:r>
        <w:rPr>
          <w:rFonts w:hint="eastAsia" w:ascii="宋体" w:hAnsi="宋体"/>
          <w:color w:val="000000" w:themeColor="text1"/>
          <w:sz w:val="21"/>
          <w:szCs w:val="21"/>
          <w:highlight w:val="none"/>
          <w14:textFill>
            <w14:solidFill>
              <w14:schemeClr w14:val="tx1"/>
            </w14:solidFill>
          </w14:textFill>
        </w:rPr>
        <w:t>定金或预付款</w:t>
      </w:r>
      <w:r>
        <w:rPr>
          <w:rFonts w:ascii="宋体" w:hAnsi="宋体"/>
          <w:color w:val="000000" w:themeColor="text1"/>
          <w:sz w:val="21"/>
          <w:szCs w:val="21"/>
          <w:highlight w:val="none"/>
          <w14:textFill>
            <w14:solidFill>
              <w14:schemeClr w14:val="tx1"/>
            </w14:solidFill>
          </w14:textFill>
        </w:rPr>
        <w:t>、进度款的；</w:t>
      </w:r>
    </w:p>
    <w:p w14:paraId="0136EDA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（3）发包人提出影响设计周期的设计变更要求的；</w:t>
      </w:r>
    </w:p>
    <w:p w14:paraId="3399804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）专用合同条款中约定的其他情形。</w:t>
      </w:r>
    </w:p>
    <w:p w14:paraId="742B342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因发包人原因未按计划</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的，发包人应按实际</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日期顺延</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w:t>
      </w:r>
    </w:p>
    <w:p w14:paraId="62561D96">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s="Courier New"/>
          <w:color w:val="000000" w:themeColor="text1"/>
          <w:sz w:val="21"/>
          <w:szCs w:val="21"/>
          <w:highlight w:val="none"/>
          <w14:textFill>
            <w14:solidFill>
              <w14:schemeClr w14:val="tx1"/>
            </w14:solidFill>
          </w14:textFill>
        </w:rPr>
        <w:t>设计人应</w:t>
      </w:r>
      <w:r>
        <w:rPr>
          <w:rFonts w:ascii="宋体" w:hAnsi="宋体" w:cs="Courier New"/>
          <w:color w:val="000000" w:themeColor="text1"/>
          <w:sz w:val="21"/>
          <w:szCs w:val="21"/>
          <w:highlight w:val="none"/>
          <w14:textFill>
            <w14:solidFill>
              <w14:schemeClr w14:val="tx1"/>
            </w14:solidFill>
          </w14:textFill>
        </w:rPr>
        <w:t>在发生</w:t>
      </w:r>
      <w:r>
        <w:rPr>
          <w:rFonts w:hint="eastAsia" w:ascii="宋体" w:hAnsi="宋体" w:cs="Courier New"/>
          <w:color w:val="000000" w:themeColor="text1"/>
          <w:sz w:val="21"/>
          <w:szCs w:val="21"/>
          <w:highlight w:val="none"/>
          <w14:textFill>
            <w14:solidFill>
              <w14:schemeClr w14:val="tx1"/>
            </w14:solidFill>
          </w14:textFill>
        </w:rPr>
        <w:t>上述</w:t>
      </w:r>
      <w:r>
        <w:rPr>
          <w:rFonts w:ascii="宋体" w:hAnsi="宋体" w:cs="Courier New"/>
          <w:color w:val="000000" w:themeColor="text1"/>
          <w:sz w:val="21"/>
          <w:szCs w:val="21"/>
          <w:highlight w:val="none"/>
          <w14:textFill>
            <w14:solidFill>
              <w14:schemeClr w14:val="tx1"/>
            </w14:solidFill>
          </w14:textFill>
        </w:rPr>
        <w:t>情</w:t>
      </w:r>
      <w:r>
        <w:rPr>
          <w:rFonts w:hint="eastAsia" w:ascii="宋体" w:hAnsi="宋体" w:cs="Courier New"/>
          <w:color w:val="000000" w:themeColor="text1"/>
          <w:sz w:val="21"/>
          <w:szCs w:val="21"/>
          <w:highlight w:val="none"/>
          <w14:textFill>
            <w14:solidFill>
              <w14:schemeClr w14:val="tx1"/>
            </w14:solidFill>
          </w14:textFill>
        </w:rPr>
        <w:t>形</w:t>
      </w:r>
      <w:r>
        <w:rPr>
          <w:rFonts w:ascii="宋体" w:hAnsi="宋体" w:cs="Courier New"/>
          <w:color w:val="000000" w:themeColor="text1"/>
          <w:sz w:val="21"/>
          <w:szCs w:val="21"/>
          <w:highlight w:val="none"/>
          <w14:textFill>
            <w14:solidFill>
              <w14:schemeClr w14:val="tx1"/>
            </w14:solidFill>
          </w14:textFill>
        </w:rPr>
        <w:t>后</w:t>
      </w:r>
      <w:r>
        <w:rPr>
          <w:rFonts w:hint="eastAsia" w:ascii="宋体" w:hAnsi="宋体" w:cs="Courier New"/>
          <w:color w:val="000000" w:themeColor="text1"/>
          <w:sz w:val="21"/>
          <w:szCs w:val="21"/>
          <w:highlight w:val="none"/>
          <w14:textFill>
            <w14:solidFill>
              <w14:schemeClr w14:val="tx1"/>
            </w14:solidFill>
          </w14:textFill>
        </w:rPr>
        <w:t>5</w:t>
      </w:r>
      <w:r>
        <w:rPr>
          <w:rFonts w:ascii="宋体" w:hAnsi="宋体" w:cs="Courier New"/>
          <w:color w:val="000000" w:themeColor="text1"/>
          <w:sz w:val="21"/>
          <w:szCs w:val="21"/>
          <w:highlight w:val="none"/>
          <w14:textFill>
            <w14:solidFill>
              <w14:schemeClr w14:val="tx1"/>
            </w14:solidFill>
          </w14:textFill>
        </w:rPr>
        <w:t>天内向</w:t>
      </w:r>
      <w:r>
        <w:rPr>
          <w:rFonts w:hint="eastAsia" w:ascii="宋体" w:hAnsi="宋体" w:cs="Courier New"/>
          <w:color w:val="000000" w:themeColor="text1"/>
          <w:sz w:val="21"/>
          <w:szCs w:val="21"/>
          <w:highlight w:val="none"/>
          <w14:textFill>
            <w14:solidFill>
              <w14:schemeClr w14:val="tx1"/>
            </w14:solidFill>
          </w14:textFill>
        </w:rPr>
        <w:t>发包人</w:t>
      </w:r>
      <w:r>
        <w:rPr>
          <w:rFonts w:ascii="宋体" w:hAnsi="宋体" w:cs="Courier New"/>
          <w:color w:val="000000" w:themeColor="text1"/>
          <w:sz w:val="21"/>
          <w:szCs w:val="21"/>
          <w:highlight w:val="none"/>
          <w14:textFill>
            <w14:solidFill>
              <w14:schemeClr w14:val="tx1"/>
            </w14:solidFill>
          </w14:textFill>
        </w:rPr>
        <w:t>发出要求延期的书面通知，</w:t>
      </w:r>
      <w:r>
        <w:rPr>
          <w:rFonts w:hint="eastAsia" w:ascii="宋体" w:hAnsi="宋体" w:cs="Courier New"/>
          <w:color w:val="000000" w:themeColor="text1"/>
          <w:sz w:val="21"/>
          <w:szCs w:val="21"/>
          <w:highlight w:val="none"/>
          <w14:textFill>
            <w14:solidFill>
              <w14:schemeClr w14:val="tx1"/>
            </w14:solidFill>
          </w14:textFill>
        </w:rPr>
        <w:t>在</w:t>
      </w:r>
      <w:r>
        <w:rPr>
          <w:rFonts w:ascii="宋体" w:hAnsi="宋体" w:cs="Courier New"/>
          <w:color w:val="000000" w:themeColor="text1"/>
          <w:sz w:val="21"/>
          <w:szCs w:val="21"/>
          <w:highlight w:val="none"/>
          <w14:textFill>
            <w14:solidFill>
              <w14:schemeClr w14:val="tx1"/>
            </w14:solidFill>
          </w14:textFill>
        </w:rPr>
        <w:t>发生</w:t>
      </w:r>
      <w:r>
        <w:rPr>
          <w:rFonts w:hint="eastAsia" w:ascii="宋体" w:hAnsi="宋体" w:cs="Courier New"/>
          <w:color w:val="000000" w:themeColor="text1"/>
          <w:sz w:val="21"/>
          <w:szCs w:val="21"/>
          <w:highlight w:val="none"/>
          <w14:textFill>
            <w14:solidFill>
              <w14:schemeClr w14:val="tx1"/>
            </w14:solidFill>
          </w14:textFill>
        </w:rPr>
        <w:t>该</w:t>
      </w:r>
      <w:r>
        <w:rPr>
          <w:rFonts w:ascii="宋体" w:hAnsi="宋体" w:cs="Courier New"/>
          <w:color w:val="000000" w:themeColor="text1"/>
          <w:sz w:val="21"/>
          <w:szCs w:val="21"/>
          <w:highlight w:val="none"/>
          <w14:textFill>
            <w14:solidFill>
              <w14:schemeClr w14:val="tx1"/>
            </w14:solidFill>
          </w14:textFill>
        </w:rPr>
        <w:t>情</w:t>
      </w:r>
      <w:r>
        <w:rPr>
          <w:rFonts w:hint="eastAsia" w:ascii="宋体" w:hAnsi="宋体" w:cs="Courier New"/>
          <w:color w:val="000000" w:themeColor="text1"/>
          <w:sz w:val="21"/>
          <w:szCs w:val="21"/>
          <w:highlight w:val="none"/>
          <w14:textFill>
            <w14:solidFill>
              <w14:schemeClr w14:val="tx1"/>
            </w14:solidFill>
          </w14:textFill>
        </w:rPr>
        <w:t>形</w:t>
      </w:r>
      <w:r>
        <w:rPr>
          <w:rFonts w:ascii="宋体" w:hAnsi="宋体" w:cs="Courier New"/>
          <w:color w:val="000000" w:themeColor="text1"/>
          <w:sz w:val="21"/>
          <w:szCs w:val="21"/>
          <w:highlight w:val="none"/>
          <w14:textFill>
            <w14:solidFill>
              <w14:schemeClr w14:val="tx1"/>
            </w14:solidFill>
          </w14:textFill>
        </w:rPr>
        <w:t>后</w:t>
      </w:r>
      <w:r>
        <w:rPr>
          <w:rFonts w:hint="eastAsia" w:ascii="宋体" w:hAnsi="宋体" w:cs="Courier New"/>
          <w:color w:val="000000" w:themeColor="text1"/>
          <w:sz w:val="21"/>
          <w:szCs w:val="21"/>
          <w:highlight w:val="none"/>
          <w14:textFill>
            <w14:solidFill>
              <w14:schemeClr w14:val="tx1"/>
            </w14:solidFill>
          </w14:textFill>
        </w:rPr>
        <w:t>10</w:t>
      </w:r>
      <w:r>
        <w:rPr>
          <w:rFonts w:ascii="宋体" w:hAnsi="宋体" w:cs="Courier New"/>
          <w:color w:val="000000" w:themeColor="text1"/>
          <w:sz w:val="21"/>
          <w:szCs w:val="21"/>
          <w:highlight w:val="none"/>
          <w14:textFill>
            <w14:solidFill>
              <w14:schemeClr w14:val="tx1"/>
            </w14:solidFill>
          </w14:textFill>
        </w:rPr>
        <w:t>天内提交要求延期的详细说明供</w:t>
      </w:r>
      <w:r>
        <w:rPr>
          <w:rFonts w:hint="eastAsia" w:ascii="宋体" w:hAnsi="宋体" w:cs="Courier New"/>
          <w:color w:val="000000" w:themeColor="text1"/>
          <w:sz w:val="21"/>
          <w:szCs w:val="21"/>
          <w:highlight w:val="none"/>
          <w14:textFill>
            <w14:solidFill>
              <w14:schemeClr w14:val="tx1"/>
            </w14:solidFill>
          </w14:textFill>
        </w:rPr>
        <w:t>发包人审查。</w:t>
      </w: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s="Courier New"/>
          <w:color w:val="000000" w:themeColor="text1"/>
          <w:sz w:val="21"/>
          <w:szCs w:val="21"/>
          <w:highlight w:val="none"/>
          <w14:textFill>
            <w14:solidFill>
              <w14:schemeClr w14:val="tx1"/>
            </w14:solidFill>
          </w14:textFill>
        </w:rPr>
        <w:t>发包人</w:t>
      </w:r>
      <w:r>
        <w:rPr>
          <w:rFonts w:ascii="宋体" w:hAnsi="宋体" w:cs="Courier New"/>
          <w:color w:val="000000" w:themeColor="text1"/>
          <w:sz w:val="21"/>
          <w:szCs w:val="21"/>
          <w:highlight w:val="none"/>
          <w14:textFill>
            <w14:solidFill>
              <w14:schemeClr w14:val="tx1"/>
            </w14:solidFill>
          </w14:textFill>
        </w:rPr>
        <w:t>收到</w:t>
      </w:r>
      <w:r>
        <w:rPr>
          <w:rFonts w:hint="eastAsia" w:ascii="宋体" w:hAnsi="宋体" w:cs="Courier New"/>
          <w:color w:val="000000" w:themeColor="text1"/>
          <w:sz w:val="21"/>
          <w:szCs w:val="21"/>
          <w:highlight w:val="none"/>
          <w14:textFill>
            <w14:solidFill>
              <w14:schemeClr w14:val="tx1"/>
            </w14:solidFill>
          </w14:textFill>
        </w:rPr>
        <w:t>设计人</w:t>
      </w:r>
      <w:r>
        <w:rPr>
          <w:rFonts w:ascii="宋体" w:hAnsi="宋体" w:cs="Courier New"/>
          <w:color w:val="000000" w:themeColor="text1"/>
          <w:sz w:val="21"/>
          <w:szCs w:val="21"/>
          <w:highlight w:val="none"/>
          <w14:textFill>
            <w14:solidFill>
              <w14:schemeClr w14:val="tx1"/>
            </w14:solidFill>
          </w14:textFill>
        </w:rPr>
        <w:t>要求延期的详细说明后，</w:t>
      </w:r>
      <w:r>
        <w:rPr>
          <w:rFonts w:hint="eastAsia" w:ascii="宋体" w:hAnsi="宋体" w:cs="Courier New"/>
          <w:color w:val="000000" w:themeColor="text1"/>
          <w:sz w:val="21"/>
          <w:szCs w:val="21"/>
          <w:highlight w:val="none"/>
          <w14:textFill>
            <w14:solidFill>
              <w14:schemeClr w14:val="tx1"/>
            </w14:solidFill>
          </w14:textFill>
        </w:rPr>
        <w:t>应</w:t>
      </w:r>
      <w:r>
        <w:rPr>
          <w:rFonts w:ascii="宋体" w:hAnsi="宋体" w:cs="Courier New"/>
          <w:color w:val="000000" w:themeColor="text1"/>
          <w:sz w:val="21"/>
          <w:szCs w:val="21"/>
          <w:highlight w:val="none"/>
          <w14:textFill>
            <w14:solidFill>
              <w14:schemeClr w14:val="tx1"/>
            </w14:solidFill>
          </w14:textFill>
        </w:rPr>
        <w:t>在</w:t>
      </w:r>
      <w:r>
        <w:rPr>
          <w:rFonts w:hint="eastAsia" w:ascii="宋体" w:hAnsi="宋体" w:cs="Courier New"/>
          <w:color w:val="000000" w:themeColor="text1"/>
          <w:sz w:val="21"/>
          <w:szCs w:val="21"/>
          <w:highlight w:val="none"/>
          <w14:textFill>
            <w14:solidFill>
              <w14:schemeClr w14:val="tx1"/>
            </w14:solidFill>
          </w14:textFill>
        </w:rPr>
        <w:t>5</w:t>
      </w:r>
      <w:r>
        <w:rPr>
          <w:rFonts w:ascii="宋体" w:hAnsi="宋体" w:cs="Courier New"/>
          <w:color w:val="000000" w:themeColor="text1"/>
          <w:sz w:val="21"/>
          <w:szCs w:val="21"/>
          <w:highlight w:val="none"/>
          <w14:textFill>
            <w14:solidFill>
              <w14:schemeClr w14:val="tx1"/>
            </w14:solidFill>
          </w14:textFill>
        </w:rPr>
        <w:t>天内</w:t>
      </w:r>
      <w:r>
        <w:rPr>
          <w:rFonts w:hint="eastAsia" w:ascii="宋体" w:hAnsi="宋体" w:cs="Courier New"/>
          <w:color w:val="000000" w:themeColor="text1"/>
          <w:sz w:val="21"/>
          <w:szCs w:val="21"/>
          <w:highlight w:val="none"/>
          <w14:textFill>
            <w14:solidFill>
              <w14:schemeClr w14:val="tx1"/>
            </w14:solidFill>
          </w14:textFill>
        </w:rPr>
        <w:t>进行</w:t>
      </w:r>
      <w:r>
        <w:rPr>
          <w:rFonts w:ascii="宋体" w:hAnsi="宋体" w:cs="Courier New"/>
          <w:color w:val="000000" w:themeColor="text1"/>
          <w:sz w:val="21"/>
          <w:szCs w:val="21"/>
          <w:highlight w:val="none"/>
          <w14:textFill>
            <w14:solidFill>
              <w14:schemeClr w14:val="tx1"/>
            </w14:solidFill>
          </w14:textFill>
        </w:rPr>
        <w:t>审查</w:t>
      </w:r>
      <w:r>
        <w:rPr>
          <w:rFonts w:hint="eastAsia" w:ascii="宋体" w:hAnsi="宋体" w:cs="Courier New"/>
          <w:color w:val="000000" w:themeColor="text1"/>
          <w:sz w:val="21"/>
          <w:szCs w:val="21"/>
          <w:highlight w:val="none"/>
          <w14:textFill>
            <w14:solidFill>
              <w14:schemeClr w14:val="tx1"/>
            </w14:solidFill>
          </w14:textFill>
        </w:rPr>
        <w:t>并就</w:t>
      </w:r>
      <w:r>
        <w:rPr>
          <w:rFonts w:ascii="宋体" w:hAnsi="宋体" w:cs="Courier New"/>
          <w:color w:val="000000" w:themeColor="text1"/>
          <w:sz w:val="21"/>
          <w:szCs w:val="21"/>
          <w:highlight w:val="none"/>
          <w14:textFill>
            <w14:solidFill>
              <w14:schemeClr w14:val="tx1"/>
            </w14:solidFill>
          </w14:textFill>
        </w:rPr>
        <w:t>是否延长设计周期及延期天数向</w:t>
      </w:r>
      <w:r>
        <w:rPr>
          <w:rFonts w:hint="eastAsia" w:ascii="宋体" w:hAnsi="宋体" w:cs="Courier New"/>
          <w:color w:val="000000" w:themeColor="text1"/>
          <w:sz w:val="21"/>
          <w:szCs w:val="21"/>
          <w:highlight w:val="none"/>
          <w14:textFill>
            <w14:solidFill>
              <w14:schemeClr w14:val="tx1"/>
            </w14:solidFill>
          </w14:textFill>
        </w:rPr>
        <w:t>设计人进行</w:t>
      </w:r>
      <w:r>
        <w:rPr>
          <w:rFonts w:ascii="宋体" w:hAnsi="宋体" w:cs="Courier New"/>
          <w:color w:val="000000" w:themeColor="text1"/>
          <w:sz w:val="21"/>
          <w:szCs w:val="21"/>
          <w:highlight w:val="none"/>
          <w14:textFill>
            <w14:solidFill>
              <w14:schemeClr w14:val="tx1"/>
            </w14:solidFill>
          </w14:textFill>
        </w:rPr>
        <w:t>书面答复。</w:t>
      </w:r>
    </w:p>
    <w:p w14:paraId="5F0C8A3F">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如果</w:t>
      </w:r>
      <w:r>
        <w:rPr>
          <w:rFonts w:hint="eastAsia" w:ascii="宋体" w:hAnsi="宋体" w:cs="Courier New"/>
          <w:color w:val="000000" w:themeColor="text1"/>
          <w:sz w:val="21"/>
          <w:szCs w:val="21"/>
          <w:highlight w:val="none"/>
          <w14:textFill>
            <w14:solidFill>
              <w14:schemeClr w14:val="tx1"/>
            </w14:solidFill>
          </w14:textFill>
        </w:rPr>
        <w:t>发包人</w:t>
      </w:r>
      <w:r>
        <w:rPr>
          <w:rFonts w:ascii="宋体" w:hAnsi="宋体" w:cs="Courier New"/>
          <w:color w:val="000000" w:themeColor="text1"/>
          <w:sz w:val="21"/>
          <w:szCs w:val="21"/>
          <w:highlight w:val="none"/>
          <w14:textFill>
            <w14:solidFill>
              <w14:schemeClr w14:val="tx1"/>
            </w14:solidFill>
          </w14:textFill>
        </w:rPr>
        <w:t>在收到</w:t>
      </w:r>
      <w:r>
        <w:rPr>
          <w:rFonts w:hint="eastAsia" w:ascii="宋体" w:hAnsi="宋体" w:cs="Courier New"/>
          <w:color w:val="000000" w:themeColor="text1"/>
          <w:sz w:val="21"/>
          <w:szCs w:val="21"/>
          <w:highlight w:val="none"/>
          <w14:textFill>
            <w14:solidFill>
              <w14:schemeClr w14:val="tx1"/>
            </w14:solidFill>
          </w14:textFill>
        </w:rPr>
        <w:t>设计人</w:t>
      </w:r>
      <w:r>
        <w:rPr>
          <w:rFonts w:ascii="宋体" w:hAnsi="宋体"/>
          <w:color w:val="000000" w:themeColor="text1"/>
          <w:sz w:val="21"/>
          <w:szCs w:val="21"/>
          <w:highlight w:val="none"/>
          <w14:textFill>
            <w14:solidFill>
              <w14:schemeClr w14:val="tx1"/>
            </w14:solidFill>
          </w14:textFill>
        </w:rPr>
        <w:t>提交</w:t>
      </w:r>
      <w:r>
        <w:rPr>
          <w:rFonts w:hint="eastAsia" w:ascii="宋体" w:hAnsi="宋体"/>
          <w:color w:val="000000" w:themeColor="text1"/>
          <w:sz w:val="21"/>
          <w:szCs w:val="21"/>
          <w:highlight w:val="none"/>
          <w14:textFill>
            <w14:solidFill>
              <w14:schemeClr w14:val="tx1"/>
            </w14:solidFill>
          </w14:textFill>
        </w:rPr>
        <w:t>要求</w:t>
      </w:r>
      <w:r>
        <w:rPr>
          <w:rFonts w:ascii="宋体" w:hAnsi="宋体" w:cs="Courier New"/>
          <w:color w:val="000000" w:themeColor="text1"/>
          <w:sz w:val="21"/>
          <w:szCs w:val="21"/>
          <w:highlight w:val="none"/>
          <w14:textFill>
            <w14:solidFill>
              <w14:schemeClr w14:val="tx1"/>
            </w14:solidFill>
          </w14:textFill>
        </w:rPr>
        <w:t>延期的详细说明后</w:t>
      </w:r>
      <w:r>
        <w:rPr>
          <w:rFonts w:hint="eastAsia" w:ascii="宋体" w:hAnsi="宋体" w:cs="Courier New"/>
          <w:color w:val="000000" w:themeColor="text1"/>
          <w:sz w:val="21"/>
          <w:szCs w:val="21"/>
          <w:highlight w:val="none"/>
          <w14:textFill>
            <w14:solidFill>
              <w14:schemeClr w14:val="tx1"/>
            </w14:solidFill>
          </w14:textFill>
        </w:rPr>
        <w:t>，在约定的期限内</w:t>
      </w:r>
      <w:r>
        <w:rPr>
          <w:rFonts w:ascii="宋体" w:hAnsi="宋体" w:cs="Courier New"/>
          <w:color w:val="000000" w:themeColor="text1"/>
          <w:sz w:val="21"/>
          <w:szCs w:val="21"/>
          <w:highlight w:val="none"/>
          <w14:textFill>
            <w14:solidFill>
              <w14:schemeClr w14:val="tx1"/>
            </w14:solidFill>
          </w14:textFill>
        </w:rPr>
        <w:t>未予答复，则视为</w:t>
      </w:r>
      <w:r>
        <w:rPr>
          <w:rFonts w:hint="eastAsia" w:ascii="宋体" w:hAnsi="宋体" w:cs="Courier New"/>
          <w:color w:val="000000" w:themeColor="text1"/>
          <w:sz w:val="21"/>
          <w:szCs w:val="21"/>
          <w:highlight w:val="none"/>
          <w14:textFill>
            <w14:solidFill>
              <w14:schemeClr w14:val="tx1"/>
            </w14:solidFill>
          </w14:textFill>
        </w:rPr>
        <w:t>设计人</w:t>
      </w:r>
      <w:r>
        <w:rPr>
          <w:rFonts w:ascii="宋体" w:hAnsi="宋体" w:cs="Courier New"/>
          <w:color w:val="000000" w:themeColor="text1"/>
          <w:sz w:val="21"/>
          <w:szCs w:val="21"/>
          <w:highlight w:val="none"/>
          <w14:textFill>
            <w14:solidFill>
              <w14:schemeClr w14:val="tx1"/>
            </w14:solidFill>
          </w14:textFill>
        </w:rPr>
        <w:t>要求的延期已被发包人批准。</w:t>
      </w:r>
      <w:r>
        <w:rPr>
          <w:rFonts w:hint="eastAsia" w:ascii="宋体" w:hAnsi="宋体" w:cs="Courier New"/>
          <w:color w:val="000000" w:themeColor="text1"/>
          <w:sz w:val="21"/>
          <w:szCs w:val="21"/>
          <w:highlight w:val="none"/>
          <w14:textFill>
            <w14:solidFill>
              <w14:schemeClr w14:val="tx1"/>
            </w14:solidFill>
          </w14:textFill>
        </w:rPr>
        <w:t>如果设计人</w:t>
      </w:r>
      <w:r>
        <w:rPr>
          <w:rFonts w:ascii="宋体" w:hAnsi="宋体" w:cs="Courier New"/>
          <w:color w:val="000000" w:themeColor="text1"/>
          <w:sz w:val="21"/>
          <w:szCs w:val="21"/>
          <w:highlight w:val="none"/>
          <w14:textFill>
            <w14:solidFill>
              <w14:schemeClr w14:val="tx1"/>
            </w14:solidFill>
          </w14:textFill>
        </w:rPr>
        <w:t>未能按</w:t>
      </w:r>
      <w:r>
        <w:rPr>
          <w:rFonts w:hint="eastAsia" w:ascii="宋体" w:hAnsi="宋体" w:cs="Courier New"/>
          <w:color w:val="000000" w:themeColor="text1"/>
          <w:sz w:val="21"/>
          <w:szCs w:val="21"/>
          <w:highlight w:val="none"/>
          <w14:textFill>
            <w14:solidFill>
              <w14:schemeClr w14:val="tx1"/>
            </w14:solidFill>
          </w14:textFill>
        </w:rPr>
        <w:t>本款约</w:t>
      </w:r>
      <w:r>
        <w:rPr>
          <w:rFonts w:ascii="宋体" w:hAnsi="宋体" w:cs="Courier New"/>
          <w:color w:val="000000" w:themeColor="text1"/>
          <w:sz w:val="21"/>
          <w:szCs w:val="21"/>
          <w:highlight w:val="none"/>
          <w14:textFill>
            <w14:solidFill>
              <w14:schemeClr w14:val="tx1"/>
            </w14:solidFill>
          </w14:textFill>
        </w:rPr>
        <w:t>定的时间内发出要求延期的通知并提交详细资料，则</w:t>
      </w:r>
      <w:r>
        <w:rPr>
          <w:rFonts w:hint="eastAsia" w:ascii="宋体" w:hAnsi="宋体" w:cs="Courier New"/>
          <w:color w:val="000000" w:themeColor="text1"/>
          <w:sz w:val="21"/>
          <w:szCs w:val="21"/>
          <w:highlight w:val="none"/>
          <w14:textFill>
            <w14:solidFill>
              <w14:schemeClr w14:val="tx1"/>
            </w14:solidFill>
          </w14:textFill>
        </w:rPr>
        <w:t>发包人</w:t>
      </w:r>
      <w:r>
        <w:rPr>
          <w:rFonts w:ascii="宋体" w:hAnsi="宋体" w:cs="Courier New"/>
          <w:color w:val="000000" w:themeColor="text1"/>
          <w:sz w:val="21"/>
          <w:szCs w:val="21"/>
          <w:highlight w:val="none"/>
          <w14:textFill>
            <w14:solidFill>
              <w14:schemeClr w14:val="tx1"/>
            </w14:solidFill>
          </w14:textFill>
        </w:rPr>
        <w:t>可拒绝作出任何延期的决定。</w:t>
      </w:r>
    </w:p>
    <w:p w14:paraId="5A1217F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发包人上述工程设计进度延误情形导致增加了设计工作量的，发包人应当另行支付相应设计费用。</w:t>
      </w:r>
    </w:p>
    <w:p w14:paraId="16B0BF7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.2 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人原因导致</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w:t>
      </w:r>
    </w:p>
    <w:p w14:paraId="1228F76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bookmarkStart w:id="714" w:name="_Toc296503076"/>
      <w:bookmarkStart w:id="715" w:name="_Toc296346577"/>
      <w:r>
        <w:rPr>
          <w:rFonts w:ascii="宋体" w:hAnsi="宋体"/>
          <w:color w:val="000000" w:themeColor="text1"/>
          <w:sz w:val="21"/>
          <w:szCs w:val="21"/>
          <w:highlight w:val="none"/>
          <w14:textFill>
            <w14:solidFill>
              <w14:schemeClr w14:val="tx1"/>
            </w14:solidFill>
          </w14:textFill>
        </w:rPr>
        <w:t>因</w:t>
      </w:r>
      <w:bookmarkEnd w:id="714"/>
      <w:bookmarkEnd w:id="715"/>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w:t>
      </w:r>
      <w:r>
        <w:rPr>
          <w:rFonts w:hint="eastAsia" w:ascii="宋体" w:hAnsi="宋体"/>
          <w:color w:val="000000" w:themeColor="text1"/>
          <w:sz w:val="21"/>
          <w:szCs w:val="21"/>
          <w:highlight w:val="none"/>
          <w14:textFill>
            <w14:solidFill>
              <w14:schemeClr w14:val="tx1"/>
            </w14:solidFill>
          </w14:textFill>
        </w:rPr>
        <w:t>导致工程设计进度</w:t>
      </w:r>
      <w:r>
        <w:rPr>
          <w:rFonts w:ascii="宋体" w:hAnsi="宋体"/>
          <w:color w:val="000000" w:themeColor="text1"/>
          <w:sz w:val="21"/>
          <w:szCs w:val="21"/>
          <w:highlight w:val="none"/>
          <w14:textFill>
            <w14:solidFill>
              <w14:schemeClr w14:val="tx1"/>
            </w14:solidFill>
          </w14:textFill>
        </w:rPr>
        <w:t>延误的，</w:t>
      </w:r>
      <w:r>
        <w:rPr>
          <w:rFonts w:hint="eastAsia" w:ascii="宋体" w:hAnsi="宋体"/>
          <w:color w:val="000000" w:themeColor="text1"/>
          <w:sz w:val="21"/>
          <w:szCs w:val="21"/>
          <w:highlight w:val="none"/>
          <w14:textFill>
            <w14:solidFill>
              <w14:schemeClr w14:val="tx1"/>
            </w14:solidFill>
          </w14:textFill>
        </w:rPr>
        <w:t>设计人应当按照第14.2款〔设计人违约责任〕承担责任</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人支付逾期</w:t>
      </w:r>
      <w:r>
        <w:rPr>
          <w:rFonts w:hint="eastAsia" w:ascii="宋体" w:hAnsi="宋体"/>
          <w:color w:val="000000" w:themeColor="text1"/>
          <w:sz w:val="21"/>
          <w:szCs w:val="21"/>
          <w:highlight w:val="none"/>
          <w14:textFill>
            <w14:solidFill>
              <w14:schemeClr w14:val="tx1"/>
            </w14:solidFill>
          </w14:textFill>
        </w:rPr>
        <w:t>完成工程设计</w:t>
      </w:r>
      <w:r>
        <w:rPr>
          <w:rFonts w:ascii="宋体" w:hAnsi="宋体"/>
          <w:color w:val="000000" w:themeColor="text1"/>
          <w:sz w:val="21"/>
          <w:szCs w:val="21"/>
          <w:highlight w:val="none"/>
          <w14:textFill>
            <w14:solidFill>
              <w14:schemeClr w14:val="tx1"/>
            </w14:solidFill>
          </w14:textFill>
        </w:rPr>
        <w:t>违约金后，不免除</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人继续完成工程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的义务。</w:t>
      </w:r>
    </w:p>
    <w:p w14:paraId="6C8A15A3">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16" w:name="_Toc351203550"/>
      <w:bookmarkStart w:id="717" w:name="_Toc296503077"/>
      <w:bookmarkStart w:id="718" w:name="_Toc337558775"/>
      <w:bookmarkStart w:id="719" w:name="_Toc296346578"/>
      <w:r>
        <w:rPr>
          <w:rFonts w:hint="eastAsia" w:ascii="宋体" w:hAnsi="宋体"/>
          <w:b w:val="0"/>
          <w:color w:val="000000" w:themeColor="text1"/>
          <w:sz w:val="21"/>
          <w:szCs w:val="21"/>
          <w:highlight w:val="none"/>
          <w14:textFill>
            <w14:solidFill>
              <w14:schemeClr w14:val="tx1"/>
            </w14:solidFill>
          </w14:textFill>
        </w:rPr>
        <w:t>6</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 xml:space="preserve">4 </w:t>
      </w:r>
      <w:r>
        <w:rPr>
          <w:rFonts w:ascii="宋体" w:hAnsi="宋体"/>
          <w:b w:val="0"/>
          <w:color w:val="000000" w:themeColor="text1"/>
          <w:sz w:val="21"/>
          <w:szCs w:val="21"/>
          <w:highlight w:val="none"/>
          <w14:textFill>
            <w14:solidFill>
              <w14:schemeClr w14:val="tx1"/>
            </w14:solidFill>
          </w14:textFill>
        </w:rPr>
        <w:t>暂停</w:t>
      </w:r>
      <w:bookmarkEnd w:id="716"/>
      <w:r>
        <w:rPr>
          <w:rFonts w:hint="eastAsia" w:ascii="宋体" w:hAnsi="宋体"/>
          <w:b w:val="0"/>
          <w:color w:val="000000" w:themeColor="text1"/>
          <w:sz w:val="21"/>
          <w:szCs w:val="21"/>
          <w:highlight w:val="none"/>
          <w14:textFill>
            <w14:solidFill>
              <w14:schemeClr w14:val="tx1"/>
            </w14:solidFill>
          </w14:textFill>
        </w:rPr>
        <w:t>设计</w:t>
      </w:r>
    </w:p>
    <w:bookmarkEnd w:id="717"/>
    <w:bookmarkEnd w:id="718"/>
    <w:bookmarkEnd w:id="719"/>
    <w:p w14:paraId="4385856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发包人原因引起的暂停</w:t>
      </w:r>
      <w:r>
        <w:rPr>
          <w:rFonts w:hint="eastAsia" w:ascii="宋体" w:hAnsi="宋体"/>
          <w:color w:val="000000" w:themeColor="text1"/>
          <w:sz w:val="21"/>
          <w:szCs w:val="21"/>
          <w:highlight w:val="none"/>
          <w14:textFill>
            <w14:solidFill>
              <w14:schemeClr w14:val="tx1"/>
            </w14:solidFill>
          </w14:textFill>
        </w:rPr>
        <w:t>设计</w:t>
      </w:r>
    </w:p>
    <w:p w14:paraId="2F0A944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因发包人原因引起暂停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的，发包人应及时下达暂停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指示。</w:t>
      </w:r>
    </w:p>
    <w:p w14:paraId="135C3F2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因发包人原因引起的暂停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，发包人应承担由此增加的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延长的设计周期</w:t>
      </w:r>
      <w:r>
        <w:rPr>
          <w:rFonts w:ascii="宋体" w:hAnsi="宋体"/>
          <w:color w:val="000000" w:themeColor="text1"/>
          <w:sz w:val="21"/>
          <w:szCs w:val="21"/>
          <w:highlight w:val="none"/>
          <w14:textFill>
            <w14:solidFill>
              <w14:schemeClr w14:val="tx1"/>
            </w14:solidFill>
          </w14:textFill>
        </w:rPr>
        <w:t>。</w:t>
      </w:r>
    </w:p>
    <w:p w14:paraId="0345920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人原因引起的暂停</w:t>
      </w:r>
      <w:r>
        <w:rPr>
          <w:rFonts w:hint="eastAsia" w:ascii="宋体" w:hAnsi="宋体"/>
          <w:color w:val="000000" w:themeColor="text1"/>
          <w:sz w:val="21"/>
          <w:szCs w:val="21"/>
          <w:highlight w:val="none"/>
          <w14:textFill>
            <w14:solidFill>
              <w14:schemeClr w14:val="tx1"/>
            </w14:solidFill>
          </w14:textFill>
        </w:rPr>
        <w:t>设计</w:t>
      </w:r>
    </w:p>
    <w:p w14:paraId="6BB7F6A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人原因引起的暂停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设计人应当尽快向发包人发出书面通知并按第14.2款〔设计人违约责任〕承担责任</w:t>
      </w:r>
      <w:r>
        <w:rPr>
          <w:rFonts w:ascii="宋体" w:hAnsi="宋体"/>
          <w:color w:val="000000" w:themeColor="text1"/>
          <w:sz w:val="21"/>
          <w:szCs w:val="21"/>
          <w:highlight w:val="none"/>
          <w14:textFill>
            <w14:solidFill>
              <w14:schemeClr w14:val="tx1"/>
            </w14:solidFill>
          </w14:textFill>
        </w:rPr>
        <w:t>，且</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人在收到</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人复工指示后</w:t>
      </w:r>
      <w:r>
        <w:rPr>
          <w:rFonts w:hint="eastAsia" w:ascii="宋体" w:hAnsi="宋体"/>
          <w:color w:val="000000" w:themeColor="text1"/>
          <w:sz w:val="21"/>
          <w:szCs w:val="21"/>
          <w:highlight w:val="none"/>
          <w14:textFill>
            <w14:solidFill>
              <w14:schemeClr w14:val="tx1"/>
            </w14:solidFill>
          </w14:textFill>
        </w:rPr>
        <w:t>15</w:t>
      </w:r>
      <w:r>
        <w:rPr>
          <w:rFonts w:ascii="宋体" w:hAnsi="宋体"/>
          <w:color w:val="000000" w:themeColor="text1"/>
          <w:sz w:val="21"/>
          <w:szCs w:val="21"/>
          <w:highlight w:val="none"/>
          <w14:textFill>
            <w14:solidFill>
              <w14:schemeClr w14:val="tx1"/>
            </w14:solidFill>
          </w14:textFill>
        </w:rPr>
        <w:t>天内仍未复工的，视为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人无法继续履行合同的情形</w:t>
      </w:r>
      <w:r>
        <w:rPr>
          <w:rFonts w:hint="eastAsia" w:ascii="宋体" w:hAnsi="宋体"/>
          <w:color w:val="000000" w:themeColor="text1"/>
          <w:sz w:val="21"/>
          <w:szCs w:val="21"/>
          <w:highlight w:val="none"/>
          <w14:textFill>
            <w14:solidFill>
              <w14:schemeClr w14:val="tx1"/>
            </w14:solidFill>
          </w14:textFill>
        </w:rPr>
        <w:t>，设计人应按第16条〔合同解除〕的约定承担责任</w:t>
      </w:r>
      <w:r>
        <w:rPr>
          <w:rFonts w:ascii="宋体" w:hAnsi="宋体"/>
          <w:color w:val="000000" w:themeColor="text1"/>
          <w:sz w:val="21"/>
          <w:szCs w:val="21"/>
          <w:highlight w:val="none"/>
          <w14:textFill>
            <w14:solidFill>
              <w14:schemeClr w14:val="tx1"/>
            </w14:solidFill>
          </w14:textFill>
        </w:rPr>
        <w:t>。</w:t>
      </w:r>
    </w:p>
    <w:p w14:paraId="713B2AF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6.4.3 其他原因引起的暂停设计</w:t>
      </w:r>
    </w:p>
    <w:p w14:paraId="202F3DF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当出现非设计人原因造成的暂停设计，设计人应当尽快向发包人发出书面通知。</w:t>
      </w:r>
    </w:p>
    <w:p w14:paraId="77D24E3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在上述情形下设计人的设计服务暂停，设计人的设计周期应当相应延长，复工应有发包人与设计人共同确认的合理期限。</w:t>
      </w:r>
    </w:p>
    <w:p w14:paraId="40E15B3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当发生本项约定的情况，导致设计人增加设计工作量的，发包人应当另行支付相应设计费用。</w:t>
      </w:r>
    </w:p>
    <w:p w14:paraId="68B8F83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后的复工</w:t>
      </w:r>
    </w:p>
    <w:p w14:paraId="5FE94D9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后，发包人和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人应采取有效措施积极消除暂停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的影响。当工程具备复工条件时，发包人向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人发出复工通知，</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人应按照复工通知要求复工。</w:t>
      </w:r>
    </w:p>
    <w:p w14:paraId="013C687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除设计人原因导致暂停设计外，设计人暂停设计后复工所增加的设计工作量，发包人应当另行支付相应设计费用。</w:t>
      </w:r>
    </w:p>
    <w:p w14:paraId="2D4ABC45">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20" w:name="_Toc351203551"/>
      <w:r>
        <w:rPr>
          <w:rFonts w:hint="eastAsia" w:ascii="宋体" w:hAnsi="宋体"/>
          <w:b w:val="0"/>
          <w:color w:val="000000" w:themeColor="text1"/>
          <w:sz w:val="21"/>
          <w:szCs w:val="21"/>
          <w:highlight w:val="none"/>
          <w14:textFill>
            <w14:solidFill>
              <w14:schemeClr w14:val="tx1"/>
            </w14:solidFill>
          </w14:textFill>
        </w:rPr>
        <w:t>6</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 xml:space="preserve">5 </w:t>
      </w:r>
      <w:r>
        <w:rPr>
          <w:rFonts w:ascii="宋体" w:hAnsi="宋体"/>
          <w:b w:val="0"/>
          <w:color w:val="000000" w:themeColor="text1"/>
          <w:sz w:val="21"/>
          <w:szCs w:val="21"/>
          <w:highlight w:val="none"/>
          <w14:textFill>
            <w14:solidFill>
              <w14:schemeClr w14:val="tx1"/>
            </w14:solidFill>
          </w14:textFill>
        </w:rPr>
        <w:t>提前</w:t>
      </w:r>
      <w:bookmarkEnd w:id="720"/>
      <w:r>
        <w:rPr>
          <w:rFonts w:hint="eastAsia" w:ascii="宋体" w:hAnsi="宋体"/>
          <w:b w:val="0"/>
          <w:color w:val="000000" w:themeColor="text1"/>
          <w:sz w:val="21"/>
          <w:szCs w:val="21"/>
          <w:highlight w:val="none"/>
          <w14:textFill>
            <w14:solidFill>
              <w14:schemeClr w14:val="tx1"/>
            </w14:solidFill>
          </w14:textFill>
        </w:rPr>
        <w:t>交付工程设计文件</w:t>
      </w:r>
    </w:p>
    <w:p w14:paraId="52E9FBA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 发包人要求</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的，发包人应向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人下达提前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指示，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人应向发包人提交提前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建议书，提前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建议书应包括实施的方案、缩短的时间、增加的合同价格等内容。发包人接受该提前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建议书的，发包人和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人协商采取加快工程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进度的措施，并修订</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费用由发包人承担。</w:t>
      </w:r>
      <w:r>
        <w:rPr>
          <w:rFonts w:hint="eastAsia" w:ascii="宋体" w:hAnsi="宋体"/>
          <w:color w:val="000000" w:themeColor="text1"/>
          <w:sz w:val="21"/>
          <w:szCs w:val="21"/>
          <w:highlight w:val="none"/>
          <w14:textFill>
            <w14:solidFill>
              <w14:schemeClr w14:val="tx1"/>
            </w14:solidFill>
          </w14:textFill>
        </w:rPr>
        <w:t>设计人认为提前交付工程设计文件的指示无法执行的，应向发包人提出书面异议，发包人应在收到异议后7天内予以答复。任何情况下，发包人不得压缩合理设计周期。</w:t>
      </w:r>
    </w:p>
    <w:p w14:paraId="7D4CB71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 发包人要求设计人提前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人提出提前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的建议能够给发包人带来效益的，合同当事人可以在专用合同条款中约定提前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的奖励。</w:t>
      </w:r>
    </w:p>
    <w:p w14:paraId="6ACDB4F2">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721" w:name="_Toc296346584"/>
      <w:bookmarkStart w:id="722" w:name="_Toc296503083"/>
      <w:r>
        <w:rPr>
          <w:rFonts w:hint="eastAsia" w:ascii="黑体" w:hAnsi="黑体" w:eastAsia="黑体" w:cs="Times New Roman"/>
          <w:b w:val="0"/>
          <w:color w:val="000000" w:themeColor="text1"/>
          <w:highlight w:val="none"/>
          <w14:textFill>
            <w14:solidFill>
              <w14:schemeClr w14:val="tx1"/>
            </w14:solidFill>
          </w14:textFill>
        </w:rPr>
        <w:t>7</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工程设计文件交付</w:t>
      </w:r>
    </w:p>
    <w:p w14:paraId="75101A26">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7</w:t>
      </w: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 xml:space="preserve"> 工程设计文件交付的内容</w:t>
      </w:r>
    </w:p>
    <w:p w14:paraId="0F0CA71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7.1.1 工程设计图纸及设计说明。</w:t>
      </w:r>
    </w:p>
    <w:p w14:paraId="2188388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7.1.2 发包人可以要求设计人提交专用合同条款约定的具体形式的</w:t>
      </w:r>
      <w:r>
        <w:rPr>
          <w:rFonts w:hint="eastAsia" w:ascii="宋体" w:hAnsi="宋体" w:cs="Courier New"/>
          <w:color w:val="000000" w:themeColor="text1"/>
          <w:sz w:val="21"/>
          <w:szCs w:val="21"/>
          <w:highlight w:val="none"/>
          <w14:textFill>
            <w14:solidFill>
              <w14:schemeClr w14:val="tx1"/>
            </w14:solidFill>
          </w14:textFill>
        </w:rPr>
        <w:t>电子版设计文件</w:t>
      </w:r>
      <w:r>
        <w:rPr>
          <w:rFonts w:hint="eastAsia" w:ascii="宋体" w:hAnsi="宋体"/>
          <w:color w:val="000000" w:themeColor="text1"/>
          <w:sz w:val="21"/>
          <w:szCs w:val="21"/>
          <w:highlight w:val="none"/>
          <w14:textFill>
            <w14:solidFill>
              <w14:schemeClr w14:val="tx1"/>
            </w14:solidFill>
          </w14:textFill>
        </w:rPr>
        <w:t>。</w:t>
      </w:r>
    </w:p>
    <w:p w14:paraId="74020D10">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7.2 工程设计文件的交付方式</w:t>
      </w:r>
    </w:p>
    <w:p w14:paraId="0961149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设计人交付工程设计文件给发包人，发包人应当出具书面签收单，内容包括图纸名称、图纸内容、图纸形式、份数、提交和签收日期、提交人与接收人的亲笔签名。</w:t>
      </w:r>
    </w:p>
    <w:p w14:paraId="511A8DE4">
      <w:pPr>
        <w:pStyle w:val="6"/>
        <w:keepNext w:val="0"/>
        <w:keepLines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7.3 工程设计文件交付的时间和份数</w:t>
      </w:r>
    </w:p>
    <w:p w14:paraId="11CAAC5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工程设计文件交付的名称、时间和份数在专用合同条款附件3中约定。</w:t>
      </w:r>
    </w:p>
    <w:p w14:paraId="671F5519">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8</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工程设计文件审查</w:t>
      </w:r>
    </w:p>
    <w:p w14:paraId="15E8013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 设计人的工程设计文件应报发包人审查同意。审查的范围和内容在发包人要求中约定。审查的具体标准应符合法律规定、技术标准要求和本合同约定。</w:t>
      </w:r>
    </w:p>
    <w:p w14:paraId="1199E3F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除专用合同条款对期限另有约定外，自发包人收到设计人的工程设计文件以及设计人的通知之日起，发包人对设计人的工程设计文件审查期不超过15天。</w:t>
      </w:r>
    </w:p>
    <w:p w14:paraId="362FBF4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发包人不同意工程设计文件的，应以书面形式通知设计人，并说明不符合合同要求的具体内容。设计人应根据发包人的书面说明，对工程设计文件进行修改后重新报送发包人审查，审查期重新起算。</w:t>
      </w:r>
    </w:p>
    <w:p w14:paraId="0C4DD46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合同约定的审查期满，发包人没有做出审查结论也没有提出异议的，视为设计人的工程设计文件已获发包人同意。</w:t>
      </w:r>
    </w:p>
    <w:p w14:paraId="5CB0CC9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08FD762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8.3 工程</w:t>
      </w:r>
      <w:r>
        <w:rPr>
          <w:rStyle w:val="48"/>
          <w:rFonts w:hint="eastAsia" w:ascii="宋体" w:hAnsi="宋体"/>
          <w:vanish/>
          <w:color w:val="000000" w:themeColor="text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设计文件需政府有关部门审查或批准的，发包人应在审查同意设计人的工程设计文件后在专用合同条款约定的期限内，向政府有关部门报送工程设计文件，设计人应予以协助。</w:t>
      </w:r>
    </w:p>
    <w:p w14:paraId="1044E38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60E062B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2D63E68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设计人按第7条〔工程设计文件交付〕的约定向发包人提交工程设计文件，有义务参加发包人组织的设计审查会议，向审查者介绍、解答、解释其工程设计文件，并提供有关补充资料。</w:t>
      </w:r>
    </w:p>
    <w:p w14:paraId="46AFC1A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发包人有义务向设计人提供设计审查会议的批准文件和纪要。设计人有义务按照相关设计审查会议批准的文件和纪要，并依据合同约定及相关技术标准，对工程设计文件进行修改、补充和完善。</w:t>
      </w:r>
    </w:p>
    <w:p w14:paraId="70826DA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14:paraId="331CD71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因发包人原因，致使工程设计文件审查无法进行或无法按期进行，造成设计周期延长、窝工损失及设计人增加的费用，由发包人承担。</w:t>
      </w:r>
    </w:p>
    <w:p w14:paraId="730DCA0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8.6 </w:t>
      </w:r>
      <w:r>
        <w:rPr>
          <w:rFonts w:ascii="宋体" w:hAnsi="宋体"/>
          <w:color w:val="000000" w:themeColor="text1"/>
          <w:sz w:val="21"/>
          <w:szCs w:val="21"/>
          <w:highlight w:val="none"/>
          <w14:textFill>
            <w14:solidFill>
              <w14:schemeClr w14:val="tx1"/>
            </w14:solidFill>
          </w14:textFill>
        </w:rPr>
        <w:t>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w:t>
      </w:r>
      <w:r>
        <w:rPr>
          <w:rFonts w:hint="eastAsia" w:ascii="宋体" w:hAnsi="宋体"/>
          <w:color w:val="000000" w:themeColor="text1"/>
          <w:sz w:val="21"/>
          <w:szCs w:val="21"/>
          <w:highlight w:val="none"/>
          <w14:textFill>
            <w14:solidFill>
              <w14:schemeClr w14:val="tx1"/>
            </w14:solidFill>
          </w14:textFill>
        </w:rPr>
        <w:t>造成</w:t>
      </w:r>
      <w:r>
        <w:rPr>
          <w:rFonts w:ascii="宋体" w:hAnsi="宋体"/>
          <w:color w:val="000000" w:themeColor="text1"/>
          <w:sz w:val="21"/>
          <w:szCs w:val="21"/>
          <w:highlight w:val="none"/>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设计文件</w:t>
      </w:r>
      <w:r>
        <w:rPr>
          <w:rFonts w:ascii="宋体" w:hAnsi="宋体"/>
          <w:color w:val="000000" w:themeColor="text1"/>
          <w:sz w:val="21"/>
          <w:szCs w:val="21"/>
          <w:highlight w:val="none"/>
          <w14:textFill>
            <w14:solidFill>
              <w14:schemeClr w14:val="tx1"/>
            </w14:solidFill>
          </w14:textFill>
        </w:rPr>
        <w:t>不合格</w:t>
      </w:r>
      <w:r>
        <w:rPr>
          <w:rFonts w:hint="eastAsia" w:ascii="宋体" w:hAnsi="宋体"/>
          <w:color w:val="000000" w:themeColor="text1"/>
          <w:sz w:val="21"/>
          <w:szCs w:val="21"/>
          <w:highlight w:val="none"/>
          <w14:textFill>
            <w14:solidFill>
              <w14:schemeClr w14:val="tx1"/>
            </w14:solidFill>
          </w14:textFill>
        </w:rPr>
        <w:t>致使工程设计文件审查无法通过</w:t>
      </w:r>
      <w:r>
        <w:rPr>
          <w:rFonts w:ascii="宋体" w:hAnsi="宋体"/>
          <w:color w:val="000000" w:themeColor="text1"/>
          <w:sz w:val="21"/>
          <w:szCs w:val="21"/>
          <w:highlight w:val="none"/>
          <w14:textFill>
            <w14:solidFill>
              <w14:schemeClr w14:val="tx1"/>
            </w14:solidFill>
          </w14:textFill>
        </w:rPr>
        <w:t>的，发包人有权要求</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人采取补救措施，直至达到合同要求的质量标准</w:t>
      </w:r>
      <w:r>
        <w:rPr>
          <w:rFonts w:hint="eastAsia" w:ascii="宋体" w:hAnsi="宋体"/>
          <w:color w:val="000000" w:themeColor="text1"/>
          <w:sz w:val="21"/>
          <w:szCs w:val="21"/>
          <w:highlight w:val="none"/>
          <w14:textFill>
            <w14:solidFill>
              <w14:schemeClr w14:val="tx1"/>
            </w14:solidFill>
          </w14:textFill>
        </w:rPr>
        <w:t>，并按第14.2款〔设计人违约责任〕的约定承担责任</w:t>
      </w:r>
      <w:r>
        <w:rPr>
          <w:rFonts w:ascii="宋体" w:hAnsi="宋体"/>
          <w:color w:val="000000" w:themeColor="text1"/>
          <w:sz w:val="21"/>
          <w:szCs w:val="21"/>
          <w:highlight w:val="none"/>
          <w14:textFill>
            <w14:solidFill>
              <w14:schemeClr w14:val="tx1"/>
            </w14:solidFill>
          </w14:textFill>
        </w:rPr>
        <w:t xml:space="preserve">。 </w:t>
      </w:r>
    </w:p>
    <w:p w14:paraId="1F8E4E4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因发包人原因造成工程</w:t>
      </w:r>
      <w:r>
        <w:rPr>
          <w:rFonts w:hint="eastAsia" w:ascii="宋体" w:hAnsi="宋体"/>
          <w:color w:val="000000" w:themeColor="text1"/>
          <w:sz w:val="21"/>
          <w:szCs w:val="21"/>
          <w:highlight w:val="none"/>
          <w14:textFill>
            <w14:solidFill>
              <w14:schemeClr w14:val="tx1"/>
            </w14:solidFill>
          </w14:textFill>
        </w:rPr>
        <w:t>设计文件</w:t>
      </w:r>
      <w:r>
        <w:rPr>
          <w:rFonts w:ascii="宋体" w:hAnsi="宋体"/>
          <w:color w:val="000000" w:themeColor="text1"/>
          <w:sz w:val="21"/>
          <w:szCs w:val="21"/>
          <w:highlight w:val="none"/>
          <w14:textFill>
            <w14:solidFill>
              <w14:schemeClr w14:val="tx1"/>
            </w14:solidFill>
          </w14:textFill>
        </w:rPr>
        <w:t>不合格</w:t>
      </w:r>
      <w:r>
        <w:rPr>
          <w:rFonts w:hint="eastAsia" w:ascii="宋体" w:hAnsi="宋体"/>
          <w:color w:val="000000" w:themeColor="text1"/>
          <w:sz w:val="21"/>
          <w:szCs w:val="21"/>
          <w:highlight w:val="none"/>
          <w14:textFill>
            <w14:solidFill>
              <w14:schemeClr w14:val="tx1"/>
            </w14:solidFill>
          </w14:textFill>
        </w:rPr>
        <w:t>致使工程设计文件审查无法通过</w:t>
      </w:r>
      <w:r>
        <w:rPr>
          <w:rFonts w:ascii="宋体" w:hAnsi="宋体"/>
          <w:color w:val="000000" w:themeColor="text1"/>
          <w:sz w:val="21"/>
          <w:szCs w:val="21"/>
          <w:highlight w:val="none"/>
          <w14:textFill>
            <w14:solidFill>
              <w14:schemeClr w14:val="tx1"/>
            </w14:solidFill>
          </w14:textFill>
        </w:rPr>
        <w:t>的，由此增加的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延长的设计周期</w:t>
      </w:r>
      <w:r>
        <w:rPr>
          <w:rFonts w:ascii="宋体" w:hAnsi="宋体"/>
          <w:color w:val="000000" w:themeColor="text1"/>
          <w:sz w:val="21"/>
          <w:szCs w:val="21"/>
          <w:highlight w:val="none"/>
          <w14:textFill>
            <w14:solidFill>
              <w14:schemeClr w14:val="tx1"/>
            </w14:solidFill>
          </w14:textFill>
        </w:rPr>
        <w:t>由发包人承担。</w:t>
      </w:r>
    </w:p>
    <w:p w14:paraId="344E568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8.7 工程设计文件的审查，不减轻或免除设计人依据法律应当承担的责任。</w:t>
      </w:r>
    </w:p>
    <w:p w14:paraId="602A8C3A">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9</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施工现场配合服务</w:t>
      </w:r>
    </w:p>
    <w:p w14:paraId="0EED1A2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 除专用合同条款另有约定外，发包人应为设计人派赴现场的工作人员提供工作、生活及交通等方面的便利条件。</w:t>
      </w:r>
    </w:p>
    <w:p w14:paraId="1A9C685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7747D7C2">
      <w:pPr>
        <w:pStyle w:val="5"/>
        <w:keepNext w:val="0"/>
        <w:keepLines w:val="0"/>
        <w:autoSpaceDE w:val="0"/>
        <w:autoSpaceDN w:val="0"/>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723" w:name="_Toc351203567"/>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0</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合同价款与支付</w:t>
      </w:r>
    </w:p>
    <w:p w14:paraId="53CC7011">
      <w:pPr>
        <w:pStyle w:val="6"/>
        <w:keepNext w:val="0"/>
        <w:keepLines w:val="0"/>
        <w:autoSpaceDE w:val="0"/>
        <w:autoSpaceDN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10.1 合同价款组成</w:t>
      </w:r>
    </w:p>
    <w:p w14:paraId="317F0501">
      <w:pPr>
        <w:pStyle w:val="6"/>
        <w:keepNext w:val="0"/>
        <w:keepLines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发包人和设计人应当在专用合同条款附件6中明确约定合同价款各组成部分的具体数额，主要包括：</w:t>
      </w:r>
    </w:p>
    <w:p w14:paraId="3CF301CA">
      <w:pPr>
        <w:pStyle w:val="6"/>
        <w:keepNext w:val="0"/>
        <w:keepLines w:val="0"/>
        <w:autoSpaceDE w:val="0"/>
        <w:autoSpaceDN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（1）工程设计基本服务费用；</w:t>
      </w:r>
    </w:p>
    <w:p w14:paraId="714B6B3B">
      <w:pPr>
        <w:pStyle w:val="6"/>
        <w:keepNext w:val="0"/>
        <w:keepLines w:val="0"/>
        <w:autoSpaceDE w:val="0"/>
        <w:autoSpaceDN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（2）工程设计其他服务费用；</w:t>
      </w:r>
    </w:p>
    <w:p w14:paraId="3B605234">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（3）</w:t>
      </w:r>
      <w:r>
        <w:rPr>
          <w:rFonts w:hint="eastAsia" w:ascii="宋体" w:hAnsi="宋体" w:cs="Courier New"/>
          <w:color w:val="000000" w:themeColor="text1"/>
          <w:sz w:val="21"/>
          <w:szCs w:val="21"/>
          <w:highlight w:val="none"/>
          <w14:textFill>
            <w14:solidFill>
              <w14:schemeClr w14:val="tx1"/>
            </w14:solidFill>
          </w14:textFill>
        </w:rPr>
        <w:t>在未签订合同前发包人已经同意或接受或已经使用的设计人为发包人所做的各项工作的相应费用等。</w:t>
      </w:r>
    </w:p>
    <w:p w14:paraId="1631FFB1">
      <w:pPr>
        <w:pStyle w:val="6"/>
        <w:keepNext w:val="0"/>
        <w:keepLines w:val="0"/>
        <w:autoSpaceDE w:val="0"/>
        <w:autoSpaceDN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0</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2</w:t>
      </w:r>
      <w:r>
        <w:rPr>
          <w:rFonts w:ascii="宋体" w:hAnsi="宋体"/>
          <w:b w:val="0"/>
          <w:color w:val="000000" w:themeColor="text1"/>
          <w:sz w:val="21"/>
          <w:szCs w:val="21"/>
          <w:highlight w:val="none"/>
          <w14:textFill>
            <w14:solidFill>
              <w14:schemeClr w14:val="tx1"/>
            </w14:solidFill>
          </w14:textFill>
        </w:rPr>
        <w:t xml:space="preserve"> 合同价格形式</w:t>
      </w:r>
    </w:p>
    <w:p w14:paraId="6E9619F4">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人应在合同协议书中</w:t>
      </w:r>
      <w:r>
        <w:rPr>
          <w:rFonts w:hint="eastAsia" w:ascii="宋体" w:hAnsi="宋体"/>
          <w:color w:val="000000" w:themeColor="text1"/>
          <w:sz w:val="21"/>
          <w:szCs w:val="21"/>
          <w:highlight w:val="none"/>
          <w14:textFill>
            <w14:solidFill>
              <w14:schemeClr w14:val="tx1"/>
            </w14:solidFill>
          </w14:textFill>
        </w:rPr>
        <w:t>选择</w:t>
      </w:r>
      <w:r>
        <w:rPr>
          <w:rFonts w:ascii="宋体" w:hAnsi="宋体"/>
          <w:color w:val="000000" w:themeColor="text1"/>
          <w:sz w:val="21"/>
          <w:szCs w:val="21"/>
          <w:highlight w:val="none"/>
          <w14:textFill>
            <w14:solidFill>
              <w14:schemeClr w14:val="tx1"/>
            </w14:solidFill>
          </w14:textFill>
        </w:rPr>
        <w:t xml:space="preserve">下列一种合同价格形式： </w:t>
      </w:r>
    </w:p>
    <w:p w14:paraId="598E904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单价合同</w:t>
      </w:r>
    </w:p>
    <w:p w14:paraId="2AB9982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单价合同是指合同当事人约定以</w:t>
      </w:r>
      <w:r>
        <w:rPr>
          <w:rFonts w:hint="eastAsia" w:ascii="宋体" w:hAnsi="宋体"/>
          <w:color w:val="000000" w:themeColor="text1"/>
          <w:sz w:val="21"/>
          <w:szCs w:val="21"/>
          <w:highlight w:val="none"/>
          <w14:textFill>
            <w14:solidFill>
              <w14:schemeClr w14:val="tx1"/>
            </w14:solidFill>
          </w14:textFill>
        </w:rPr>
        <w:t>建筑面积（包括地上建筑面积和地下建筑面积）每平方米</w:t>
      </w:r>
      <w:r>
        <w:rPr>
          <w:rFonts w:ascii="宋体" w:hAnsi="宋体"/>
          <w:color w:val="000000" w:themeColor="text1"/>
          <w:sz w:val="21"/>
          <w:szCs w:val="21"/>
          <w:highlight w:val="none"/>
          <w14:textFill>
            <w14:solidFill>
              <w14:schemeClr w14:val="tx1"/>
            </w14:solidFill>
          </w14:textFill>
        </w:rPr>
        <w:t>单价</w:t>
      </w:r>
      <w:r>
        <w:rPr>
          <w:rFonts w:hint="eastAsia" w:ascii="宋体" w:hAnsi="宋体"/>
          <w:color w:val="000000" w:themeColor="text1"/>
          <w:sz w:val="21"/>
          <w:szCs w:val="21"/>
          <w:highlight w:val="none"/>
          <w14:textFill>
            <w14:solidFill>
              <w14:schemeClr w14:val="tx1"/>
            </w14:solidFill>
          </w14:textFill>
        </w:rPr>
        <w:t>或实际投资总额的一定比例等</w:t>
      </w:r>
      <w:r>
        <w:rPr>
          <w:rFonts w:ascii="宋体" w:hAnsi="宋体"/>
          <w:color w:val="000000" w:themeColor="text1"/>
          <w:sz w:val="21"/>
          <w:szCs w:val="21"/>
          <w:highlight w:val="none"/>
          <w14:textFill>
            <w14:solidFill>
              <w14:schemeClr w14:val="tx1"/>
            </w14:solidFill>
          </w14:textFill>
        </w:rPr>
        <w:t>进行合同价格计算、调整和确认的建设工程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合同，在约定的范围内合同单价不作调整。合同当事人应在专用合同条款中约定单价包含的风险范围和风险费用的计算方法，并约定风险范围以外的合同价格的调整方法。</w:t>
      </w:r>
    </w:p>
    <w:p w14:paraId="2C9B65A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总价合同</w:t>
      </w:r>
    </w:p>
    <w:p w14:paraId="51F0C65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总价合同是指合同当事人约定以</w:t>
      </w:r>
      <w:r>
        <w:rPr>
          <w:rFonts w:hint="eastAsia" w:ascii="宋体" w:hAnsi="宋体"/>
          <w:color w:val="000000" w:themeColor="text1"/>
          <w:sz w:val="21"/>
          <w:szCs w:val="21"/>
          <w:highlight w:val="none"/>
          <w14:textFill>
            <w14:solidFill>
              <w14:schemeClr w14:val="tx1"/>
            </w14:solidFill>
          </w14:textFill>
        </w:rPr>
        <w:t>发包人提供的上一阶段工程设计文件</w:t>
      </w:r>
      <w:r>
        <w:rPr>
          <w:rFonts w:ascii="宋体" w:hAnsi="宋体"/>
          <w:color w:val="000000" w:themeColor="text1"/>
          <w:sz w:val="21"/>
          <w:szCs w:val="21"/>
          <w:highlight w:val="none"/>
          <w14:textFill>
            <w14:solidFill>
              <w14:schemeClr w14:val="tx1"/>
            </w14:solidFill>
          </w14:textFill>
        </w:rPr>
        <w:t>及有关条件进行合同价格计算、调整和确认的建设工程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合同，在约定的范围内合同总价不作调整。合同当事人应在专用合同条款中约定总价包含的风险范围和风险费用的计算方法，并约定风险范围以外的合同价格的调整方法。</w:t>
      </w:r>
    </w:p>
    <w:p w14:paraId="6E96259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其它价格形式</w:t>
      </w:r>
    </w:p>
    <w:p w14:paraId="6CD7A05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合同当事人可在专用合同条款中约定其他合同价格形式。</w:t>
      </w:r>
    </w:p>
    <w:p w14:paraId="50ABC324">
      <w:pPr>
        <w:pStyle w:val="6"/>
        <w:keepNext w:val="0"/>
        <w:keepLines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0</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3 定金或预付款</w:t>
      </w:r>
    </w:p>
    <w:p w14:paraId="0D6849C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10.3.1 定金或预付款</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比例</w:t>
      </w:r>
    </w:p>
    <w:p w14:paraId="274BB5F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定金</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比例不应超过合同总价款的20%。预付款的比例由发包人与设计人协商确定，一般不低于合同总价款的20%。</w:t>
      </w:r>
    </w:p>
    <w:p w14:paraId="08CFCA5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10.3.2 定金或预付款的支付</w:t>
      </w:r>
    </w:p>
    <w:p w14:paraId="579217E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定金或预付款的</w:t>
      </w:r>
      <w:r>
        <w:rPr>
          <w:rFonts w:ascii="宋体" w:hAnsi="宋体"/>
          <w:color w:val="000000" w:themeColor="text1"/>
          <w:sz w:val="21"/>
          <w:szCs w:val="21"/>
          <w:highlight w:val="none"/>
          <w14:textFill>
            <w14:solidFill>
              <w14:schemeClr w14:val="tx1"/>
            </w14:solidFill>
          </w14:textFill>
        </w:rPr>
        <w:t>支付按照专用合同条款约定执行，但</w:t>
      </w:r>
      <w:r>
        <w:rPr>
          <w:rFonts w:hint="eastAsia" w:ascii="宋体" w:hAnsi="宋体"/>
          <w:color w:val="000000" w:themeColor="text1"/>
          <w:sz w:val="21"/>
          <w:szCs w:val="21"/>
          <w:highlight w:val="none"/>
          <w14:textFill>
            <w14:solidFill>
              <w14:schemeClr w14:val="tx1"/>
            </w14:solidFill>
          </w14:textFill>
        </w:rPr>
        <w:t>最</w:t>
      </w:r>
      <w:r>
        <w:rPr>
          <w:rFonts w:ascii="宋体" w:hAnsi="宋体"/>
          <w:color w:val="000000" w:themeColor="text1"/>
          <w:sz w:val="21"/>
          <w:szCs w:val="21"/>
          <w:highlight w:val="none"/>
          <w14:textFill>
            <w14:solidFill>
              <w14:schemeClr w14:val="tx1"/>
            </w14:solidFill>
          </w14:textFill>
        </w:rPr>
        <w:t>迟应在</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通知载明的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日期前</w:t>
      </w:r>
      <w:r>
        <w:rPr>
          <w:rFonts w:hint="eastAsia" w:ascii="宋体" w:hAnsi="宋体"/>
          <w:color w:val="000000" w:themeColor="text1"/>
          <w:sz w:val="21"/>
          <w:szCs w:val="21"/>
          <w:highlight w:val="none"/>
          <w14:textFill>
            <w14:solidFill>
              <w14:schemeClr w14:val="tx1"/>
            </w14:solidFill>
          </w14:textFill>
        </w:rPr>
        <w:t>专用合同条款约定的期限内</w:t>
      </w:r>
      <w:r>
        <w:rPr>
          <w:rFonts w:ascii="宋体" w:hAnsi="宋体"/>
          <w:color w:val="000000" w:themeColor="text1"/>
          <w:sz w:val="21"/>
          <w:szCs w:val="21"/>
          <w:highlight w:val="none"/>
          <w14:textFill>
            <w14:solidFill>
              <w14:schemeClr w14:val="tx1"/>
            </w14:solidFill>
          </w14:textFill>
        </w:rPr>
        <w:t>支付。</w:t>
      </w:r>
    </w:p>
    <w:p w14:paraId="41B7201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发包人逾期支付</w:t>
      </w:r>
      <w:r>
        <w:rPr>
          <w:rFonts w:hint="eastAsia" w:ascii="宋体" w:hAnsi="宋体"/>
          <w:color w:val="000000" w:themeColor="text1"/>
          <w:sz w:val="21"/>
          <w:szCs w:val="21"/>
          <w:highlight w:val="none"/>
          <w14:textFill>
            <w14:solidFill>
              <w14:schemeClr w14:val="tx1"/>
            </w14:solidFill>
          </w14:textFill>
        </w:rPr>
        <w:t>定金或预付款</w:t>
      </w:r>
      <w:r>
        <w:rPr>
          <w:rFonts w:ascii="宋体" w:hAnsi="宋体"/>
          <w:color w:val="000000" w:themeColor="text1"/>
          <w:sz w:val="21"/>
          <w:szCs w:val="21"/>
          <w:highlight w:val="none"/>
          <w14:textFill>
            <w14:solidFill>
              <w14:schemeClr w14:val="tx1"/>
            </w14:solidFill>
          </w14:textFill>
        </w:rPr>
        <w:t>超过</w:t>
      </w:r>
      <w:r>
        <w:rPr>
          <w:rFonts w:hint="eastAsia" w:ascii="宋体" w:hAnsi="宋体"/>
          <w:color w:val="000000" w:themeColor="text1"/>
          <w:sz w:val="21"/>
          <w:szCs w:val="21"/>
          <w:highlight w:val="none"/>
          <w14:textFill>
            <w14:solidFill>
              <w14:schemeClr w14:val="tx1"/>
            </w14:solidFill>
          </w14:textFill>
        </w:rPr>
        <w:t>专用合同条款约定的期限</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人有权向发包人发出要求</w:t>
      </w:r>
      <w:r>
        <w:rPr>
          <w:rFonts w:hint="eastAsia" w:ascii="宋体" w:hAnsi="宋体"/>
          <w:color w:val="000000" w:themeColor="text1"/>
          <w:sz w:val="21"/>
          <w:szCs w:val="21"/>
          <w:highlight w:val="none"/>
          <w14:textFill>
            <w14:solidFill>
              <w14:schemeClr w14:val="tx1"/>
            </w14:solidFill>
          </w14:textFill>
        </w:rPr>
        <w:t>支付定金或预付款</w:t>
      </w:r>
      <w:r>
        <w:rPr>
          <w:rFonts w:ascii="宋体" w:hAnsi="宋体"/>
          <w:color w:val="000000" w:themeColor="text1"/>
          <w:sz w:val="21"/>
          <w:szCs w:val="21"/>
          <w:highlight w:val="none"/>
          <w14:textFill>
            <w14:solidFill>
              <w14:schemeClr w14:val="tx1"/>
            </w14:solidFill>
          </w14:textFill>
        </w:rPr>
        <w:t>的催告通知，发包人收到通知后7天内仍未支付的，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人有权</w:t>
      </w:r>
      <w:r>
        <w:rPr>
          <w:rFonts w:hint="eastAsia" w:ascii="宋体" w:hAnsi="宋体"/>
          <w:color w:val="000000" w:themeColor="text1"/>
          <w:sz w:val="21"/>
          <w:szCs w:val="21"/>
          <w:highlight w:val="none"/>
          <w14:textFill>
            <w14:solidFill>
              <w14:schemeClr w14:val="tx1"/>
            </w14:solidFill>
          </w14:textFill>
        </w:rPr>
        <w:t>不开始设计工作或</w:t>
      </w:r>
      <w:r>
        <w:rPr>
          <w:rFonts w:ascii="宋体" w:hAnsi="宋体"/>
          <w:color w:val="000000" w:themeColor="text1"/>
          <w:sz w:val="21"/>
          <w:szCs w:val="21"/>
          <w:highlight w:val="none"/>
          <w14:textFill>
            <w14:solidFill>
              <w14:schemeClr w14:val="tx1"/>
            </w14:solidFill>
          </w14:textFill>
        </w:rPr>
        <w:t>暂停</w:t>
      </w:r>
      <w:r>
        <w:rPr>
          <w:rFonts w:hint="eastAsia" w:ascii="宋体" w:hAnsi="宋体"/>
          <w:color w:val="000000" w:themeColor="text1"/>
          <w:sz w:val="21"/>
          <w:szCs w:val="21"/>
          <w:highlight w:val="none"/>
          <w14:textFill>
            <w14:solidFill>
              <w14:schemeClr w14:val="tx1"/>
            </w14:solidFill>
          </w14:textFill>
        </w:rPr>
        <w:t>设计工作</w:t>
      </w:r>
      <w:r>
        <w:rPr>
          <w:rFonts w:ascii="宋体" w:hAnsi="宋体"/>
          <w:color w:val="000000" w:themeColor="text1"/>
          <w:sz w:val="21"/>
          <w:szCs w:val="21"/>
          <w:highlight w:val="none"/>
          <w14:textFill>
            <w14:solidFill>
              <w14:schemeClr w14:val="tx1"/>
            </w14:solidFill>
          </w14:textFill>
        </w:rPr>
        <w:t>。</w:t>
      </w:r>
    </w:p>
    <w:p w14:paraId="3CABF667">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10.4 进度款支付</w:t>
      </w:r>
    </w:p>
    <w:p w14:paraId="6C077B5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10.4.1 发包人应当按照专用合同条款附</w:t>
      </w:r>
      <w:r>
        <w:rPr>
          <w:rFonts w:ascii="宋体" w:hAnsi="宋体"/>
          <w:color w:val="000000" w:themeColor="text1"/>
          <w:sz w:val="21"/>
          <w:szCs w:val="21"/>
          <w:highlight w:val="none"/>
          <w14:textFill>
            <w14:solidFill>
              <w14:schemeClr w14:val="tx1"/>
            </w14:solidFill>
          </w14:textFill>
        </w:rPr>
        <w:t>件6约</w:t>
      </w:r>
      <w:r>
        <w:rPr>
          <w:rFonts w:hint="eastAsia" w:ascii="宋体" w:hAnsi="宋体"/>
          <w:color w:val="000000" w:themeColor="text1"/>
          <w:sz w:val="21"/>
          <w:szCs w:val="21"/>
          <w:highlight w:val="none"/>
          <w14:textFill>
            <w14:solidFill>
              <w14:schemeClr w14:val="tx1"/>
            </w14:solidFill>
          </w14:textFill>
        </w:rPr>
        <w:t>定的付款条件及时向设计人支付进度款。</w:t>
      </w:r>
    </w:p>
    <w:p w14:paraId="0F60CCA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10.4.2 </w:t>
      </w:r>
      <w:r>
        <w:rPr>
          <w:rFonts w:ascii="宋体" w:hAnsi="宋体"/>
          <w:color w:val="000000" w:themeColor="text1"/>
          <w:sz w:val="21"/>
          <w:szCs w:val="21"/>
          <w:highlight w:val="none"/>
          <w14:textFill>
            <w14:solidFill>
              <w14:schemeClr w14:val="tx1"/>
            </w14:solidFill>
          </w14:textFill>
        </w:rPr>
        <w:t>进度付款的修正</w:t>
      </w:r>
    </w:p>
    <w:p w14:paraId="157408D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在对已</w:t>
      </w:r>
      <w:r>
        <w:rPr>
          <w:rFonts w:hint="eastAsia" w:ascii="宋体" w:hAnsi="宋体"/>
          <w:color w:val="000000" w:themeColor="text1"/>
          <w:sz w:val="21"/>
          <w:szCs w:val="21"/>
          <w:highlight w:val="none"/>
          <w14:textFill>
            <w14:solidFill>
              <w14:schemeClr w14:val="tx1"/>
            </w14:solidFill>
          </w14:textFill>
        </w:rPr>
        <w:t>付</w:t>
      </w:r>
      <w:r>
        <w:rPr>
          <w:rFonts w:ascii="宋体" w:hAnsi="宋体"/>
          <w:color w:val="000000" w:themeColor="text1"/>
          <w:sz w:val="21"/>
          <w:szCs w:val="21"/>
          <w:highlight w:val="none"/>
          <w14:textFill>
            <w14:solidFill>
              <w14:schemeClr w14:val="tx1"/>
            </w14:solidFill>
          </w14:textFill>
        </w:rPr>
        <w:t>进度款进行汇总和复核中发现错误、遗漏或重复的，发包人和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人均有权提出修正申请。经发包人和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人同意的修正，应在下期进度付款中支付或扣除。</w:t>
      </w:r>
    </w:p>
    <w:p w14:paraId="2F675401">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10.5 合同价款的结算与支付</w:t>
      </w:r>
    </w:p>
    <w:p w14:paraId="76726E97">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10.5.1 对于采取固定总价形式的合同，发包人应当按照专用合同条款附件6的约定及时支付尾款。</w:t>
      </w:r>
    </w:p>
    <w:p w14:paraId="6967C8B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10.5.2 对于采取固定单价形式的合同，发包人与设计人应当按照专用合同条款附件6约定的结算方式及时结清工程设计费，并将结清未支付的款项一次性支付给设计人。</w:t>
      </w:r>
    </w:p>
    <w:p w14:paraId="233D184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10.5.3 对于采取其他价格形式的，也应按专用合同条款的约定及时结算和支付。</w:t>
      </w:r>
    </w:p>
    <w:p w14:paraId="48CA0539">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0</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 xml:space="preserve">6 </w:t>
      </w:r>
      <w:r>
        <w:rPr>
          <w:rFonts w:ascii="宋体" w:hAnsi="宋体"/>
          <w:b w:val="0"/>
          <w:color w:val="000000" w:themeColor="text1"/>
          <w:sz w:val="21"/>
          <w:szCs w:val="21"/>
          <w:highlight w:val="none"/>
          <w14:textFill>
            <w14:solidFill>
              <w14:schemeClr w14:val="tx1"/>
            </w14:solidFill>
          </w14:textFill>
        </w:rPr>
        <w:t>支付账户</w:t>
      </w:r>
    </w:p>
    <w:p w14:paraId="35C0BCF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发包人应将合同价款支付至合同协议书中约定的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人账户。</w:t>
      </w:r>
    </w:p>
    <w:p w14:paraId="6566D647">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1</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工程设计</w:t>
      </w:r>
      <w:r>
        <w:rPr>
          <w:rFonts w:ascii="黑体" w:hAnsi="黑体" w:eastAsia="黑体" w:cs="Times New Roman"/>
          <w:b w:val="0"/>
          <w:color w:val="000000" w:themeColor="text1"/>
          <w:highlight w:val="none"/>
          <w14:textFill>
            <w14:solidFill>
              <w14:schemeClr w14:val="tx1"/>
            </w14:solidFill>
          </w14:textFill>
        </w:rPr>
        <w:t>变更</w:t>
      </w:r>
      <w:r>
        <w:rPr>
          <w:rFonts w:hint="eastAsia" w:ascii="黑体" w:hAnsi="黑体" w:eastAsia="黑体" w:cs="Times New Roman"/>
          <w:b w:val="0"/>
          <w:color w:val="000000" w:themeColor="text1"/>
          <w:highlight w:val="none"/>
          <w14:textFill>
            <w14:solidFill>
              <w14:schemeClr w14:val="tx1"/>
            </w14:solidFill>
          </w14:textFill>
        </w:rPr>
        <w:t>与索赔</w:t>
      </w:r>
    </w:p>
    <w:p w14:paraId="66714A3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11.1 发包人变更工程设计的内容、规模、功能、条件等，应当向设计人提供书面要求，设计人在不违反法律规定以及技术标准强制性规定的前提下应当按照发包人要求变更工程设计。</w:t>
      </w:r>
    </w:p>
    <w:p w14:paraId="4C102A0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11.2 </w:t>
      </w:r>
      <w:r>
        <w:rPr>
          <w:rFonts w:hint="eastAsia" w:ascii="宋体" w:hAnsi="宋体" w:cs="宋体"/>
          <w:color w:val="000000" w:themeColor="text1"/>
          <w:sz w:val="21"/>
          <w:szCs w:val="21"/>
          <w:highlight w:val="none"/>
          <w14:textFill>
            <w14:solidFill>
              <w14:schemeClr w14:val="tx1"/>
            </w14:solidFill>
          </w14:textFill>
        </w:rPr>
        <w:t>发包人变更工程设计的内容、规模、功能、条件或因提交的设计资料存在错误或作较大修改时，发包人应按设计人所耗工作量向设计人增付设计费，</w:t>
      </w:r>
      <w:r>
        <w:rPr>
          <w:rFonts w:hint="eastAsia" w:ascii="宋体" w:hAnsi="宋体"/>
          <w:color w:val="000000" w:themeColor="text1"/>
          <w:sz w:val="21"/>
          <w:szCs w:val="21"/>
          <w:highlight w:val="none"/>
          <w14:textFill>
            <w14:solidFill>
              <w14:schemeClr w14:val="tx1"/>
            </w14:solidFill>
          </w14:textFill>
        </w:rPr>
        <w:t>设计人可按本条约定和专用合同条款附件7的约定，与发包人协商对合同价格和/或完工时间做可共同接受的修改。</w:t>
      </w:r>
    </w:p>
    <w:p w14:paraId="093ED58E">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14:paraId="725282BE">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11.4 基准日期后，与工程设计服务有关的法律、技术标准的强制性规定的颁布及修改，</w:t>
      </w:r>
      <w:r>
        <w:rPr>
          <w:rFonts w:ascii="宋体" w:hAnsi="宋体"/>
          <w:color w:val="000000" w:themeColor="text1"/>
          <w:sz w:val="21"/>
          <w:szCs w:val="21"/>
          <w:highlight w:val="none"/>
          <w14:textFill>
            <w14:solidFill>
              <w14:schemeClr w14:val="tx1"/>
            </w14:solidFill>
          </w14:textFill>
        </w:rPr>
        <w:t>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延长的设计周期</w:t>
      </w:r>
      <w:r>
        <w:rPr>
          <w:rFonts w:ascii="宋体" w:hAnsi="宋体"/>
          <w:color w:val="000000" w:themeColor="text1"/>
          <w:sz w:val="21"/>
          <w:szCs w:val="21"/>
          <w:highlight w:val="none"/>
          <w14:textFill>
            <w14:solidFill>
              <w14:schemeClr w14:val="tx1"/>
            </w14:solidFill>
          </w14:textFill>
        </w:rPr>
        <w:t>由发包人承担</w:t>
      </w:r>
      <w:r>
        <w:rPr>
          <w:rFonts w:hint="eastAsia" w:ascii="宋体" w:hAnsi="宋体"/>
          <w:color w:val="000000" w:themeColor="text1"/>
          <w:sz w:val="21"/>
          <w:szCs w:val="21"/>
          <w:highlight w:val="none"/>
          <w14:textFill>
            <w14:solidFill>
              <w14:schemeClr w14:val="tx1"/>
            </w14:solidFill>
          </w14:textFill>
        </w:rPr>
        <w:t>。</w:t>
      </w:r>
    </w:p>
    <w:p w14:paraId="78AF989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11.5 如果发生设计人认为有理由提出增加合同价款或延长设计周期的要求事项，</w:t>
      </w: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olor w:val="000000" w:themeColor="text1"/>
          <w:sz w:val="21"/>
          <w:szCs w:val="21"/>
          <w:highlight w:val="none"/>
          <w14:textFill>
            <w14:solidFill>
              <w14:schemeClr w14:val="tx1"/>
            </w14:solidFill>
          </w14:textFill>
        </w:rPr>
        <w:t>设计人应于该事项发生后5天内书面通知发包人。</w:t>
      </w: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olor w:val="000000" w:themeColor="text1"/>
          <w:sz w:val="21"/>
          <w:szCs w:val="21"/>
          <w:highlight w:val="none"/>
          <w14:textFill>
            <w14:solidFill>
              <w14:schemeClr w14:val="tx1"/>
            </w14:solidFill>
          </w14:textFill>
        </w:rPr>
        <w:t>在该事项发生后10天内，设计人应向发包人提供证明设计人要求的书面声明，其中包括设计人关于因该事项引起的合同价款和设计周期的变化的详细计算。</w:t>
      </w: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olor w:val="000000" w:themeColor="text1"/>
          <w:sz w:val="21"/>
          <w:szCs w:val="21"/>
          <w:highlight w:val="none"/>
          <w14:textFill>
            <w14:solidFill>
              <w14:schemeClr w14:val="tx1"/>
            </w14:solidFill>
          </w14:textFill>
        </w:rPr>
        <w:t>发包人应在接到设计人书面声明后的5天内，予以书面答复。逾期未答复的，视为发包人同意设计人关于增加合同价款或延长设计周期的要求。</w:t>
      </w:r>
    </w:p>
    <w:p w14:paraId="73DE7512">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2</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专业责任与保险</w:t>
      </w:r>
    </w:p>
    <w:p w14:paraId="476CE99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12.1 设计人应运用一切合理的专业技术和经验知识，按照公认的职业标准尽其全部职责和谨慎、勤勉地履行其在本合同项下的责任和义务。</w:t>
      </w:r>
    </w:p>
    <w:p w14:paraId="587D4B2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12.2 除专用合同条款另有约定外，设计人应具有发包人认可的、履行本合同所需要的工程设计责任保险并使其于合同责任期内保持有效。</w:t>
      </w:r>
    </w:p>
    <w:p w14:paraId="325C5E8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12.3 工程设计责任保险应承担由于设计人的疏忽或过失而引发的工程质量事故所造成的建设工程本身的物质损失以及第三者人身伤亡、财产损失或费用的赔偿责任。</w:t>
      </w:r>
    </w:p>
    <w:p w14:paraId="49DDB257">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3</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知识产权</w:t>
      </w:r>
    </w:p>
    <w:p w14:paraId="5068956C">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.1 除专用合同条款另有约定外，发包人提供给</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人的图纸、发包人为实施工程自行编制或委托编制的技术</w:t>
      </w:r>
      <w:r>
        <w:rPr>
          <w:rFonts w:hint="eastAsia" w:ascii="宋体" w:hAnsi="宋体"/>
          <w:color w:val="000000" w:themeColor="text1"/>
          <w:sz w:val="21"/>
          <w:szCs w:val="21"/>
          <w:highlight w:val="none"/>
          <w14:textFill>
            <w14:solidFill>
              <w14:schemeClr w14:val="tx1"/>
            </w14:solidFill>
          </w14:textFill>
        </w:rPr>
        <w:t>规格书</w:t>
      </w:r>
      <w:r>
        <w:rPr>
          <w:rFonts w:ascii="宋体" w:hAnsi="宋体"/>
          <w:color w:val="000000" w:themeColor="text1"/>
          <w:sz w:val="21"/>
          <w:szCs w:val="21"/>
          <w:highlight w:val="none"/>
          <w14:textFill>
            <w14:solidFill>
              <w14:schemeClr w14:val="tx1"/>
            </w14:solidFill>
          </w14:textFill>
        </w:rPr>
        <w:t>以及反映发包人要求的或其他类似性质的文件的著作权属于发包人，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人可以为实现合同目的而复制、使用此类文件，但不能用于与合同无关的其他事项。未经发包人书面同意，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人不得为了合同以外的目的而复制、使用上述文件或将之提供给任何第三方。</w:t>
      </w:r>
    </w:p>
    <w:p w14:paraId="36D2F22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.2 除专用合同条款另有约定外，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人为实施工程所编制的文件的著作权属于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人可因实施工程的运行、调试、维修、改造等目的而复制、使用此类文件，但不能</w:t>
      </w:r>
      <w:r>
        <w:rPr>
          <w:rFonts w:hint="eastAsia" w:ascii="宋体" w:hAnsi="宋体"/>
          <w:color w:val="000000" w:themeColor="text1"/>
          <w:sz w:val="21"/>
          <w:szCs w:val="21"/>
          <w:highlight w:val="none"/>
          <w14:textFill>
            <w14:solidFill>
              <w14:schemeClr w14:val="tx1"/>
            </w14:solidFill>
          </w14:textFill>
        </w:rPr>
        <w:t>擅自修改或</w:t>
      </w:r>
      <w:r>
        <w:rPr>
          <w:rFonts w:ascii="宋体" w:hAnsi="宋体"/>
          <w:color w:val="000000" w:themeColor="text1"/>
          <w:sz w:val="21"/>
          <w:szCs w:val="21"/>
          <w:highlight w:val="none"/>
          <w14:textFill>
            <w14:solidFill>
              <w14:schemeClr w14:val="tx1"/>
            </w14:solidFill>
          </w14:textFill>
        </w:rPr>
        <w:t>用于与合同无关的其他事项。未经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人书面同意，</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人不得为了合同以外的目的而复制、使用上述文件或将之提供给任何第三方。</w:t>
      </w:r>
    </w:p>
    <w:p w14:paraId="387E10E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.3 合同当事人保证在履行合同过程中不侵犯对方及第三方的知识产权。</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人在</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时，因侵犯他人的专利权或其他知识产权所引起的责任，由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人承担；因发包人提供的</w:t>
      </w:r>
      <w:r>
        <w:rPr>
          <w:rFonts w:hint="eastAsia" w:ascii="宋体" w:hAnsi="宋体"/>
          <w:color w:val="000000" w:themeColor="text1"/>
          <w:sz w:val="21"/>
          <w:szCs w:val="21"/>
          <w:highlight w:val="none"/>
          <w14:textFill>
            <w14:solidFill>
              <w14:schemeClr w14:val="tx1"/>
            </w14:solidFill>
          </w14:textFill>
        </w:rPr>
        <w:t>工程设计资料</w:t>
      </w:r>
      <w:r>
        <w:rPr>
          <w:rFonts w:ascii="宋体" w:hAnsi="宋体"/>
          <w:color w:val="000000" w:themeColor="text1"/>
          <w:sz w:val="21"/>
          <w:szCs w:val="21"/>
          <w:highlight w:val="none"/>
          <w14:textFill>
            <w14:solidFill>
              <w14:schemeClr w14:val="tx1"/>
            </w14:solidFill>
          </w14:textFill>
        </w:rPr>
        <w:t>导致侵权的，由发包人承担责任。</w:t>
      </w:r>
    </w:p>
    <w:p w14:paraId="584633D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 xml:space="preserve"> 合同当事人双方均有权在不损害对方利益和保密约定的前提下，在自己宣传用的印刷品或其他出版物上，或申报奖项时等情形下公布有关项目的文字和图片材料。</w:t>
      </w:r>
    </w:p>
    <w:p w14:paraId="74A34B4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13.5 </w:t>
      </w:r>
      <w:r>
        <w:rPr>
          <w:rFonts w:ascii="宋体" w:hAnsi="宋体"/>
          <w:color w:val="000000" w:themeColor="text1"/>
          <w:sz w:val="21"/>
          <w:szCs w:val="21"/>
          <w:highlight w:val="none"/>
          <w14:textFill>
            <w14:solidFill>
              <w14:schemeClr w14:val="tx1"/>
            </w14:solidFill>
          </w14:textFill>
        </w:rPr>
        <w:t>除专用合同条款另有约定外，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人在合同签订前和签订时已确定采用的专利、专有技术的使用费</w:t>
      </w:r>
      <w:r>
        <w:rPr>
          <w:rFonts w:hint="eastAsia" w:ascii="宋体" w:hAnsi="宋体"/>
          <w:color w:val="000000" w:themeColor="text1"/>
          <w:sz w:val="21"/>
          <w:szCs w:val="21"/>
          <w:highlight w:val="none"/>
          <w14:textFill>
            <w14:solidFill>
              <w14:schemeClr w14:val="tx1"/>
            </w14:solidFill>
          </w14:textFill>
        </w:rPr>
        <w:t>应</w:t>
      </w:r>
      <w:r>
        <w:rPr>
          <w:rFonts w:ascii="宋体" w:hAnsi="宋体"/>
          <w:color w:val="000000" w:themeColor="text1"/>
          <w:sz w:val="21"/>
          <w:szCs w:val="21"/>
          <w:highlight w:val="none"/>
          <w14:textFill>
            <w14:solidFill>
              <w14:schemeClr w14:val="tx1"/>
            </w14:solidFill>
          </w14:textFill>
        </w:rPr>
        <w:t>包含在签约合同价中。</w:t>
      </w:r>
    </w:p>
    <w:bookmarkEnd w:id="721"/>
    <w:bookmarkEnd w:id="722"/>
    <w:bookmarkEnd w:id="723"/>
    <w:p w14:paraId="7B16DF3E">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724" w:name="_Toc351203603"/>
      <w:bookmarkStart w:id="725" w:name="_Toc337558820"/>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4</w:t>
      </w:r>
      <w:r>
        <w:rPr>
          <w:rFonts w:ascii="黑体" w:hAnsi="黑体" w:eastAsia="黑体" w:cs="Times New Roman"/>
          <w:b w:val="0"/>
          <w:color w:val="000000" w:themeColor="text1"/>
          <w:highlight w:val="none"/>
          <w14:textFill>
            <w14:solidFill>
              <w14:schemeClr w14:val="tx1"/>
            </w14:solidFill>
          </w14:textFill>
        </w:rPr>
        <w:t>.违约</w:t>
      </w:r>
      <w:bookmarkEnd w:id="724"/>
      <w:r>
        <w:rPr>
          <w:rFonts w:hint="eastAsia" w:ascii="黑体" w:hAnsi="黑体" w:eastAsia="黑体" w:cs="Times New Roman"/>
          <w:b w:val="0"/>
          <w:color w:val="000000" w:themeColor="text1"/>
          <w:highlight w:val="none"/>
          <w14:textFill>
            <w14:solidFill>
              <w14:schemeClr w14:val="tx1"/>
            </w14:solidFill>
          </w14:textFill>
        </w:rPr>
        <w:t>责任</w:t>
      </w:r>
    </w:p>
    <w:bookmarkEnd w:id="725"/>
    <w:p w14:paraId="063AEE27">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26" w:name="_Toc296346630"/>
      <w:bookmarkStart w:id="727" w:name="_Toc296503129"/>
      <w:bookmarkStart w:id="728" w:name="_Toc351203604"/>
      <w:bookmarkStart w:id="729" w:name="_Toc337558821"/>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4</w:t>
      </w:r>
      <w:r>
        <w:rPr>
          <w:rFonts w:ascii="宋体" w:hAnsi="宋体"/>
          <w:b w:val="0"/>
          <w:color w:val="000000" w:themeColor="text1"/>
          <w:sz w:val="21"/>
          <w:szCs w:val="21"/>
          <w:highlight w:val="none"/>
          <w14:textFill>
            <w14:solidFill>
              <w14:schemeClr w14:val="tx1"/>
            </w14:solidFill>
          </w14:textFill>
        </w:rPr>
        <w:t>.1 发</w:t>
      </w:r>
      <w:bookmarkEnd w:id="726"/>
      <w:bookmarkEnd w:id="727"/>
      <w:r>
        <w:rPr>
          <w:rFonts w:ascii="宋体" w:hAnsi="宋体"/>
          <w:b w:val="0"/>
          <w:color w:val="000000" w:themeColor="text1"/>
          <w:sz w:val="21"/>
          <w:szCs w:val="21"/>
          <w:highlight w:val="none"/>
          <w14:textFill>
            <w14:solidFill>
              <w14:schemeClr w14:val="tx1"/>
            </w14:solidFill>
          </w14:textFill>
        </w:rPr>
        <w:t>包人违约</w:t>
      </w:r>
      <w:bookmarkEnd w:id="728"/>
      <w:r>
        <w:rPr>
          <w:rFonts w:hint="eastAsia" w:ascii="宋体" w:hAnsi="宋体"/>
          <w:b w:val="0"/>
          <w:color w:val="000000" w:themeColor="text1"/>
          <w:sz w:val="21"/>
          <w:szCs w:val="21"/>
          <w:highlight w:val="none"/>
          <w14:textFill>
            <w14:solidFill>
              <w14:schemeClr w14:val="tx1"/>
            </w14:solidFill>
          </w14:textFill>
        </w:rPr>
        <w:t>责任</w:t>
      </w:r>
    </w:p>
    <w:bookmarkEnd w:id="729"/>
    <w:p w14:paraId="32618CE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39FBEFB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14.1.2 </w:t>
      </w:r>
      <w:r>
        <w:rPr>
          <w:rFonts w:hint="eastAsia" w:ascii="宋体" w:hAnsi="宋体"/>
          <w:color w:val="000000" w:themeColor="text1"/>
          <w:sz w:val="21"/>
          <w:szCs w:val="21"/>
          <w:highlight w:val="none"/>
          <w14:textFill>
            <w14:solidFill>
              <w14:schemeClr w14:val="tx1"/>
            </w14:solidFill>
          </w14:textFill>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1C0C402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14.1.3 发包人的上级或设计审批部门对设计文件不进行审批或本合同工程停建、缓建，发包人应在事件发生之日起15天内按本合同第16条〔合同解除〕的约定向设计人结算并支付设计费。</w:t>
      </w:r>
    </w:p>
    <w:p w14:paraId="522931E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14.1.4 发包人</w:t>
      </w:r>
      <w:r>
        <w:rPr>
          <w:rFonts w:ascii="宋体" w:hAnsi="宋体"/>
          <w:color w:val="000000" w:themeColor="text1"/>
          <w:sz w:val="21"/>
          <w:szCs w:val="21"/>
          <w:highlight w:val="none"/>
          <w14:textFill>
            <w14:solidFill>
              <w14:schemeClr w14:val="tx1"/>
            </w14:solidFill>
          </w14:textFill>
        </w:rPr>
        <w:t>擅自将</w:t>
      </w:r>
      <w:r>
        <w:rPr>
          <w:rFonts w:hint="eastAsia" w:ascii="宋体" w:hAnsi="宋体"/>
          <w:color w:val="000000" w:themeColor="text1"/>
          <w:sz w:val="21"/>
          <w:szCs w:val="21"/>
          <w:highlight w:val="none"/>
          <w14:textFill>
            <w14:solidFill>
              <w14:schemeClr w14:val="tx1"/>
            </w14:solidFill>
          </w14:textFill>
        </w:rPr>
        <w:t>设计人</w:t>
      </w:r>
      <w:r>
        <w:rPr>
          <w:rFonts w:ascii="宋体" w:hAnsi="宋体"/>
          <w:color w:val="000000" w:themeColor="text1"/>
          <w:sz w:val="21"/>
          <w:szCs w:val="21"/>
          <w:highlight w:val="none"/>
          <w14:textFill>
            <w14:solidFill>
              <w14:schemeClr w14:val="tx1"/>
            </w14:solidFill>
          </w14:textFill>
        </w:rPr>
        <w:t>的设计文件</w:t>
      </w:r>
      <w:r>
        <w:rPr>
          <w:rFonts w:hint="eastAsia" w:ascii="宋体" w:hAnsi="宋体"/>
          <w:color w:val="000000" w:themeColor="text1"/>
          <w:sz w:val="21"/>
          <w:szCs w:val="21"/>
          <w:highlight w:val="none"/>
          <w14:textFill>
            <w14:solidFill>
              <w14:schemeClr w14:val="tx1"/>
            </w14:solidFill>
          </w14:textFill>
        </w:rPr>
        <w:t>用于</w:t>
      </w:r>
      <w:r>
        <w:rPr>
          <w:rFonts w:ascii="宋体" w:hAnsi="宋体"/>
          <w:color w:val="000000" w:themeColor="text1"/>
          <w:sz w:val="21"/>
          <w:szCs w:val="21"/>
          <w:highlight w:val="none"/>
          <w14:textFill>
            <w14:solidFill>
              <w14:schemeClr w14:val="tx1"/>
            </w14:solidFill>
          </w14:textFill>
        </w:rPr>
        <w:t>本工程以外的</w:t>
      </w:r>
      <w:r>
        <w:rPr>
          <w:rFonts w:hint="eastAsia" w:ascii="宋体" w:hAnsi="宋体"/>
          <w:color w:val="000000" w:themeColor="text1"/>
          <w:sz w:val="21"/>
          <w:szCs w:val="21"/>
          <w:highlight w:val="none"/>
          <w14:textFill>
            <w14:solidFill>
              <w14:schemeClr w14:val="tx1"/>
            </w14:solidFill>
          </w14:textFill>
        </w:rPr>
        <w:t>工程或交</w:t>
      </w:r>
      <w:r>
        <w:rPr>
          <w:rFonts w:ascii="宋体" w:hAnsi="宋体"/>
          <w:color w:val="000000" w:themeColor="text1"/>
          <w:sz w:val="21"/>
          <w:szCs w:val="21"/>
          <w:highlight w:val="none"/>
          <w14:textFill>
            <w14:solidFill>
              <w14:schemeClr w14:val="tx1"/>
            </w14:solidFill>
          </w14:textFill>
        </w:rPr>
        <w:t>第三方使用时，应承担</w:t>
      </w:r>
      <w:r>
        <w:rPr>
          <w:rFonts w:hint="eastAsia" w:ascii="宋体" w:hAnsi="宋体"/>
          <w:color w:val="000000" w:themeColor="text1"/>
          <w:sz w:val="21"/>
          <w:szCs w:val="21"/>
          <w:highlight w:val="none"/>
          <w14:textFill>
            <w14:solidFill>
              <w14:schemeClr w14:val="tx1"/>
            </w14:solidFill>
          </w14:textFill>
        </w:rPr>
        <w:t>相应法律</w:t>
      </w:r>
      <w:r>
        <w:rPr>
          <w:rFonts w:ascii="宋体" w:hAnsi="宋体"/>
          <w:color w:val="000000" w:themeColor="text1"/>
          <w:sz w:val="21"/>
          <w:szCs w:val="21"/>
          <w:highlight w:val="none"/>
          <w14:textFill>
            <w14:solidFill>
              <w14:schemeClr w14:val="tx1"/>
            </w14:solidFill>
          </w14:textFill>
        </w:rPr>
        <w:t>责任</w:t>
      </w:r>
      <w:r>
        <w:rPr>
          <w:rFonts w:hint="eastAsia" w:ascii="宋体" w:hAnsi="宋体"/>
          <w:color w:val="000000" w:themeColor="text1"/>
          <w:sz w:val="21"/>
          <w:szCs w:val="21"/>
          <w:highlight w:val="none"/>
          <w14:textFill>
            <w14:solidFill>
              <w14:schemeClr w14:val="tx1"/>
            </w14:solidFill>
          </w14:textFill>
        </w:rPr>
        <w:t>，并应赔偿设计人因此遭受的损失</w:t>
      </w:r>
      <w:r>
        <w:rPr>
          <w:rFonts w:ascii="宋体" w:hAnsi="宋体"/>
          <w:color w:val="000000" w:themeColor="text1"/>
          <w:sz w:val="21"/>
          <w:szCs w:val="21"/>
          <w:highlight w:val="none"/>
          <w14:textFill>
            <w14:solidFill>
              <w14:schemeClr w14:val="tx1"/>
            </w14:solidFill>
          </w14:textFill>
        </w:rPr>
        <w:t>。</w:t>
      </w:r>
    </w:p>
    <w:p w14:paraId="7D536378">
      <w:pPr>
        <w:pStyle w:val="6"/>
        <w:keepNext w:val="0"/>
        <w:keepLines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30" w:name="_Toc351203605"/>
      <w:bookmarkStart w:id="731" w:name="_Toc337558822"/>
      <w:bookmarkStart w:id="732" w:name="_Toc296346632"/>
      <w:bookmarkStart w:id="733" w:name="_Toc296503131"/>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4</w:t>
      </w:r>
      <w:r>
        <w:rPr>
          <w:rFonts w:ascii="宋体" w:hAnsi="宋体"/>
          <w:b w:val="0"/>
          <w:color w:val="000000" w:themeColor="text1"/>
          <w:sz w:val="21"/>
          <w:szCs w:val="21"/>
          <w:highlight w:val="none"/>
          <w14:textFill>
            <w14:solidFill>
              <w14:schemeClr w14:val="tx1"/>
            </w14:solidFill>
          </w14:textFill>
        </w:rPr>
        <w:t xml:space="preserve">.2 </w:t>
      </w:r>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人违约</w:t>
      </w:r>
      <w:bookmarkEnd w:id="730"/>
      <w:r>
        <w:rPr>
          <w:rFonts w:hint="eastAsia" w:ascii="宋体" w:hAnsi="宋体"/>
          <w:b w:val="0"/>
          <w:color w:val="000000" w:themeColor="text1"/>
          <w:sz w:val="21"/>
          <w:szCs w:val="21"/>
          <w:highlight w:val="none"/>
          <w14:textFill>
            <w14:solidFill>
              <w14:schemeClr w14:val="tx1"/>
            </w14:solidFill>
          </w14:textFill>
        </w:rPr>
        <w:t>责任</w:t>
      </w:r>
    </w:p>
    <w:bookmarkEnd w:id="731"/>
    <w:bookmarkEnd w:id="732"/>
    <w:bookmarkEnd w:id="733"/>
    <w:p w14:paraId="2EF212F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14.2.1 合同生效后，设计人因自身原因要求终止或解除合同，设计人应按发包人已支付的定金金额双倍返还给发包人或设计人按照专用合同条款约定向发包人支付违约金。</w:t>
      </w:r>
    </w:p>
    <w:p w14:paraId="3508E71F">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14.2.2 由于设计人原因，未按专用合同条款附件3约定的时间交付工程设计文件的，应按专用合同条款的约定向发包人支付违约金，前述违约金经双方确认后可在发包人应付设计费中扣减。</w:t>
      </w:r>
    </w:p>
    <w:p w14:paraId="7A78B35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184C161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14.2.4 由于设计人原因，工程设计文件超出发包人与设计人书面约定的主要技术指标控制值比例的，设计人应当按照专用合同条款的约定承担违约责任。</w:t>
      </w:r>
    </w:p>
    <w:p w14:paraId="7333FBB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14.2.5 设计人未经发包人同意擅自对工程设计进行分包的，发包人有权要求设计人解除未经发包人同意的设计分包合同，设计人应当按照专用合同条款的约定承担违约责任。</w:t>
      </w:r>
    </w:p>
    <w:p w14:paraId="5AE86AE8">
      <w:pPr>
        <w:pStyle w:val="5"/>
        <w:keepNext w:val="0"/>
        <w:keepLines w:val="0"/>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734" w:name="_Toc351203607"/>
      <w:bookmarkStart w:id="735" w:name="_Toc337558823"/>
      <w:bookmarkStart w:id="736" w:name="_Toc296503116"/>
      <w:bookmarkStart w:id="737" w:name="_Toc296346617"/>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5</w:t>
      </w:r>
      <w:r>
        <w:rPr>
          <w:rFonts w:ascii="黑体" w:hAnsi="黑体" w:eastAsia="黑体" w:cs="Times New Roman"/>
          <w:b w:val="0"/>
          <w:color w:val="000000" w:themeColor="text1"/>
          <w:highlight w:val="none"/>
          <w14:textFill>
            <w14:solidFill>
              <w14:schemeClr w14:val="tx1"/>
            </w14:solidFill>
          </w14:textFill>
        </w:rPr>
        <w:t>.不可抗力</w:t>
      </w:r>
      <w:bookmarkEnd w:id="734"/>
      <w:r>
        <w:rPr>
          <w:rFonts w:ascii="黑体" w:hAnsi="黑体" w:eastAsia="黑体" w:cs="Times New Roman"/>
          <w:b w:val="0"/>
          <w:color w:val="000000" w:themeColor="text1"/>
          <w:highlight w:val="none"/>
          <w14:textFill>
            <w14:solidFill>
              <w14:schemeClr w14:val="tx1"/>
            </w14:solidFill>
          </w14:textFill>
        </w:rPr>
        <w:t xml:space="preserve"> </w:t>
      </w:r>
      <w:bookmarkEnd w:id="735"/>
      <w:bookmarkEnd w:id="736"/>
      <w:bookmarkEnd w:id="737"/>
    </w:p>
    <w:p w14:paraId="402D143D">
      <w:pPr>
        <w:pStyle w:val="6"/>
        <w:keepNext w:val="0"/>
        <w:keepLines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bookmarkStart w:id="738" w:name="_Toc351203608"/>
      <w:bookmarkStart w:id="739" w:name="_Toc296346618"/>
      <w:bookmarkStart w:id="740" w:name="_Toc296503117"/>
      <w:bookmarkStart w:id="741" w:name="_Toc337558824"/>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.1 不可抗力的确认</w:t>
      </w:r>
      <w:bookmarkEnd w:id="738"/>
    </w:p>
    <w:bookmarkEnd w:id="739"/>
    <w:bookmarkEnd w:id="740"/>
    <w:bookmarkEnd w:id="741"/>
    <w:p w14:paraId="3FC7C7DD">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2331856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不可抗力发生后，发包人和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人应收集证明不可抗力发生及不可抗力造成损失的证据，并及时认真统计所造成的损失。合同当事人对是否属于不可抗力或其损失发生争议时，按第</w:t>
      </w: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条</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争议解决</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的约定处理。</w:t>
      </w:r>
    </w:p>
    <w:p w14:paraId="72563C2A">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bookmarkStart w:id="742" w:name="_Toc351203609"/>
      <w:bookmarkStart w:id="743" w:name="_Toc337558825"/>
      <w:bookmarkStart w:id="744" w:name="_Toc296503118"/>
      <w:bookmarkStart w:id="745" w:name="_Toc296346619"/>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.2 不可抗力的通知</w:t>
      </w:r>
      <w:bookmarkEnd w:id="742"/>
    </w:p>
    <w:bookmarkEnd w:id="743"/>
    <w:bookmarkEnd w:id="744"/>
    <w:bookmarkEnd w:id="745"/>
    <w:p w14:paraId="042C505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w:t>
      </w:r>
      <w:r>
        <w:rPr>
          <w:rFonts w:ascii="宋体" w:hAnsi="宋体"/>
          <w:color w:val="000000" w:themeColor="text1"/>
          <w:sz w:val="21"/>
          <w:szCs w:val="21"/>
          <w:highlight w:val="none"/>
          <w14:textFill>
            <w14:solidFill>
              <w14:schemeClr w14:val="tx1"/>
            </w14:solidFill>
          </w14:textFill>
        </w:rPr>
        <w:t>一方当事人遇到不可抗力事件，使其履行合同义务受到阻碍时，应立即通知合同另一方当事人，书面说明不可抗力和受阻碍的详细情况，并</w:t>
      </w:r>
      <w:r>
        <w:rPr>
          <w:rFonts w:hint="eastAsia" w:ascii="宋体" w:hAnsi="宋体"/>
          <w:color w:val="000000" w:themeColor="text1"/>
          <w:sz w:val="21"/>
          <w:szCs w:val="21"/>
          <w:highlight w:val="none"/>
          <w14:textFill>
            <w14:solidFill>
              <w14:schemeClr w14:val="tx1"/>
            </w14:solidFill>
          </w14:textFill>
        </w:rPr>
        <w:t>在合理期限内</w:t>
      </w:r>
      <w:r>
        <w:rPr>
          <w:rFonts w:ascii="宋体" w:hAnsi="宋体"/>
          <w:color w:val="000000" w:themeColor="text1"/>
          <w:sz w:val="21"/>
          <w:szCs w:val="21"/>
          <w:highlight w:val="none"/>
          <w14:textFill>
            <w14:solidFill>
              <w14:schemeClr w14:val="tx1"/>
            </w14:solidFill>
          </w14:textFill>
        </w:rPr>
        <w:t>提供必要的证明。</w:t>
      </w:r>
    </w:p>
    <w:p w14:paraId="2049B0E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不可抗力持续发生的，合同一方当事人应及时向合同另一方当事人提交中间报告，说明不可抗力和履行合同受阻的情况，并于不可抗力事件结束后28天内提交最终报告及有关资料。</w:t>
      </w:r>
    </w:p>
    <w:p w14:paraId="7A7DEED5">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46" w:name="_Toc351203610"/>
      <w:bookmarkStart w:id="747" w:name="_Toc296346620"/>
      <w:bookmarkStart w:id="748" w:name="_Toc296503119"/>
      <w:bookmarkStart w:id="749" w:name="_Toc337558826"/>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.3 不可抗力后果的承担</w:t>
      </w:r>
      <w:bookmarkEnd w:id="746"/>
    </w:p>
    <w:bookmarkEnd w:id="747"/>
    <w:bookmarkEnd w:id="748"/>
    <w:bookmarkEnd w:id="749"/>
    <w:p w14:paraId="03308A0B">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不可抗力引起的后果及造成的损失由合同当事人按照法律规定及合同约定各自承担。</w:t>
      </w:r>
      <w:r>
        <w:rPr>
          <w:rFonts w:ascii="宋体" w:hAnsi="宋体"/>
          <w:color w:val="000000" w:themeColor="text1"/>
          <w:sz w:val="21"/>
          <w:szCs w:val="21"/>
          <w:highlight w:val="none"/>
          <w14:textFill>
            <w14:solidFill>
              <w14:schemeClr w14:val="tx1"/>
            </w14:solidFill>
          </w14:textFill>
        </w:rPr>
        <w:t>不可抗力发生前已完</w:t>
      </w:r>
      <w:r>
        <w:rPr>
          <w:rFonts w:hint="eastAsia" w:ascii="宋体" w:hAnsi="宋体"/>
          <w:color w:val="000000" w:themeColor="text1"/>
          <w:sz w:val="21"/>
          <w:szCs w:val="21"/>
          <w:highlight w:val="none"/>
          <w14:textFill>
            <w14:solidFill>
              <w14:schemeClr w14:val="tx1"/>
            </w14:solidFill>
          </w14:textFill>
        </w:rPr>
        <w:t>成的</w:t>
      </w:r>
      <w:r>
        <w:rPr>
          <w:rFonts w:ascii="宋体" w:hAnsi="宋体"/>
          <w:color w:val="000000" w:themeColor="text1"/>
          <w:sz w:val="21"/>
          <w:szCs w:val="21"/>
          <w:highlight w:val="none"/>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应当按照合同约定进行</w:t>
      </w:r>
      <w:r>
        <w:rPr>
          <w:rFonts w:hint="eastAsia" w:ascii="宋体" w:hAnsi="宋体"/>
          <w:color w:val="000000" w:themeColor="text1"/>
          <w:sz w:val="21"/>
          <w:szCs w:val="21"/>
          <w:highlight w:val="none"/>
          <w14:textFill>
            <w14:solidFill>
              <w14:schemeClr w14:val="tx1"/>
            </w14:solidFill>
          </w14:textFill>
        </w:rPr>
        <w:t>支付</w:t>
      </w:r>
      <w:r>
        <w:rPr>
          <w:rFonts w:ascii="宋体" w:hAnsi="宋体"/>
          <w:color w:val="000000" w:themeColor="text1"/>
          <w:sz w:val="21"/>
          <w:szCs w:val="21"/>
          <w:highlight w:val="none"/>
          <w14:textFill>
            <w14:solidFill>
              <w14:schemeClr w14:val="tx1"/>
            </w14:solidFill>
          </w14:textFill>
        </w:rPr>
        <w:t>。</w:t>
      </w:r>
    </w:p>
    <w:p w14:paraId="3864E1F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3E296B7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因合同一方迟延履行合同义务，在迟延履行期间遭遇不可抗力的，不免除其违约责任。</w:t>
      </w:r>
    </w:p>
    <w:p w14:paraId="0AEA82EB">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16</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合同解除</w:t>
      </w:r>
    </w:p>
    <w:p w14:paraId="497AE4E0">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6</w:t>
      </w: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 xml:space="preserve"> 发包人与设计人协商一致，可以解除合同。</w:t>
      </w:r>
    </w:p>
    <w:p w14:paraId="2F68B82B">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6</w:t>
      </w:r>
      <w:r>
        <w:rPr>
          <w:rFonts w:ascii="宋体" w:hAnsi="宋体" w:cs="Courier New"/>
          <w:color w:val="000000" w:themeColor="text1"/>
          <w:sz w:val="21"/>
          <w:szCs w:val="21"/>
          <w:highlight w:val="none"/>
          <w14:textFill>
            <w14:solidFill>
              <w14:schemeClr w14:val="tx1"/>
            </w14:solidFill>
          </w14:textFill>
        </w:rPr>
        <w:t>.2</w:t>
      </w:r>
      <w:r>
        <w:rPr>
          <w:rFonts w:hint="eastAsia" w:ascii="宋体" w:hAnsi="宋体" w:cs="Courier New"/>
          <w:color w:val="000000" w:themeColor="text1"/>
          <w:sz w:val="21"/>
          <w:szCs w:val="21"/>
          <w:highlight w:val="none"/>
          <w14:textFill>
            <w14:solidFill>
              <w14:schemeClr w14:val="tx1"/>
            </w14:solidFill>
          </w14:textFill>
        </w:rPr>
        <w:t xml:space="preserve"> 有下列情形之一的，合同当事人一方或双方可以解除合同：</w:t>
      </w:r>
    </w:p>
    <w:p w14:paraId="6EBEE743">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（1）设计人工程设计文件存在重大质量问题，经发包人催告后,在合理期限内修改后仍不能满足国家现行深度要求或不能达到合同约定的设计质量要求的，发包人可以解除合同；</w:t>
      </w:r>
    </w:p>
    <w:p w14:paraId="2C9E5FD0">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（2）发包人未按合同约定支付设计费用，经设计人催告后，在30天内仍未支付的，设计人可以解除合同；</w:t>
      </w:r>
    </w:p>
    <w:p w14:paraId="02C1DD71">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（3）暂停设计期限已连续超过180天，专用合同条款另有约定的除外；</w:t>
      </w:r>
    </w:p>
    <w:p w14:paraId="51FB2BBA">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（4）因不可抗力致使合同无法履行；</w:t>
      </w:r>
    </w:p>
    <w:p w14:paraId="0BA0BD11">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（5）因一方违约致使合同无法实际履行或实际履行已无必要；</w:t>
      </w:r>
    </w:p>
    <w:p w14:paraId="4FC36F3D">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（6）因本工程项目条件发生重大变化，使合同无法继续履行。</w:t>
      </w:r>
    </w:p>
    <w:p w14:paraId="2E88AB04">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6</w:t>
      </w:r>
      <w:r>
        <w:rPr>
          <w:rFonts w:ascii="宋体" w:hAnsi="宋体" w:cs="Courier New"/>
          <w:color w:val="000000" w:themeColor="text1"/>
          <w:sz w:val="21"/>
          <w:szCs w:val="21"/>
          <w:highlight w:val="none"/>
          <w14:textFill>
            <w14:solidFill>
              <w14:schemeClr w14:val="tx1"/>
            </w14:solidFill>
          </w14:textFill>
        </w:rPr>
        <w:t>.</w:t>
      </w:r>
      <w:r>
        <w:rPr>
          <w:rFonts w:hint="eastAsia" w:ascii="宋体" w:hAnsi="宋体" w:cs="Courier New"/>
          <w:color w:val="000000" w:themeColor="text1"/>
          <w:sz w:val="21"/>
          <w:szCs w:val="21"/>
          <w:highlight w:val="none"/>
          <w14:textFill>
            <w14:solidFill>
              <w14:schemeClr w14:val="tx1"/>
            </w14:solidFill>
          </w14:textFill>
        </w:rPr>
        <w:t>3 任何一方因故需解除合同时，应提前30天书面通知对方，对合同中的遗留问题应取得一致意见并形成书面协议。</w:t>
      </w:r>
    </w:p>
    <w:p w14:paraId="31330660">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6</w:t>
      </w:r>
      <w:r>
        <w:rPr>
          <w:rFonts w:ascii="宋体" w:hAnsi="宋体" w:cs="Courier New"/>
          <w:color w:val="000000" w:themeColor="text1"/>
          <w:sz w:val="21"/>
          <w:szCs w:val="21"/>
          <w:highlight w:val="none"/>
          <w14:textFill>
            <w14:solidFill>
              <w14:schemeClr w14:val="tx1"/>
            </w14:solidFill>
          </w14:textFill>
        </w:rPr>
        <w:t>.</w:t>
      </w:r>
      <w:r>
        <w:rPr>
          <w:rFonts w:hint="eastAsia" w:ascii="宋体" w:hAnsi="宋体" w:cs="Courier New"/>
          <w:color w:val="000000" w:themeColor="text1"/>
          <w:sz w:val="21"/>
          <w:szCs w:val="21"/>
          <w:highlight w:val="none"/>
          <w14:textFill>
            <w14:solidFill>
              <w14:schemeClr w14:val="tx1"/>
            </w14:solidFill>
          </w14:textFill>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51BA33F9">
      <w:pPr>
        <w:pStyle w:val="5"/>
        <w:keepNext w:val="0"/>
        <w:keepLines w:val="0"/>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750" w:name="_Toc351203626"/>
      <w:bookmarkStart w:id="751" w:name="_Toc296346647"/>
      <w:bookmarkStart w:id="752" w:name="_Toc296503146"/>
      <w:bookmarkStart w:id="753" w:name="_Toc337558840"/>
      <w:r>
        <w:rPr>
          <w:rFonts w:hint="eastAsia" w:ascii="黑体" w:hAnsi="黑体" w:eastAsia="黑体" w:cs="Times New Roman"/>
          <w:b w:val="0"/>
          <w:color w:val="000000" w:themeColor="text1"/>
          <w:highlight w:val="none"/>
          <w14:textFill>
            <w14:solidFill>
              <w14:schemeClr w14:val="tx1"/>
            </w14:solidFill>
          </w14:textFill>
        </w:rPr>
        <w:t>17</w:t>
      </w:r>
      <w:r>
        <w:rPr>
          <w:rFonts w:ascii="黑体" w:hAnsi="黑体" w:eastAsia="黑体" w:cs="Times New Roman"/>
          <w:b w:val="0"/>
          <w:color w:val="000000" w:themeColor="text1"/>
          <w:highlight w:val="none"/>
          <w14:textFill>
            <w14:solidFill>
              <w14:schemeClr w14:val="tx1"/>
            </w14:solidFill>
          </w14:textFill>
        </w:rPr>
        <w:t>.争议解决</w:t>
      </w:r>
      <w:bookmarkEnd w:id="750"/>
    </w:p>
    <w:bookmarkEnd w:id="751"/>
    <w:bookmarkEnd w:id="752"/>
    <w:bookmarkEnd w:id="753"/>
    <w:p w14:paraId="112B2837">
      <w:pPr>
        <w:pStyle w:val="6"/>
        <w:keepNext w:val="0"/>
        <w:keepLines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54" w:name="_Toc351203627"/>
      <w:bookmarkStart w:id="755" w:name="_Toc296346648"/>
      <w:bookmarkStart w:id="756" w:name="_Toc337558841"/>
      <w:bookmarkStart w:id="757" w:name="_Toc296503147"/>
      <w:r>
        <w:rPr>
          <w:rFonts w:hint="eastAsia" w:ascii="宋体" w:hAnsi="宋体"/>
          <w:b w:val="0"/>
          <w:color w:val="000000" w:themeColor="text1"/>
          <w:sz w:val="21"/>
          <w:szCs w:val="21"/>
          <w:highlight w:val="none"/>
          <w14:textFill>
            <w14:solidFill>
              <w14:schemeClr w14:val="tx1"/>
            </w14:solidFill>
          </w14:textFill>
        </w:rPr>
        <w:t>17</w:t>
      </w: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和解</w:t>
      </w:r>
      <w:bookmarkEnd w:id="754"/>
    </w:p>
    <w:bookmarkEnd w:id="755"/>
    <w:bookmarkEnd w:id="756"/>
    <w:bookmarkEnd w:id="757"/>
    <w:p w14:paraId="4E50DA5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合同当事人可以就争议自行和解，自行和解达成协议的经双方签字并盖章后作为合同补充文件，双方均应遵照执行。</w:t>
      </w:r>
    </w:p>
    <w:p w14:paraId="0A9F5B4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bookmarkStart w:id="758" w:name="_Toc351203628"/>
      <w:bookmarkStart w:id="759" w:name="_Toc337558842"/>
      <w:bookmarkStart w:id="760" w:name="_Toc296503148"/>
      <w:bookmarkStart w:id="761" w:name="_Toc296346649"/>
      <w:r>
        <w:rPr>
          <w:rFonts w:hint="eastAsia" w:ascii="宋体" w:hAnsi="宋体"/>
          <w:bCs/>
          <w:color w:val="000000" w:themeColor="text1"/>
          <w:sz w:val="21"/>
          <w:szCs w:val="21"/>
          <w:highlight w:val="none"/>
          <w14:textFill>
            <w14:solidFill>
              <w14:schemeClr w14:val="tx1"/>
            </w14:solidFill>
          </w14:textFill>
        </w:rPr>
        <w:t>17</w:t>
      </w:r>
      <w:r>
        <w:rPr>
          <w:rFonts w:ascii="宋体" w:hAnsi="宋体"/>
          <w:bCs/>
          <w:color w:val="000000" w:themeColor="text1"/>
          <w:sz w:val="21"/>
          <w:szCs w:val="21"/>
          <w:highlight w:val="none"/>
          <w14:textFill>
            <w14:solidFill>
              <w14:schemeClr w14:val="tx1"/>
            </w14:solidFill>
          </w14:textFill>
        </w:rPr>
        <w:t>.2</w:t>
      </w:r>
      <w:r>
        <w:rPr>
          <w:rFonts w:hint="eastAsia" w:ascii="宋体" w:hAnsi="宋体"/>
          <w:bCs/>
          <w:color w:val="000000" w:themeColor="text1"/>
          <w:sz w:val="21"/>
          <w:szCs w:val="21"/>
          <w:highlight w:val="non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调解</w:t>
      </w:r>
      <w:bookmarkEnd w:id="758"/>
    </w:p>
    <w:bookmarkEnd w:id="759"/>
    <w:bookmarkEnd w:id="760"/>
    <w:bookmarkEnd w:id="761"/>
    <w:p w14:paraId="32AF3CE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合同当事人可以就争议请求</w:t>
      </w:r>
      <w:r>
        <w:rPr>
          <w:rFonts w:hint="eastAsia" w:ascii="宋体" w:hAnsi="宋体"/>
          <w:color w:val="000000" w:themeColor="text1"/>
          <w:sz w:val="21"/>
          <w:szCs w:val="21"/>
          <w:highlight w:val="none"/>
          <w14:textFill>
            <w14:solidFill>
              <w14:schemeClr w14:val="tx1"/>
            </w14:solidFill>
          </w14:textFill>
        </w:rPr>
        <w:t>相关</w:t>
      </w:r>
      <w:r>
        <w:rPr>
          <w:rFonts w:ascii="宋体" w:hAnsi="宋体"/>
          <w:color w:val="000000" w:themeColor="text1"/>
          <w:sz w:val="21"/>
          <w:szCs w:val="21"/>
          <w:highlight w:val="none"/>
          <w14:textFill>
            <w14:solidFill>
              <w14:schemeClr w14:val="tx1"/>
            </w14:solidFill>
          </w14:textFill>
        </w:rPr>
        <w:t>行政主管部门</w:t>
      </w:r>
      <w:r>
        <w:rPr>
          <w:rFonts w:hint="eastAsia" w:ascii="宋体" w:hAnsi="宋体"/>
          <w:color w:val="000000" w:themeColor="text1"/>
          <w:sz w:val="21"/>
          <w:szCs w:val="21"/>
          <w:highlight w:val="none"/>
          <w14:textFill>
            <w14:solidFill>
              <w14:schemeClr w14:val="tx1"/>
            </w14:solidFill>
          </w14:textFill>
        </w:rPr>
        <w:t>、行业协会</w:t>
      </w:r>
      <w:r>
        <w:rPr>
          <w:rFonts w:ascii="宋体" w:hAnsi="宋体"/>
          <w:color w:val="000000" w:themeColor="text1"/>
          <w:sz w:val="21"/>
          <w:szCs w:val="21"/>
          <w:highlight w:val="none"/>
          <w14:textFill>
            <w14:solidFill>
              <w14:schemeClr w14:val="tx1"/>
            </w14:solidFill>
          </w14:textFill>
        </w:rPr>
        <w:t>或</w:t>
      </w:r>
      <w:r>
        <w:rPr>
          <w:rFonts w:hint="eastAsia" w:ascii="宋体" w:hAnsi="宋体"/>
          <w:color w:val="000000" w:themeColor="text1"/>
          <w:sz w:val="21"/>
          <w:szCs w:val="21"/>
          <w:highlight w:val="none"/>
          <w14:textFill>
            <w14:solidFill>
              <w14:schemeClr w14:val="tx1"/>
            </w14:solidFill>
          </w14:textFill>
        </w:rPr>
        <w:t>其他</w:t>
      </w:r>
      <w:r>
        <w:rPr>
          <w:rFonts w:ascii="宋体" w:hAnsi="宋体"/>
          <w:color w:val="000000" w:themeColor="text1"/>
          <w:sz w:val="21"/>
          <w:szCs w:val="21"/>
          <w:highlight w:val="none"/>
          <w14:textFill>
            <w14:solidFill>
              <w14:schemeClr w14:val="tx1"/>
            </w14:solidFill>
          </w14:textFill>
        </w:rPr>
        <w:t>第三方进行调解，调解达成协议的，经双方签字并盖章后作为合同补充文件，双方均应遵照执行。</w:t>
      </w:r>
    </w:p>
    <w:p w14:paraId="26C4992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bookmarkStart w:id="762" w:name="_Toc351203629"/>
      <w:bookmarkStart w:id="763" w:name="_Toc296503149"/>
      <w:bookmarkStart w:id="764" w:name="_Toc296346650"/>
      <w:bookmarkStart w:id="765" w:name="_Toc337558843"/>
      <w:r>
        <w:rPr>
          <w:rFonts w:hint="eastAsia" w:ascii="宋体" w:hAnsi="宋体"/>
          <w:bCs/>
          <w:color w:val="000000" w:themeColor="text1"/>
          <w:sz w:val="21"/>
          <w:szCs w:val="21"/>
          <w:highlight w:val="none"/>
          <w14:textFill>
            <w14:solidFill>
              <w14:schemeClr w14:val="tx1"/>
            </w14:solidFill>
          </w14:textFill>
        </w:rPr>
        <w:t>17</w:t>
      </w:r>
      <w:r>
        <w:rPr>
          <w:rFonts w:ascii="宋体" w:hAnsi="宋体"/>
          <w:bCs/>
          <w:color w:val="000000" w:themeColor="text1"/>
          <w:sz w:val="21"/>
          <w:szCs w:val="21"/>
          <w:highlight w:val="none"/>
          <w14:textFill>
            <w14:solidFill>
              <w14:schemeClr w14:val="tx1"/>
            </w14:solidFill>
          </w14:textFill>
        </w:rPr>
        <w:t>.3</w:t>
      </w:r>
      <w:r>
        <w:rPr>
          <w:rFonts w:hint="eastAsia" w:ascii="宋体" w:hAnsi="宋体"/>
          <w:bCs/>
          <w:color w:val="000000" w:themeColor="text1"/>
          <w:sz w:val="21"/>
          <w:szCs w:val="21"/>
          <w:highlight w:val="non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争议评审</w:t>
      </w:r>
      <w:bookmarkEnd w:id="762"/>
    </w:p>
    <w:bookmarkEnd w:id="763"/>
    <w:bookmarkEnd w:id="764"/>
    <w:bookmarkEnd w:id="765"/>
    <w:p w14:paraId="5B23185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合同当事人在专用合同条款中约定采取争议评审方式解决争议</w:t>
      </w:r>
      <w:r>
        <w:rPr>
          <w:rFonts w:hint="eastAsia" w:ascii="宋体" w:hAnsi="宋体"/>
          <w:color w:val="000000" w:themeColor="text1"/>
          <w:sz w:val="21"/>
          <w:szCs w:val="21"/>
          <w:highlight w:val="none"/>
          <w14:textFill>
            <w14:solidFill>
              <w14:schemeClr w14:val="tx1"/>
            </w14:solidFill>
          </w14:textFill>
        </w:rPr>
        <w:t>以及评审规则，并</w:t>
      </w:r>
      <w:r>
        <w:rPr>
          <w:rFonts w:ascii="宋体" w:hAnsi="宋体"/>
          <w:color w:val="000000" w:themeColor="text1"/>
          <w:sz w:val="21"/>
          <w:szCs w:val="21"/>
          <w:highlight w:val="none"/>
          <w14:textFill>
            <w14:solidFill>
              <w14:schemeClr w14:val="tx1"/>
            </w14:solidFill>
          </w14:textFill>
        </w:rPr>
        <w:t xml:space="preserve">按下列约定执行： </w:t>
      </w:r>
    </w:p>
    <w:p w14:paraId="4DCD632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.3.1 争议评审小组的确定</w:t>
      </w:r>
    </w:p>
    <w:p w14:paraId="74B4B26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14:paraId="092AF7E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themeColor="text1"/>
          <w:sz w:val="21"/>
          <w:szCs w:val="21"/>
          <w:highlight w:val="none"/>
          <w14:textFill>
            <w14:solidFill>
              <w14:schemeClr w14:val="tx1"/>
            </w14:solidFill>
          </w14:textFill>
        </w:rPr>
        <w:t>评审</w:t>
      </w:r>
      <w:r>
        <w:rPr>
          <w:rFonts w:ascii="宋体" w:hAnsi="宋体"/>
          <w:color w:val="000000" w:themeColor="text1"/>
          <w:sz w:val="21"/>
          <w:szCs w:val="21"/>
          <w:highlight w:val="none"/>
          <w14:textFill>
            <w14:solidFill>
              <w14:schemeClr w14:val="tx1"/>
            </w14:solidFill>
          </w14:textFill>
        </w:rPr>
        <w:t xml:space="preserve">机构指定第三名首席争议评审员。 </w:t>
      </w:r>
    </w:p>
    <w:p w14:paraId="2D2A8B7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除专用合同条款另有约定外，评审</w:t>
      </w:r>
      <w:r>
        <w:rPr>
          <w:rFonts w:hint="eastAsia" w:ascii="宋体" w:hAnsi="宋体"/>
          <w:color w:val="000000" w:themeColor="text1"/>
          <w:sz w:val="21"/>
          <w:szCs w:val="21"/>
          <w:highlight w:val="none"/>
          <w14:textFill>
            <w14:solidFill>
              <w14:schemeClr w14:val="tx1"/>
            </w14:solidFill>
          </w14:textFill>
        </w:rPr>
        <w:t>所发生的费用</w:t>
      </w:r>
      <w:r>
        <w:rPr>
          <w:rFonts w:ascii="宋体" w:hAnsi="宋体"/>
          <w:color w:val="000000" w:themeColor="text1"/>
          <w:sz w:val="21"/>
          <w:szCs w:val="21"/>
          <w:highlight w:val="none"/>
          <w14:textFill>
            <w14:solidFill>
              <w14:schemeClr w14:val="tx1"/>
            </w14:solidFill>
          </w14:textFill>
        </w:rPr>
        <w:t>由发包人和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人各承担一半。</w:t>
      </w:r>
    </w:p>
    <w:p w14:paraId="1E88142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.3.2 争议评审小组的决定</w:t>
      </w:r>
    </w:p>
    <w:p w14:paraId="7AD739F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标准及</w:t>
      </w:r>
      <w:r>
        <w:rPr>
          <w:rFonts w:hint="eastAsia" w:ascii="宋体" w:hAnsi="宋体"/>
          <w:color w:val="000000" w:themeColor="text1"/>
          <w:sz w:val="21"/>
          <w:szCs w:val="21"/>
          <w:highlight w:val="none"/>
          <w14:textFill>
            <w14:solidFill>
              <w14:schemeClr w14:val="tx1"/>
            </w14:solidFill>
          </w14:textFill>
        </w:rPr>
        <w:t>行业</w:t>
      </w:r>
      <w:r>
        <w:rPr>
          <w:rFonts w:ascii="宋体" w:hAnsi="宋体"/>
          <w:color w:val="000000" w:themeColor="text1"/>
          <w:sz w:val="21"/>
          <w:szCs w:val="21"/>
          <w:highlight w:val="none"/>
          <w14:textFill>
            <w14:solidFill>
              <w14:schemeClr w14:val="tx1"/>
            </w14:solidFill>
          </w14:textFill>
        </w:rPr>
        <w:t>惯例等，自收到争议评审申请报告后14天内作出书面决定，并说明理由。合同当事人可以在专用合同条款中对本事项另行约定。</w:t>
      </w:r>
    </w:p>
    <w:p w14:paraId="64B06A8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.3.3 争议评审小组决定的效力</w:t>
      </w:r>
    </w:p>
    <w:p w14:paraId="4F1D1A3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争议评审小组作出的书面决定经合同当事人签字确认后，对双方具有约束力，双方应遵照执行。</w:t>
      </w:r>
    </w:p>
    <w:p w14:paraId="17B8642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任何一方当事人不接受争议评审小组决定</w:t>
      </w:r>
      <w:r>
        <w:rPr>
          <w:rFonts w:hint="eastAsia" w:ascii="宋体" w:hAnsi="宋体"/>
          <w:color w:val="000000" w:themeColor="text1"/>
          <w:sz w:val="21"/>
          <w:szCs w:val="21"/>
          <w:highlight w:val="none"/>
          <w14:textFill>
            <w14:solidFill>
              <w14:schemeClr w14:val="tx1"/>
            </w14:solidFill>
          </w14:textFill>
        </w:rPr>
        <w:t>或不履行争议评审小组决定的</w:t>
      </w:r>
      <w:r>
        <w:rPr>
          <w:rFonts w:ascii="宋体" w:hAnsi="宋体"/>
          <w:color w:val="000000" w:themeColor="text1"/>
          <w:sz w:val="21"/>
          <w:szCs w:val="21"/>
          <w:highlight w:val="none"/>
          <w14:textFill>
            <w14:solidFill>
              <w14:schemeClr w14:val="tx1"/>
            </w14:solidFill>
          </w14:textFill>
        </w:rPr>
        <w:t>，双方可选择采用其他争议解决方式。</w:t>
      </w:r>
    </w:p>
    <w:p w14:paraId="245BCB7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bookmarkStart w:id="766" w:name="_Toc351203630"/>
      <w:bookmarkStart w:id="767" w:name="_Toc296503150"/>
      <w:bookmarkStart w:id="768" w:name="_Toc296346651"/>
      <w:bookmarkStart w:id="769" w:name="_Toc337558844"/>
      <w:r>
        <w:rPr>
          <w:rFonts w:hint="eastAsia" w:ascii="宋体" w:hAnsi="宋体"/>
          <w:bCs/>
          <w:color w:val="000000" w:themeColor="text1"/>
          <w:sz w:val="21"/>
          <w:szCs w:val="21"/>
          <w:highlight w:val="none"/>
          <w14:textFill>
            <w14:solidFill>
              <w14:schemeClr w14:val="tx1"/>
            </w14:solidFill>
          </w14:textFill>
        </w:rPr>
        <w:t>17</w:t>
      </w:r>
      <w:r>
        <w:rPr>
          <w:rFonts w:ascii="宋体" w:hAnsi="宋体"/>
          <w:bCs/>
          <w:color w:val="000000" w:themeColor="text1"/>
          <w:sz w:val="21"/>
          <w:szCs w:val="21"/>
          <w:highlight w:val="none"/>
          <w14:textFill>
            <w14:solidFill>
              <w14:schemeClr w14:val="tx1"/>
            </w14:solidFill>
          </w14:textFill>
        </w:rPr>
        <w:t>.4</w:t>
      </w:r>
      <w:r>
        <w:rPr>
          <w:rFonts w:hint="eastAsia" w:ascii="宋体" w:hAnsi="宋体"/>
          <w:bCs/>
          <w:color w:val="000000" w:themeColor="text1"/>
          <w:sz w:val="21"/>
          <w:szCs w:val="21"/>
          <w:highlight w:val="none"/>
          <w14:textFill>
            <w14:solidFill>
              <w14:schemeClr w14:val="tx1"/>
            </w14:solidFill>
          </w14:textFill>
        </w:rPr>
        <w:t xml:space="preserve"> </w:t>
      </w:r>
      <w:r>
        <w:rPr>
          <w:rFonts w:ascii="宋体" w:hAnsi="宋体"/>
          <w:bCs/>
          <w:color w:val="000000" w:themeColor="text1"/>
          <w:sz w:val="21"/>
          <w:szCs w:val="21"/>
          <w:highlight w:val="none"/>
          <w14:textFill>
            <w14:solidFill>
              <w14:schemeClr w14:val="tx1"/>
            </w14:solidFill>
          </w14:textFill>
        </w:rPr>
        <w:t>仲裁或诉讼</w:t>
      </w:r>
      <w:bookmarkEnd w:id="766"/>
    </w:p>
    <w:bookmarkEnd w:id="767"/>
    <w:bookmarkEnd w:id="768"/>
    <w:bookmarkEnd w:id="769"/>
    <w:p w14:paraId="6ACE043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因合同及合同有关事项产生的争议，合同当事人可以在专用合同条款中约定以下一种方式解决争议：</w:t>
      </w:r>
    </w:p>
    <w:p w14:paraId="2F5B0A7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（1）向约定的仲裁委员会申请仲裁；</w:t>
      </w:r>
    </w:p>
    <w:p w14:paraId="0A5B7E1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（2）向有管辖权的人民法院起诉。</w:t>
      </w:r>
    </w:p>
    <w:p w14:paraId="2EA08802">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770" w:name="_Toc351203631"/>
      <w:bookmarkStart w:id="771" w:name="_Toc296503152"/>
      <w:bookmarkStart w:id="772" w:name="_Toc296346653"/>
      <w:bookmarkStart w:id="773" w:name="_Toc337558845"/>
      <w:r>
        <w:rPr>
          <w:rFonts w:hint="eastAsia" w:ascii="宋体" w:hAnsi="宋体"/>
          <w:b w:val="0"/>
          <w:color w:val="000000" w:themeColor="text1"/>
          <w:sz w:val="21"/>
          <w:szCs w:val="21"/>
          <w:highlight w:val="none"/>
          <w14:textFill>
            <w14:solidFill>
              <w14:schemeClr w14:val="tx1"/>
            </w14:solidFill>
          </w14:textFill>
        </w:rPr>
        <w:t>17</w:t>
      </w:r>
      <w:r>
        <w:rPr>
          <w:rFonts w:ascii="宋体" w:hAnsi="宋体"/>
          <w:b w:val="0"/>
          <w:color w:val="000000" w:themeColor="text1"/>
          <w:sz w:val="21"/>
          <w:szCs w:val="21"/>
          <w:highlight w:val="none"/>
          <w14:textFill>
            <w14:solidFill>
              <w14:schemeClr w14:val="tx1"/>
            </w14:solidFill>
          </w14:textFill>
        </w:rPr>
        <w:t>.5争议解决条款效力</w:t>
      </w:r>
      <w:bookmarkEnd w:id="770"/>
    </w:p>
    <w:bookmarkEnd w:id="771"/>
    <w:bookmarkEnd w:id="772"/>
    <w:bookmarkEnd w:id="773"/>
    <w:p w14:paraId="75C1FFA0">
      <w:pPr>
        <w:spacing w:line="360" w:lineRule="auto"/>
        <w:ind w:firstLine="420" w:firstLineChars="200"/>
        <w:jc w:val="left"/>
        <w:rPr>
          <w:rFonts w:ascii="宋体" w:hAnsi="宋体"/>
          <w:color w:val="000000" w:themeColor="text1"/>
          <w:kern w:val="2"/>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合同有关争议解决的条款独立存在，合同的变更、解除、终止、无效或者被撤销均不影响其效力</w:t>
      </w:r>
      <w:r>
        <w:rPr>
          <w:rFonts w:hint="eastAsia" w:ascii="宋体" w:hAnsi="宋体"/>
          <w:color w:val="000000" w:themeColor="text1"/>
          <w:kern w:val="2"/>
          <w:sz w:val="21"/>
          <w:szCs w:val="21"/>
          <w:highlight w:val="none"/>
          <w14:textFill>
            <w14:solidFill>
              <w14:schemeClr w14:val="tx1"/>
            </w14:solidFill>
          </w14:textFill>
        </w:rPr>
        <w:t>。</w:t>
      </w:r>
    </w:p>
    <w:p w14:paraId="3250D421">
      <w:pPr>
        <w:pStyle w:val="4"/>
        <w:jc w:val="center"/>
        <w:rPr>
          <w:rFonts w:ascii="宋体" w:hAnsi="宋体"/>
          <w:color w:val="000000" w:themeColor="text1"/>
          <w:highlight w:val="none"/>
          <w14:textFill>
            <w14:solidFill>
              <w14:schemeClr w14:val="tx1"/>
            </w14:solidFill>
          </w14:textFill>
        </w:rPr>
      </w:pPr>
    </w:p>
    <w:p w14:paraId="51F5A341">
      <w:pPr>
        <w:pStyle w:val="4"/>
        <w:jc w:val="center"/>
        <w:rPr>
          <w:rFonts w:ascii="宋体" w:hAnsi="宋体"/>
          <w:color w:val="000000" w:themeColor="text1"/>
          <w:highlight w:val="none"/>
          <w14:textFill>
            <w14:solidFill>
              <w14:schemeClr w14:val="tx1"/>
            </w14:solidFill>
          </w14:textFill>
        </w:rPr>
      </w:pPr>
    </w:p>
    <w:p w14:paraId="3783B2DA">
      <w:pPr>
        <w:pStyle w:val="4"/>
        <w:jc w:val="center"/>
        <w:rPr>
          <w:rFonts w:ascii="宋体" w:hAnsi="宋体"/>
          <w:color w:val="000000" w:themeColor="text1"/>
          <w:highlight w:val="none"/>
          <w14:textFill>
            <w14:solidFill>
              <w14:schemeClr w14:val="tx1"/>
            </w14:solidFill>
          </w14:textFill>
        </w:rPr>
      </w:pPr>
    </w:p>
    <w:p w14:paraId="1AD5FD82">
      <w:pPr>
        <w:pStyle w:val="4"/>
        <w:jc w:val="center"/>
        <w:rPr>
          <w:rFonts w:ascii="宋体" w:hAnsi="宋体"/>
          <w:color w:val="000000" w:themeColor="text1"/>
          <w:highlight w:val="none"/>
          <w14:textFill>
            <w14:solidFill>
              <w14:schemeClr w14:val="tx1"/>
            </w14:solidFill>
          </w14:textFill>
        </w:rPr>
      </w:pPr>
    </w:p>
    <w:p w14:paraId="4A1813B4">
      <w:pPr>
        <w:pStyle w:val="4"/>
        <w:jc w:val="center"/>
        <w:rPr>
          <w:rFonts w:ascii="宋体" w:hAnsi="宋体"/>
          <w:color w:val="000000" w:themeColor="text1"/>
          <w:highlight w:val="none"/>
          <w14:textFill>
            <w14:solidFill>
              <w14:schemeClr w14:val="tx1"/>
            </w14:solidFill>
          </w14:textFill>
        </w:rPr>
      </w:pPr>
    </w:p>
    <w:p w14:paraId="7DAC2EE8">
      <w:pPr>
        <w:pStyle w:val="4"/>
        <w:jc w:val="center"/>
        <w:rPr>
          <w:rFonts w:ascii="宋体" w:hAnsi="宋体"/>
          <w:color w:val="000000" w:themeColor="text1"/>
          <w:highlight w:val="none"/>
          <w14:textFill>
            <w14:solidFill>
              <w14:schemeClr w14:val="tx1"/>
            </w14:solidFill>
          </w14:textFill>
        </w:rPr>
      </w:pPr>
    </w:p>
    <w:p w14:paraId="0AAA0B10">
      <w:pPr>
        <w:rPr>
          <w:rFonts w:ascii="宋体" w:hAnsi="宋体"/>
          <w:color w:val="000000" w:themeColor="text1"/>
          <w:highlight w:val="none"/>
          <w14:textFill>
            <w14:solidFill>
              <w14:schemeClr w14:val="tx1"/>
            </w14:solidFill>
          </w14:textFill>
        </w:rPr>
      </w:pPr>
    </w:p>
    <w:p w14:paraId="3B0C6FAD">
      <w:pPr>
        <w:pStyle w:val="4"/>
        <w:jc w:val="center"/>
        <w:rPr>
          <w:rFonts w:ascii="黑体" w:hAnsi="黑体" w:eastAsia="黑体"/>
          <w:b w:val="0"/>
          <w:color w:val="000000" w:themeColor="text1"/>
          <w:sz w:val="28"/>
          <w:szCs w:val="28"/>
          <w:highlight w:val="none"/>
          <w14:textFill>
            <w14:solidFill>
              <w14:schemeClr w14:val="tx1"/>
            </w14:solidFill>
          </w14:textFill>
        </w:rPr>
      </w:pPr>
      <w:bookmarkStart w:id="774" w:name="_Toc4689"/>
      <w:bookmarkStart w:id="775" w:name="_Toc19820"/>
      <w:bookmarkStart w:id="776" w:name="_Toc465"/>
      <w:r>
        <w:rPr>
          <w:rFonts w:ascii="黑体" w:hAnsi="黑体" w:eastAsia="黑体"/>
          <w:b w:val="0"/>
          <w:color w:val="000000" w:themeColor="text1"/>
          <w:sz w:val="28"/>
          <w:szCs w:val="28"/>
          <w:highlight w:val="none"/>
          <w14:textFill>
            <w14:solidFill>
              <w14:schemeClr w14:val="tx1"/>
            </w14:solidFill>
          </w14:textFill>
        </w:rPr>
        <w:t>通用合同条款</w:t>
      </w:r>
      <w:r>
        <w:rPr>
          <w:rFonts w:hint="eastAsia" w:ascii="黑体" w:hAnsi="黑体" w:eastAsia="黑体"/>
          <w:b w:val="0"/>
          <w:color w:val="000000" w:themeColor="text1"/>
          <w:sz w:val="28"/>
          <w:szCs w:val="28"/>
          <w:highlight w:val="none"/>
          <w14:textFill>
            <w14:solidFill>
              <w14:schemeClr w14:val="tx1"/>
            </w14:solidFill>
          </w14:textFill>
        </w:rPr>
        <w:t>（适用</w:t>
      </w:r>
      <w:r>
        <w:rPr>
          <w:rFonts w:hint="eastAsia" w:ascii="黑体" w:hAnsi="黑体" w:eastAsia="黑体"/>
          <w:b w:val="0"/>
          <w:color w:val="000000" w:themeColor="text1"/>
          <w:sz w:val="28"/>
          <w:szCs w:val="28"/>
          <w:highlight w:val="none"/>
          <w:lang w:val="en-US" w:eastAsia="zh-CN"/>
          <w14:textFill>
            <w14:solidFill>
              <w14:schemeClr w14:val="tx1"/>
            </w14:solidFill>
          </w14:textFill>
        </w:rPr>
        <w:t>于</w:t>
      </w:r>
      <w:r>
        <w:rPr>
          <w:rFonts w:hint="eastAsia" w:ascii="黑体" w:hAnsi="黑体" w:eastAsia="黑体"/>
          <w:b w:val="0"/>
          <w:color w:val="000000" w:themeColor="text1"/>
          <w:sz w:val="28"/>
          <w:szCs w:val="28"/>
          <w:highlight w:val="none"/>
          <w14:textFill>
            <w14:solidFill>
              <w14:schemeClr w14:val="tx1"/>
            </w14:solidFill>
          </w14:textFill>
        </w:rPr>
        <w:t>市政基础设施工程）</w:t>
      </w:r>
      <w:bookmarkEnd w:id="774"/>
      <w:bookmarkEnd w:id="775"/>
      <w:bookmarkEnd w:id="776"/>
    </w:p>
    <w:p w14:paraId="16CB5F73">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1.一般约定</w:t>
      </w:r>
    </w:p>
    <w:p w14:paraId="72DBA52A">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1.1</w:t>
      </w: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词语定义与解释</w:t>
      </w:r>
    </w:p>
    <w:p w14:paraId="2B09C8D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合同协议书、通用合同条款、专用合同条款中的下列词语具有本款所赋予的含义：</w:t>
      </w:r>
    </w:p>
    <w:p w14:paraId="528CEC58">
      <w:pPr>
        <w:autoSpaceDE w:val="0"/>
        <w:autoSpaceDN w:val="0"/>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1.1.1 合同</w:t>
      </w:r>
    </w:p>
    <w:p w14:paraId="5FC6518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1.1.1.1 合同：是指根据法律规定和合同当事人约定具有约束力的文件，构成合同的文件包括合同协议书、专用合同条款及其附件、通用合同条款、中标通知书（如果有）、投标函及其附录（如果有）</w:t>
      </w:r>
      <w:r>
        <w:rPr>
          <w:rFonts w:hint="eastAsia" w:ascii="宋体" w:hAnsi="宋体"/>
          <w:color w:val="000000" w:themeColor="text1"/>
          <w:sz w:val="21"/>
          <w:szCs w:val="21"/>
          <w:highlight w:val="none"/>
          <w14:textFill>
            <w14:solidFill>
              <w14:schemeClr w14:val="tx1"/>
            </w14:solidFill>
          </w14:textFill>
        </w:rPr>
        <w:t>、发包人要求、</w:t>
      </w:r>
      <w:r>
        <w:rPr>
          <w:rFonts w:ascii="宋体" w:hAnsi="宋体"/>
          <w:color w:val="000000" w:themeColor="text1"/>
          <w:sz w:val="21"/>
          <w:szCs w:val="21"/>
          <w:highlight w:val="none"/>
          <w14:textFill>
            <w14:solidFill>
              <w14:schemeClr w14:val="tx1"/>
            </w14:solidFill>
          </w14:textFill>
        </w:rPr>
        <w:t>技术标准</w:t>
      </w:r>
      <w:r>
        <w:rPr>
          <w:rFonts w:hint="eastAsia" w:ascii="宋体" w:hAnsi="宋体"/>
          <w:color w:val="000000" w:themeColor="text1"/>
          <w:sz w:val="21"/>
          <w:szCs w:val="21"/>
          <w:highlight w:val="none"/>
          <w14:textFill>
            <w14:solidFill>
              <w14:schemeClr w14:val="tx1"/>
            </w14:solidFill>
          </w14:textFill>
        </w:rPr>
        <w:t>、发包人提供的上一阶段图纸（如果有）</w:t>
      </w:r>
      <w:r>
        <w:rPr>
          <w:rFonts w:ascii="宋体" w:hAnsi="宋体"/>
          <w:color w:val="000000" w:themeColor="text1"/>
          <w:sz w:val="21"/>
          <w:szCs w:val="21"/>
          <w:highlight w:val="none"/>
          <w14:textFill>
            <w14:solidFill>
              <w14:schemeClr w14:val="tx1"/>
            </w14:solidFill>
          </w14:textFill>
        </w:rPr>
        <w:t>以及其他合同文件。</w:t>
      </w:r>
    </w:p>
    <w:p w14:paraId="3829385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1.1.1.2 合同协议书：是指构成合同的由发包人和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人共同签署的称为“合同协议书”的书面文件</w:t>
      </w:r>
      <w:r>
        <w:rPr>
          <w:rFonts w:hint="eastAsia" w:ascii="宋体" w:hAnsi="宋体"/>
          <w:color w:val="000000" w:themeColor="text1"/>
          <w:sz w:val="21"/>
          <w:szCs w:val="21"/>
          <w:highlight w:val="none"/>
          <w14:textFill>
            <w14:solidFill>
              <w14:schemeClr w14:val="tx1"/>
            </w14:solidFill>
          </w14:textFill>
        </w:rPr>
        <w:t>。</w:t>
      </w:r>
    </w:p>
    <w:p w14:paraId="72C57C8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1.1.1.3 </w:t>
      </w:r>
      <w:r>
        <w:rPr>
          <w:rFonts w:ascii="宋体" w:hAnsi="宋体"/>
          <w:color w:val="000000" w:themeColor="text1"/>
          <w:sz w:val="21"/>
          <w:szCs w:val="21"/>
          <w:highlight w:val="none"/>
          <w14:textFill>
            <w14:solidFill>
              <w14:schemeClr w14:val="tx1"/>
            </w14:solidFill>
          </w14:textFill>
        </w:rPr>
        <w:t>中标通知书：是指构成合同的</w:t>
      </w:r>
      <w:r>
        <w:rPr>
          <w:rFonts w:hint="eastAsia" w:ascii="宋体" w:hAnsi="宋体"/>
          <w:color w:val="000000" w:themeColor="text1"/>
          <w:sz w:val="21"/>
          <w:szCs w:val="21"/>
          <w:highlight w:val="none"/>
          <w14:textFill>
            <w14:solidFill>
              <w14:schemeClr w14:val="tx1"/>
            </w14:solidFill>
          </w14:textFill>
        </w:rPr>
        <w:t>由</w:t>
      </w:r>
      <w:r>
        <w:rPr>
          <w:rFonts w:ascii="宋体" w:hAnsi="宋体"/>
          <w:color w:val="000000" w:themeColor="text1"/>
          <w:sz w:val="21"/>
          <w:szCs w:val="21"/>
          <w:highlight w:val="none"/>
          <w14:textFill>
            <w14:solidFill>
              <w14:schemeClr w14:val="tx1"/>
            </w14:solidFill>
          </w14:textFill>
        </w:rPr>
        <w:t>发包人通知</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人中标的书面文件。</w:t>
      </w:r>
    </w:p>
    <w:p w14:paraId="6CEB355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投标函：是指构成合同的由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人填写并签署的用于投标的称为“投标函”的文件。</w:t>
      </w:r>
    </w:p>
    <w:p w14:paraId="11FFD00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投标函附录：是指构成合同的附在投标函后的称为“投标函附录”的文件。</w:t>
      </w:r>
    </w:p>
    <w:p w14:paraId="7C2B2E1F">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6 发包人要求：是指构成合同文件组成部分的，由发包人就工程项目的目的、范围、功能要求及工程设计文件审查的范围和内容等提出相应要求的书面文件，又称设计任务书。</w:t>
      </w:r>
    </w:p>
    <w:p w14:paraId="1EBAA45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7</w:t>
      </w:r>
      <w:r>
        <w:rPr>
          <w:rFonts w:ascii="宋体" w:hAnsi="宋体"/>
          <w:color w:val="000000" w:themeColor="text1"/>
          <w:sz w:val="21"/>
          <w:szCs w:val="21"/>
          <w:highlight w:val="none"/>
          <w14:textFill>
            <w14:solidFill>
              <w14:schemeClr w14:val="tx1"/>
            </w14:solidFill>
          </w14:textFill>
        </w:rPr>
        <w:t xml:space="preserve"> 技术标准：是指构成合同的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应当遵守的或指导</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的国家、行业或地方的技术标准和要求，以及合同约定的技术标准和要求。</w:t>
      </w:r>
    </w:p>
    <w:p w14:paraId="376B0D7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8 </w:t>
      </w:r>
      <w:r>
        <w:rPr>
          <w:rFonts w:ascii="宋体" w:hAnsi="宋体"/>
          <w:color w:val="000000" w:themeColor="text1"/>
          <w:sz w:val="21"/>
          <w:szCs w:val="21"/>
          <w:highlight w:val="none"/>
          <w14:textFill>
            <w14:solidFill>
              <w14:schemeClr w14:val="tx1"/>
            </w14:solidFill>
          </w14:textFill>
        </w:rPr>
        <w:t>其他合同文件：是指经合同当事人约定的与工程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有关的具有合同约束力的文件或书面协议。合同当事人可以在专用合同条款中进行约定。</w:t>
      </w:r>
    </w:p>
    <w:p w14:paraId="3C08EE8D">
      <w:pPr>
        <w:autoSpaceDE w:val="0"/>
        <w:autoSpaceDN w:val="0"/>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1.1.2 合同当事人及其他相关方</w:t>
      </w:r>
    </w:p>
    <w:p w14:paraId="08BE9CB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1.1.2.1 合同当事人：是指发包人和（或）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p>
    <w:p w14:paraId="268589E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1.1.2.2 发包人：是指与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人签订合同协议书的当事人及取得该当事人资格的合法继承人。</w:t>
      </w:r>
    </w:p>
    <w:p w14:paraId="1B211BC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1.1.2.3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人：是指与发包人签订合同协议书的，具有相应工程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资质的当事人及取得该当事人资格的合法继承人。</w:t>
      </w:r>
    </w:p>
    <w:p w14:paraId="4781750B">
      <w:pPr>
        <w:spacing w:line="360" w:lineRule="auto"/>
        <w:ind w:firstLine="409" w:firstLineChars="195"/>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w:t>
      </w:r>
      <w:r>
        <w:rPr>
          <w:rFonts w:hint="eastAsia" w:ascii="宋体" w:hAnsi="宋体"/>
          <w:color w:val="000000" w:themeColor="text1"/>
          <w:sz w:val="21"/>
          <w:szCs w:val="21"/>
          <w:highlight w:val="none"/>
          <w14:textFill>
            <w14:solidFill>
              <w14:schemeClr w14:val="tx1"/>
            </w14:solidFill>
          </w14:textFill>
        </w:rPr>
        <w:t xml:space="preserve">4 </w:t>
      </w:r>
      <w:r>
        <w:rPr>
          <w:rFonts w:ascii="宋体" w:hAnsi="宋体"/>
          <w:color w:val="000000" w:themeColor="text1"/>
          <w:sz w:val="21"/>
          <w:szCs w:val="21"/>
          <w:highlight w:val="none"/>
          <w14:textFill>
            <w14:solidFill>
              <w14:schemeClr w14:val="tx1"/>
            </w14:solidFill>
          </w14:textFill>
        </w:rPr>
        <w:t>分包人：是指</w:t>
      </w:r>
      <w:r>
        <w:rPr>
          <w:rFonts w:hint="eastAsia" w:ascii="宋体" w:hAnsi="宋体"/>
          <w:color w:val="000000" w:themeColor="text1"/>
          <w:sz w:val="21"/>
          <w:szCs w:val="21"/>
          <w:highlight w:val="none"/>
          <w14:textFill>
            <w14:solidFill>
              <w14:schemeClr w14:val="tx1"/>
            </w14:solidFill>
          </w14:textFill>
        </w:rPr>
        <w:t>按照法律规定和</w:t>
      </w:r>
      <w:r>
        <w:rPr>
          <w:rFonts w:ascii="宋体" w:hAnsi="宋体"/>
          <w:color w:val="000000" w:themeColor="text1"/>
          <w:sz w:val="21"/>
          <w:szCs w:val="21"/>
          <w:highlight w:val="none"/>
          <w14:textFill>
            <w14:solidFill>
              <w14:schemeClr w14:val="tx1"/>
            </w14:solidFill>
          </w14:textFill>
        </w:rPr>
        <w:t>合同约定，分包</w:t>
      </w:r>
      <w:r>
        <w:rPr>
          <w:rFonts w:hint="eastAsia" w:ascii="宋体" w:hAnsi="宋体"/>
          <w:color w:val="000000" w:themeColor="text1"/>
          <w:sz w:val="21"/>
          <w:szCs w:val="21"/>
          <w:highlight w:val="none"/>
          <w14:textFill>
            <w14:solidFill>
              <w14:schemeClr w14:val="tx1"/>
            </w14:solidFill>
          </w14:textFill>
        </w:rPr>
        <w:t>部分</w:t>
      </w:r>
      <w:r>
        <w:rPr>
          <w:rFonts w:ascii="宋体" w:hAnsi="宋体"/>
          <w:color w:val="000000" w:themeColor="text1"/>
          <w:sz w:val="21"/>
          <w:szCs w:val="21"/>
          <w:highlight w:val="none"/>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设计工作</w:t>
      </w:r>
      <w:r>
        <w:rPr>
          <w:rFonts w:ascii="宋体" w:hAnsi="宋体"/>
          <w:color w:val="000000" w:themeColor="text1"/>
          <w:sz w:val="21"/>
          <w:szCs w:val="21"/>
          <w:highlight w:val="none"/>
          <w14:textFill>
            <w14:solidFill>
              <w14:schemeClr w14:val="tx1"/>
            </w14:solidFill>
          </w14:textFill>
        </w:rPr>
        <w:t>，并与</w:t>
      </w:r>
      <w:r>
        <w:rPr>
          <w:rFonts w:hint="eastAsia" w:ascii="宋体" w:hAnsi="宋体"/>
          <w:color w:val="000000" w:themeColor="text1"/>
          <w:sz w:val="21"/>
          <w:szCs w:val="21"/>
          <w:highlight w:val="none"/>
          <w14:textFill>
            <w14:solidFill>
              <w14:schemeClr w14:val="tx1"/>
            </w14:solidFill>
          </w14:textFill>
        </w:rPr>
        <w:t>设计人</w:t>
      </w:r>
      <w:r>
        <w:rPr>
          <w:rFonts w:ascii="宋体" w:hAnsi="宋体"/>
          <w:color w:val="000000" w:themeColor="text1"/>
          <w:sz w:val="21"/>
          <w:szCs w:val="21"/>
          <w:highlight w:val="none"/>
          <w14:textFill>
            <w14:solidFill>
              <w14:schemeClr w14:val="tx1"/>
            </w14:solidFill>
          </w14:textFill>
        </w:rPr>
        <w:t>签订分包合同的具有相应资质的法人。</w:t>
      </w:r>
    </w:p>
    <w:p w14:paraId="4722057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发包人代表：是指由发包人</w:t>
      </w:r>
      <w:r>
        <w:rPr>
          <w:rFonts w:hint="eastAsia" w:ascii="宋体" w:hAnsi="宋体"/>
          <w:color w:val="000000" w:themeColor="text1"/>
          <w:sz w:val="21"/>
          <w:szCs w:val="21"/>
          <w:highlight w:val="none"/>
          <w14:textFill>
            <w14:solidFill>
              <w14:schemeClr w14:val="tx1"/>
            </w14:solidFill>
          </w14:textFill>
        </w:rPr>
        <w:t>指定负责工程设计方面</w:t>
      </w:r>
      <w:r>
        <w:rPr>
          <w:rFonts w:ascii="宋体" w:hAnsi="宋体"/>
          <w:color w:val="000000" w:themeColor="text1"/>
          <w:sz w:val="21"/>
          <w:szCs w:val="21"/>
          <w:highlight w:val="none"/>
          <w14:textFill>
            <w14:solidFill>
              <w14:schemeClr w14:val="tx1"/>
            </w14:solidFill>
          </w14:textFill>
        </w:rPr>
        <w:t>在发包人授权范围内行使发包人权利的人。</w:t>
      </w:r>
    </w:p>
    <w:p w14:paraId="1E798CB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1.1.2.</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 项目负责人：是指由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人任命</w:t>
      </w:r>
      <w:r>
        <w:rPr>
          <w:rFonts w:hint="eastAsia" w:ascii="宋体" w:hAnsi="宋体"/>
          <w:color w:val="000000" w:themeColor="text1"/>
          <w:sz w:val="21"/>
          <w:szCs w:val="21"/>
          <w:highlight w:val="none"/>
          <w14:textFill>
            <w14:solidFill>
              <w14:schemeClr w14:val="tx1"/>
            </w14:solidFill>
          </w14:textFill>
        </w:rPr>
        <w:t>负责工程设计</w:t>
      </w:r>
      <w:r>
        <w:rPr>
          <w:rFonts w:ascii="宋体" w:hAnsi="宋体"/>
          <w:color w:val="000000" w:themeColor="text1"/>
          <w:sz w:val="21"/>
          <w:szCs w:val="21"/>
          <w:highlight w:val="none"/>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人授权范围内负责合同履行，且按照法律规定具有相应资格的</w:t>
      </w:r>
      <w:r>
        <w:rPr>
          <w:rFonts w:hint="eastAsia" w:ascii="宋体" w:hAnsi="宋体"/>
          <w:color w:val="000000" w:themeColor="text1"/>
          <w:sz w:val="21"/>
          <w:szCs w:val="21"/>
          <w:highlight w:val="none"/>
          <w14:textFill>
            <w14:solidFill>
              <w14:schemeClr w14:val="tx1"/>
            </w14:solidFill>
          </w14:textFill>
        </w:rPr>
        <w:t>项目主持</w:t>
      </w:r>
      <w:r>
        <w:rPr>
          <w:rFonts w:ascii="宋体" w:hAnsi="宋体"/>
          <w:color w:val="000000" w:themeColor="text1"/>
          <w:sz w:val="21"/>
          <w:szCs w:val="21"/>
          <w:highlight w:val="none"/>
          <w14:textFill>
            <w14:solidFill>
              <w14:schemeClr w14:val="tx1"/>
            </w14:solidFill>
          </w14:textFill>
        </w:rPr>
        <w:t>人。</w:t>
      </w:r>
    </w:p>
    <w:p w14:paraId="1AAA17E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1.1.2.7 联合体：是指两个以上设计人联合，以一个设计人身份为发包人提供工程设计服务的临时性组织。</w:t>
      </w:r>
    </w:p>
    <w:p w14:paraId="164A591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工程</w:t>
      </w:r>
      <w:r>
        <w:rPr>
          <w:rFonts w:hint="eastAsia" w:ascii="宋体" w:hAnsi="宋体"/>
          <w:color w:val="000000" w:themeColor="text1"/>
          <w:sz w:val="21"/>
          <w:szCs w:val="21"/>
          <w:highlight w:val="none"/>
          <w14:textFill>
            <w14:solidFill>
              <w14:schemeClr w14:val="tx1"/>
            </w14:solidFill>
          </w14:textFill>
        </w:rPr>
        <w:t>设计服务、资料与文件</w:t>
      </w:r>
    </w:p>
    <w:p w14:paraId="3E5B64E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1.1.3.1 工程设计服务：是指设计人按照合同约定履行的服务，包括工程设计基本服务、工程设计其他服务。</w:t>
      </w:r>
    </w:p>
    <w:p w14:paraId="4FD45D5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工程</w:t>
      </w:r>
      <w:r>
        <w:rPr>
          <w:rFonts w:hint="eastAsia" w:ascii="宋体" w:hAnsi="宋体"/>
          <w:color w:val="000000" w:themeColor="text1"/>
          <w:sz w:val="21"/>
          <w:szCs w:val="21"/>
          <w:highlight w:val="none"/>
          <w14:textFill>
            <w14:solidFill>
              <w14:schemeClr w14:val="tx1"/>
            </w14:solidFill>
          </w14:textFill>
        </w:rPr>
        <w:t>设计基本服务</w:t>
      </w:r>
      <w:r>
        <w:rPr>
          <w:rFonts w:ascii="宋体" w:hAnsi="宋体"/>
          <w:color w:val="000000" w:themeColor="text1"/>
          <w:sz w:val="21"/>
          <w:szCs w:val="21"/>
          <w:highlight w:val="none"/>
          <w14:textFill>
            <w14:solidFill>
              <w14:schemeClr w14:val="tx1"/>
            </w14:solidFill>
          </w14:textFill>
        </w:rPr>
        <w:t>：是指</w:t>
      </w:r>
      <w:r>
        <w:rPr>
          <w:rFonts w:hint="eastAsia" w:ascii="宋体" w:hAnsi="宋体"/>
          <w:color w:val="000000" w:themeColor="text1"/>
          <w:sz w:val="21"/>
          <w:szCs w:val="21"/>
          <w:highlight w:val="none"/>
          <w14:textFill>
            <w14:solidFill>
              <w14:schemeClr w14:val="tx1"/>
            </w14:solidFill>
          </w14:textFill>
        </w:rPr>
        <w:t>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14:paraId="084540C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6542FC7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1.1.3.4 暂停设计：是指发生设计人不能按照合同约定履行全部或部分义务情形而暂时中断工程设计服务的行为。</w:t>
      </w:r>
    </w:p>
    <w:p w14:paraId="08294BF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1.1.3.5 工程设计资料：是指</w:t>
      </w:r>
      <w:r>
        <w:rPr>
          <w:rFonts w:hint="eastAsia" w:ascii="宋体" w:hAnsi="宋体" w:cs="Courier New"/>
          <w:color w:val="000000" w:themeColor="text1"/>
          <w:sz w:val="21"/>
          <w:szCs w:val="21"/>
          <w:highlight w:val="none"/>
          <w14:textFill>
            <w14:solidFill>
              <w14:schemeClr w14:val="tx1"/>
            </w14:solidFill>
          </w14:textFill>
        </w:rPr>
        <w:t>根据合同约定，发包人向设计人提供的用于完成工程设计范围与内容所需要的资料。工程设计资料包括项目基础资料和现场障碍资料。</w:t>
      </w:r>
      <w:r>
        <w:rPr>
          <w:rFonts w:hint="eastAsia" w:ascii="宋体" w:hAnsi="宋体"/>
          <w:color w:val="000000" w:themeColor="text1"/>
          <w:sz w:val="21"/>
          <w:szCs w:val="21"/>
          <w:highlight w:val="none"/>
          <w14:textFill>
            <w14:solidFill>
              <w14:schemeClr w14:val="tx1"/>
            </w14:solidFill>
          </w14:textFill>
        </w:rPr>
        <w:t>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14:paraId="166FE308">
      <w:pPr>
        <w:pStyle w:val="25"/>
        <w:adjustRightInd/>
        <w:spacing w:after="0" w:line="360" w:lineRule="auto"/>
        <w:ind w:left="0" w:leftChars="0" w:firstLine="420" w:firstLineChars="200"/>
        <w:jc w:val="left"/>
        <w:textAlignment w:val="auto"/>
        <w:rPr>
          <w:rFonts w:ascii="宋体" w:hAnsi="宋体" w:cs="Courier New"/>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1.1.3.6 工程</w:t>
      </w:r>
      <w:r>
        <w:rPr>
          <w:rFonts w:hint="eastAsia" w:ascii="宋体" w:hAnsi="宋体" w:cs="Courier New"/>
          <w:color w:val="000000" w:themeColor="text1"/>
          <w:sz w:val="21"/>
          <w:szCs w:val="21"/>
          <w:highlight w:val="none"/>
          <w14:textFill>
            <w14:solidFill>
              <w14:schemeClr w14:val="tx1"/>
            </w14:solidFill>
          </w14:textFill>
        </w:rPr>
        <w:t>设计文件：指按照合同约定和技术要求，由设计人向发包人提供的阶段性成果、最终工作成果等，且应当采用合同中双方约定的载体。</w:t>
      </w:r>
    </w:p>
    <w:p w14:paraId="26EEA094">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日期和期限</w:t>
      </w:r>
    </w:p>
    <w:p w14:paraId="2A1E197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日期：包括计划</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日期和实际</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日期。计划</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日期是指合同协议书约定的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日期；实际</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日期是指</w:t>
      </w:r>
      <w:r>
        <w:rPr>
          <w:rFonts w:hint="eastAsia" w:ascii="宋体" w:hAnsi="宋体"/>
          <w:color w:val="000000" w:themeColor="text1"/>
          <w:sz w:val="21"/>
          <w:szCs w:val="21"/>
          <w:highlight w:val="none"/>
          <w14:textFill>
            <w14:solidFill>
              <w14:schemeClr w14:val="tx1"/>
            </w14:solidFill>
          </w14:textFill>
        </w:rPr>
        <w:t>发包人</w:t>
      </w:r>
      <w:r>
        <w:rPr>
          <w:rFonts w:ascii="宋体" w:hAnsi="宋体"/>
          <w:color w:val="000000" w:themeColor="text1"/>
          <w:sz w:val="21"/>
          <w:szCs w:val="21"/>
          <w:highlight w:val="none"/>
          <w14:textFill>
            <w14:solidFill>
              <w14:schemeClr w14:val="tx1"/>
            </w14:solidFill>
          </w14:textFill>
        </w:rPr>
        <w:t>发出的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通知中载明的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w:t>
      </w:r>
    </w:p>
    <w:p w14:paraId="7DD220A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日期：包括计划</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日期和实际</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日期。计划</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日期是指合同协议书约定的</w:t>
      </w:r>
      <w:r>
        <w:rPr>
          <w:rFonts w:hint="eastAsia" w:ascii="宋体" w:hAnsi="宋体"/>
          <w:color w:val="000000" w:themeColor="text1"/>
          <w:sz w:val="21"/>
          <w:szCs w:val="21"/>
          <w:highlight w:val="none"/>
          <w14:textFill>
            <w14:solidFill>
              <w14:schemeClr w14:val="tx1"/>
            </w14:solidFill>
          </w14:textFill>
        </w:rPr>
        <w:t>完成设计及相关服务的</w:t>
      </w:r>
      <w:r>
        <w:rPr>
          <w:rFonts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实际</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14:textFill>
            <w14:solidFill>
              <w14:schemeClr w14:val="tx1"/>
            </w14:solidFill>
          </w14:textFill>
        </w:rPr>
        <w:t>是指设计人交付全部或阶段性设计成果及提供相关服务日期</w:t>
      </w:r>
      <w:r>
        <w:rPr>
          <w:rFonts w:ascii="宋体" w:hAnsi="宋体"/>
          <w:color w:val="000000" w:themeColor="text1"/>
          <w:sz w:val="21"/>
          <w:szCs w:val="21"/>
          <w:highlight w:val="none"/>
          <w14:textFill>
            <w14:solidFill>
              <w14:schemeClr w14:val="tx1"/>
            </w14:solidFill>
          </w14:textFill>
        </w:rPr>
        <w:t xml:space="preserve">。 </w:t>
      </w:r>
    </w:p>
    <w:p w14:paraId="20777F84">
      <w:pPr>
        <w:spacing w:line="360" w:lineRule="auto"/>
        <w:ind w:firstLine="426" w:firstLineChars="203"/>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.3 </w:t>
      </w:r>
      <w:r>
        <w:rPr>
          <w:rFonts w:hint="eastAsia" w:ascii="宋体" w:hAnsi="宋体"/>
          <w:color w:val="000000" w:themeColor="text1"/>
          <w:sz w:val="21"/>
          <w:szCs w:val="21"/>
          <w:highlight w:val="none"/>
          <w14:textFill>
            <w14:solidFill>
              <w14:schemeClr w14:val="tx1"/>
            </w14:solidFill>
          </w14:textFill>
        </w:rPr>
        <w:t>设计周</w:t>
      </w:r>
      <w:r>
        <w:rPr>
          <w:rFonts w:ascii="宋体" w:hAnsi="宋体"/>
          <w:color w:val="000000" w:themeColor="text1"/>
          <w:sz w:val="21"/>
          <w:szCs w:val="21"/>
          <w:highlight w:val="none"/>
          <w14:textFill>
            <w14:solidFill>
              <w14:schemeClr w14:val="tx1"/>
            </w14:solidFill>
          </w14:textFill>
        </w:rPr>
        <w:t>期</w:t>
      </w:r>
      <w:r>
        <w:rPr>
          <w:rFonts w:hint="eastAsia" w:ascii="宋体" w:hAnsi="宋体"/>
          <w:color w:val="000000" w:themeColor="text1"/>
          <w:sz w:val="21"/>
          <w:szCs w:val="21"/>
          <w:highlight w:val="none"/>
          <w14:textFill>
            <w14:solidFill>
              <w14:schemeClr w14:val="tx1"/>
            </w14:solidFill>
          </w14:textFill>
        </w:rPr>
        <w:t>又称设计工期</w:t>
      </w:r>
      <w:r>
        <w:rPr>
          <w:rFonts w:ascii="宋体" w:hAnsi="宋体"/>
          <w:color w:val="000000" w:themeColor="text1"/>
          <w:sz w:val="21"/>
          <w:szCs w:val="21"/>
          <w:highlight w:val="none"/>
          <w14:textFill>
            <w14:solidFill>
              <w14:schemeClr w14:val="tx1"/>
            </w14:solidFill>
          </w14:textFill>
        </w:rPr>
        <w:t>：是指在合同协议书约定的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人完成工程</w:t>
      </w:r>
      <w:r>
        <w:rPr>
          <w:rFonts w:hint="eastAsia" w:ascii="宋体" w:hAnsi="宋体"/>
          <w:color w:val="000000" w:themeColor="text1"/>
          <w:sz w:val="21"/>
          <w:szCs w:val="21"/>
          <w:highlight w:val="none"/>
          <w14:textFill>
            <w14:solidFill>
              <w14:schemeClr w14:val="tx1"/>
            </w14:solidFill>
          </w14:textFill>
        </w:rPr>
        <w:t>设计及相关服务</w:t>
      </w:r>
      <w:r>
        <w:rPr>
          <w:rFonts w:ascii="宋体" w:hAnsi="宋体"/>
          <w:color w:val="000000" w:themeColor="text1"/>
          <w:sz w:val="21"/>
          <w:szCs w:val="21"/>
          <w:highlight w:val="none"/>
          <w14:textFill>
            <w14:solidFill>
              <w14:schemeClr w14:val="tx1"/>
            </w14:solidFill>
          </w14:textFill>
        </w:rPr>
        <w:t>所需的期限，包括按照合同约定所作的</w:t>
      </w:r>
      <w:r>
        <w:rPr>
          <w:rFonts w:hint="eastAsia" w:ascii="宋体" w:hAnsi="宋体"/>
          <w:color w:val="000000" w:themeColor="text1"/>
          <w:sz w:val="21"/>
          <w:szCs w:val="21"/>
          <w:highlight w:val="none"/>
          <w14:textFill>
            <w14:solidFill>
              <w14:schemeClr w14:val="tx1"/>
            </w14:solidFill>
          </w14:textFill>
        </w:rPr>
        <w:t>期限</w:t>
      </w:r>
      <w:r>
        <w:rPr>
          <w:rFonts w:ascii="宋体" w:hAnsi="宋体"/>
          <w:color w:val="000000" w:themeColor="text1"/>
          <w:sz w:val="21"/>
          <w:szCs w:val="21"/>
          <w:highlight w:val="none"/>
          <w14:textFill>
            <w14:solidFill>
              <w14:schemeClr w14:val="tx1"/>
            </w14:solidFill>
          </w14:textFill>
        </w:rPr>
        <w:t>变更。</w:t>
      </w:r>
    </w:p>
    <w:p w14:paraId="714720A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基准日期：招标发包的工程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以投标截止日前28天的日期为基准日</w:t>
      </w:r>
      <w:r>
        <w:rPr>
          <w:rFonts w:hint="eastAsia" w:ascii="宋体" w:hAnsi="宋体"/>
          <w:color w:val="000000" w:themeColor="text1"/>
          <w:sz w:val="21"/>
          <w:szCs w:val="21"/>
          <w:highlight w:val="none"/>
          <w14:textFill>
            <w14:solidFill>
              <w14:schemeClr w14:val="tx1"/>
            </w14:solidFill>
          </w14:textFill>
        </w:rPr>
        <w:t>期</w:t>
      </w:r>
      <w:r>
        <w:rPr>
          <w:rFonts w:ascii="宋体" w:hAnsi="宋体"/>
          <w:color w:val="000000" w:themeColor="text1"/>
          <w:sz w:val="21"/>
          <w:szCs w:val="21"/>
          <w:highlight w:val="none"/>
          <w14:textFill>
            <w14:solidFill>
              <w14:schemeClr w14:val="tx1"/>
            </w14:solidFill>
          </w14:textFill>
        </w:rPr>
        <w:t>，直接发包的工程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以合同签订日前28天的日期为基准日</w:t>
      </w:r>
      <w:r>
        <w:rPr>
          <w:rFonts w:hint="eastAsia" w:ascii="宋体" w:hAnsi="宋体"/>
          <w:color w:val="000000" w:themeColor="text1"/>
          <w:sz w:val="21"/>
          <w:szCs w:val="21"/>
          <w:highlight w:val="none"/>
          <w14:textFill>
            <w14:solidFill>
              <w14:schemeClr w14:val="tx1"/>
            </w14:solidFill>
          </w14:textFill>
        </w:rPr>
        <w:t>期</w:t>
      </w:r>
      <w:r>
        <w:rPr>
          <w:rFonts w:ascii="宋体" w:hAnsi="宋体"/>
          <w:color w:val="000000" w:themeColor="text1"/>
          <w:sz w:val="21"/>
          <w:szCs w:val="21"/>
          <w:highlight w:val="none"/>
          <w14:textFill>
            <w14:solidFill>
              <w14:schemeClr w14:val="tx1"/>
            </w14:solidFill>
          </w14:textFill>
        </w:rPr>
        <w:t>。</w:t>
      </w:r>
    </w:p>
    <w:p w14:paraId="647444C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天：除特别指明外，均指日历天。合同中按天计算时间的，开始当天不计入，从次日开始计算，期限最后一天的截止时间为当天24:00时。</w:t>
      </w:r>
    </w:p>
    <w:p w14:paraId="021926C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合同价格</w:t>
      </w:r>
    </w:p>
    <w:p w14:paraId="6C07340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 签约合同价：是指发包人和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人在合同协议书中确定的总金额。</w:t>
      </w:r>
    </w:p>
    <w:p w14:paraId="577DB25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 合同价格</w:t>
      </w:r>
      <w:r>
        <w:rPr>
          <w:rFonts w:hint="eastAsia" w:ascii="宋体" w:hAnsi="宋体"/>
          <w:color w:val="000000" w:themeColor="text1"/>
          <w:sz w:val="21"/>
          <w:szCs w:val="21"/>
          <w:highlight w:val="none"/>
          <w14:textFill>
            <w14:solidFill>
              <w14:schemeClr w14:val="tx1"/>
            </w14:solidFill>
          </w14:textFill>
        </w:rPr>
        <w:t>又称设计费</w:t>
      </w:r>
      <w:r>
        <w:rPr>
          <w:rFonts w:ascii="宋体" w:hAnsi="宋体"/>
          <w:color w:val="000000" w:themeColor="text1"/>
          <w:sz w:val="21"/>
          <w:szCs w:val="21"/>
          <w:highlight w:val="none"/>
          <w14:textFill>
            <w14:solidFill>
              <w14:schemeClr w14:val="tx1"/>
            </w14:solidFill>
          </w14:textFill>
        </w:rPr>
        <w:t>：是指发包人用于支付</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人按照合同约定完成</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范围内全部工作的金额，包括合同履行过程中按合同约定</w:t>
      </w:r>
      <w:r>
        <w:rPr>
          <w:rFonts w:hint="eastAsia" w:ascii="宋体" w:hAnsi="宋体"/>
          <w:color w:val="000000" w:themeColor="text1"/>
          <w:sz w:val="21"/>
          <w:szCs w:val="21"/>
          <w:highlight w:val="none"/>
          <w14:textFill>
            <w14:solidFill>
              <w14:schemeClr w14:val="tx1"/>
            </w14:solidFill>
          </w14:textFill>
        </w:rPr>
        <w:t>发生的价格变化。</w:t>
      </w:r>
    </w:p>
    <w:p w14:paraId="3A33205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 其他</w:t>
      </w:r>
    </w:p>
    <w:p w14:paraId="65A9BB3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.1 书面形式：是指合同</w:t>
      </w:r>
      <w:r>
        <w:rPr>
          <w:rFonts w:hint="eastAsia" w:ascii="宋体" w:hAnsi="宋体"/>
          <w:color w:val="000000" w:themeColor="text1"/>
          <w:sz w:val="21"/>
          <w:szCs w:val="21"/>
          <w:highlight w:val="none"/>
          <w14:textFill>
            <w14:solidFill>
              <w14:schemeClr w14:val="tx1"/>
            </w14:solidFill>
          </w14:textFill>
        </w:rPr>
        <w:t>书</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信件和数据电文（包括</w:t>
      </w:r>
      <w:r>
        <w:rPr>
          <w:rFonts w:ascii="宋体" w:hAnsi="宋体"/>
          <w:color w:val="000000" w:themeColor="text1"/>
          <w:sz w:val="21"/>
          <w:szCs w:val="21"/>
          <w:highlight w:val="none"/>
          <w14:textFill>
            <w14:solidFill>
              <w14:schemeClr w14:val="tx1"/>
            </w14:solidFill>
          </w14:textFill>
        </w:rPr>
        <w:t>电报、</w:t>
      </w:r>
      <w:r>
        <w:rPr>
          <w:rFonts w:hint="eastAsia" w:ascii="宋体" w:hAnsi="宋体"/>
          <w:color w:val="000000" w:themeColor="text1"/>
          <w:sz w:val="21"/>
          <w:szCs w:val="21"/>
          <w:highlight w:val="none"/>
          <w14:textFill>
            <w14:solidFill>
              <w14:schemeClr w14:val="tx1"/>
            </w14:solidFill>
          </w14:textFill>
        </w:rPr>
        <w:t>电</w:t>
      </w:r>
      <w:r>
        <w:rPr>
          <w:rFonts w:ascii="宋体" w:hAnsi="宋体"/>
          <w:color w:val="000000" w:themeColor="text1"/>
          <w:sz w:val="21"/>
          <w:szCs w:val="21"/>
          <w:highlight w:val="none"/>
          <w14:textFill>
            <w14:solidFill>
              <w14:schemeClr w14:val="tx1"/>
            </w14:solidFill>
          </w14:textFill>
        </w:rPr>
        <w:t>传</w:t>
      </w:r>
      <w:r>
        <w:rPr>
          <w:rFonts w:hint="eastAsia" w:ascii="宋体" w:hAnsi="宋体"/>
          <w:color w:val="000000" w:themeColor="text1"/>
          <w:sz w:val="21"/>
          <w:szCs w:val="21"/>
          <w:highlight w:val="none"/>
          <w14:textFill>
            <w14:solidFill>
              <w14:schemeClr w14:val="tx1"/>
            </w14:solidFill>
          </w14:textFill>
        </w:rPr>
        <w:t>、传</w:t>
      </w:r>
      <w:r>
        <w:rPr>
          <w:rFonts w:ascii="宋体" w:hAnsi="宋体"/>
          <w:color w:val="000000" w:themeColor="text1"/>
          <w:sz w:val="21"/>
          <w:szCs w:val="21"/>
          <w:highlight w:val="none"/>
          <w14:textFill>
            <w14:solidFill>
              <w14:schemeClr w14:val="tx1"/>
            </w14:solidFill>
          </w14:textFill>
        </w:rPr>
        <w:t>真</w:t>
      </w:r>
      <w:r>
        <w:rPr>
          <w:rFonts w:hint="eastAsia" w:ascii="宋体" w:hAnsi="宋体"/>
          <w:color w:val="000000" w:themeColor="text1"/>
          <w:sz w:val="21"/>
          <w:szCs w:val="21"/>
          <w:highlight w:val="none"/>
          <w14:textFill>
            <w14:solidFill>
              <w14:schemeClr w14:val="tx1"/>
            </w14:solidFill>
          </w14:textFill>
        </w:rPr>
        <w:t>、电子数据交换和电子邮件）</w:t>
      </w:r>
      <w:r>
        <w:rPr>
          <w:rFonts w:ascii="宋体" w:hAnsi="宋体"/>
          <w:color w:val="000000" w:themeColor="text1"/>
          <w:sz w:val="21"/>
          <w:szCs w:val="21"/>
          <w:highlight w:val="none"/>
          <w14:textFill>
            <w14:solidFill>
              <w14:schemeClr w14:val="tx1"/>
            </w14:solidFill>
          </w14:textFill>
        </w:rPr>
        <w:t>等可以有形地表现所载内容的形式。</w:t>
      </w:r>
    </w:p>
    <w:p w14:paraId="29502EE8">
      <w:pPr>
        <w:pStyle w:val="6"/>
        <w:adjustRightInd/>
        <w:spacing w:before="0" w:after="0" w:line="360" w:lineRule="auto"/>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    1.2</w:t>
      </w: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语言文字</w:t>
      </w:r>
    </w:p>
    <w:p w14:paraId="5AFA98E4">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14:paraId="1EE3D921">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1.3</w:t>
      </w: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法律</w:t>
      </w:r>
    </w:p>
    <w:p w14:paraId="065CD97B">
      <w:pPr>
        <w:autoSpaceDE w:val="0"/>
        <w:autoSpaceDN w:val="0"/>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合同所称法律是指中华人民共和国法律、行政法规、部门规章，以及工程所在地的地方性法规、自治条例、单行条例和地方政府规章等。</w:t>
      </w:r>
    </w:p>
    <w:p w14:paraId="78F970B3">
      <w:pPr>
        <w:autoSpaceDE w:val="0"/>
        <w:autoSpaceDN w:val="0"/>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合同当事人可以在专用合同条款中约定合同适用的其他规范性文件。</w:t>
      </w:r>
    </w:p>
    <w:p w14:paraId="1A9E2E89">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1.4 </w:t>
      </w:r>
      <w:r>
        <w:rPr>
          <w:rFonts w:hint="eastAsia" w:ascii="宋体" w:hAnsi="宋体"/>
          <w:b w:val="0"/>
          <w:color w:val="000000" w:themeColor="text1"/>
          <w:sz w:val="21"/>
          <w:szCs w:val="21"/>
          <w:highlight w:val="none"/>
          <w14:textFill>
            <w14:solidFill>
              <w14:schemeClr w14:val="tx1"/>
            </w14:solidFill>
          </w14:textFill>
        </w:rPr>
        <w:t>技术</w:t>
      </w:r>
      <w:r>
        <w:rPr>
          <w:rFonts w:ascii="宋体" w:hAnsi="宋体"/>
          <w:b w:val="0"/>
          <w:color w:val="000000" w:themeColor="text1"/>
          <w:sz w:val="21"/>
          <w:szCs w:val="21"/>
          <w:highlight w:val="none"/>
          <w14:textFill>
            <w14:solidFill>
              <w14:schemeClr w14:val="tx1"/>
            </w14:solidFill>
          </w14:textFill>
        </w:rPr>
        <w:t>标准</w:t>
      </w:r>
    </w:p>
    <w:p w14:paraId="79CB66E7">
      <w:pPr>
        <w:autoSpaceDE w:val="0"/>
        <w:autoSpaceDN w:val="0"/>
        <w:spacing w:line="360" w:lineRule="auto"/>
        <w:ind w:firstLine="64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1.4.1 适用于工程的</w:t>
      </w:r>
      <w:r>
        <w:rPr>
          <w:rFonts w:hint="eastAsia" w:ascii="宋体" w:hAnsi="宋体"/>
          <w:color w:val="000000" w:themeColor="text1"/>
          <w:sz w:val="21"/>
          <w:szCs w:val="21"/>
          <w:highlight w:val="none"/>
          <w14:textFill>
            <w14:solidFill>
              <w14:schemeClr w14:val="tx1"/>
            </w14:solidFill>
          </w14:textFill>
        </w:rPr>
        <w:t>现行有效的</w:t>
      </w:r>
      <w:r>
        <w:rPr>
          <w:rFonts w:ascii="宋体" w:hAnsi="宋体"/>
          <w:color w:val="000000" w:themeColor="text1"/>
          <w:sz w:val="21"/>
          <w:szCs w:val="21"/>
          <w:highlight w:val="none"/>
          <w14:textFill>
            <w14:solidFill>
              <w14:schemeClr w14:val="tx1"/>
            </w14:solidFill>
          </w14:textFill>
        </w:rPr>
        <w:t>国家标准、行业标准、工程所在地的地方性标准，以及相应的规范、规程等，合同当事人有特别要求的，应在专用合同条款中约定。</w:t>
      </w:r>
    </w:p>
    <w:p w14:paraId="641DF100">
      <w:pPr>
        <w:autoSpaceDE w:val="0"/>
        <w:autoSpaceDN w:val="0"/>
        <w:spacing w:line="360" w:lineRule="auto"/>
        <w:ind w:firstLine="64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1.4.2 发包人要求使用国外</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标准的，发包人</w:t>
      </w:r>
      <w:r>
        <w:rPr>
          <w:rFonts w:hint="eastAsia" w:ascii="宋体" w:hAnsi="宋体"/>
          <w:color w:val="000000" w:themeColor="text1"/>
          <w:sz w:val="21"/>
          <w:szCs w:val="21"/>
          <w:highlight w:val="none"/>
          <w14:textFill>
            <w14:solidFill>
              <w14:schemeClr w14:val="tx1"/>
            </w14:solidFill>
          </w14:textFill>
        </w:rPr>
        <w:t>与设计人</w:t>
      </w:r>
      <w:r>
        <w:rPr>
          <w:rFonts w:ascii="宋体" w:hAnsi="宋体"/>
          <w:color w:val="000000" w:themeColor="text1"/>
          <w:sz w:val="21"/>
          <w:szCs w:val="21"/>
          <w:highlight w:val="none"/>
          <w14:textFill>
            <w14:solidFill>
              <w14:schemeClr w14:val="tx1"/>
            </w14:solidFill>
          </w14:textFill>
        </w:rPr>
        <w:t>在专用合同条款中约定原文版本和中文译本</w:t>
      </w:r>
      <w:r>
        <w:rPr>
          <w:rFonts w:hint="eastAsia" w:ascii="宋体" w:hAnsi="宋体"/>
          <w:color w:val="000000" w:themeColor="text1"/>
          <w:sz w:val="21"/>
          <w:szCs w:val="21"/>
          <w:highlight w:val="none"/>
          <w14:textFill>
            <w14:solidFill>
              <w14:schemeClr w14:val="tx1"/>
            </w14:solidFill>
          </w14:textFill>
        </w:rPr>
        <w:t>提供方及</w:t>
      </w:r>
      <w:r>
        <w:rPr>
          <w:rFonts w:ascii="宋体" w:hAnsi="宋体"/>
          <w:color w:val="000000" w:themeColor="text1"/>
          <w:sz w:val="21"/>
          <w:szCs w:val="21"/>
          <w:highlight w:val="none"/>
          <w14:textFill>
            <w14:solidFill>
              <w14:schemeClr w14:val="tx1"/>
            </w14:solidFill>
          </w14:textFill>
        </w:rPr>
        <w:t>提供标准的名称、份数</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时间</w:t>
      </w:r>
      <w:r>
        <w:rPr>
          <w:rFonts w:hint="eastAsia" w:ascii="宋体" w:hAnsi="宋体"/>
          <w:color w:val="000000" w:themeColor="text1"/>
          <w:sz w:val="21"/>
          <w:szCs w:val="21"/>
          <w:highlight w:val="none"/>
          <w14:textFill>
            <w14:solidFill>
              <w14:schemeClr w14:val="tx1"/>
            </w14:solidFill>
          </w14:textFill>
        </w:rPr>
        <w:t>及费用承担等事项</w:t>
      </w:r>
      <w:r>
        <w:rPr>
          <w:rFonts w:ascii="宋体" w:hAnsi="宋体"/>
          <w:color w:val="000000" w:themeColor="text1"/>
          <w:sz w:val="21"/>
          <w:szCs w:val="21"/>
          <w:highlight w:val="none"/>
          <w14:textFill>
            <w14:solidFill>
              <w14:schemeClr w14:val="tx1"/>
            </w14:solidFill>
          </w14:textFill>
        </w:rPr>
        <w:t>。</w:t>
      </w:r>
    </w:p>
    <w:p w14:paraId="07539D7B">
      <w:pPr>
        <w:autoSpaceDE w:val="0"/>
        <w:autoSpaceDN w:val="0"/>
        <w:spacing w:line="360" w:lineRule="auto"/>
        <w:ind w:firstLine="64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w:t>
      </w:r>
      <w:r>
        <w:rPr>
          <w:rFonts w:hint="eastAsia" w:ascii="宋体" w:hAnsi="宋体"/>
          <w:color w:val="000000" w:themeColor="text1"/>
          <w:sz w:val="21"/>
          <w:szCs w:val="21"/>
          <w:highlight w:val="none"/>
          <w14:textFill>
            <w14:solidFill>
              <w14:schemeClr w14:val="tx1"/>
            </w14:solidFill>
          </w14:textFill>
        </w:rPr>
        <w:t>设计人</w:t>
      </w:r>
      <w:r>
        <w:rPr>
          <w:rFonts w:ascii="宋体" w:hAnsi="宋体"/>
          <w:color w:val="000000" w:themeColor="text1"/>
          <w:sz w:val="21"/>
          <w:szCs w:val="21"/>
          <w:highlight w:val="none"/>
          <w14:textFill>
            <w14:solidFill>
              <w14:schemeClr w14:val="tx1"/>
            </w14:solidFill>
          </w14:textFill>
        </w:rPr>
        <w:t>在签订合同前已充分预见前述技术标准和功能要求的复杂程度，签约合同价中已包含由此产生的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w:t>
      </w:r>
    </w:p>
    <w:p w14:paraId="68614AA5">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1.5 合同文件的优先顺序</w:t>
      </w:r>
    </w:p>
    <w:p w14:paraId="40A02E9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组成合同的各项文件应互相解释，互为说明。除专用合同条款另有约定外，解释合同文件的优先顺序如下：</w:t>
      </w:r>
    </w:p>
    <w:p w14:paraId="4AD2931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（1）合同协议书；</w:t>
      </w:r>
    </w:p>
    <w:p w14:paraId="785EBDC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（2）专用合同条款及其附件； </w:t>
      </w:r>
    </w:p>
    <w:p w14:paraId="65C6641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（3）通用合同条款； </w:t>
      </w:r>
    </w:p>
    <w:p w14:paraId="409A60DD">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）中标通知书（如果有）；</w:t>
      </w:r>
    </w:p>
    <w:p w14:paraId="57D35E1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）投标函及其附录（如果有）；</w:t>
      </w:r>
    </w:p>
    <w:p w14:paraId="37FAB67B">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（6）发包人要求；</w:t>
      </w:r>
    </w:p>
    <w:p w14:paraId="16D219A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7</w:t>
      </w:r>
      <w:r>
        <w:rPr>
          <w:rFonts w:ascii="宋体" w:hAnsi="宋体"/>
          <w:color w:val="000000" w:themeColor="text1"/>
          <w:sz w:val="21"/>
          <w:szCs w:val="21"/>
          <w:highlight w:val="none"/>
          <w14:textFill>
            <w14:solidFill>
              <w14:schemeClr w14:val="tx1"/>
            </w14:solidFill>
          </w14:textFill>
        </w:rPr>
        <w:t>）技术标准；</w:t>
      </w:r>
    </w:p>
    <w:p w14:paraId="173BB14C">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8</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发包人提供的上一阶段</w:t>
      </w:r>
      <w:r>
        <w:rPr>
          <w:rFonts w:ascii="宋体" w:hAnsi="宋体"/>
          <w:color w:val="000000" w:themeColor="text1"/>
          <w:sz w:val="21"/>
          <w:szCs w:val="21"/>
          <w:highlight w:val="none"/>
          <w14:textFill>
            <w14:solidFill>
              <w14:schemeClr w14:val="tx1"/>
            </w14:solidFill>
          </w14:textFill>
        </w:rPr>
        <w:t>图纸</w:t>
      </w:r>
      <w:r>
        <w:rPr>
          <w:rFonts w:hint="eastAsia" w:ascii="宋体" w:hAnsi="宋体"/>
          <w:color w:val="000000" w:themeColor="text1"/>
          <w:sz w:val="21"/>
          <w:szCs w:val="21"/>
          <w:highlight w:val="none"/>
          <w14:textFill>
            <w14:solidFill>
              <w14:schemeClr w14:val="tx1"/>
            </w14:solidFill>
          </w14:textFill>
        </w:rPr>
        <w:t>（如果有）</w:t>
      </w:r>
      <w:r>
        <w:rPr>
          <w:rFonts w:ascii="宋体" w:hAnsi="宋体"/>
          <w:color w:val="000000" w:themeColor="text1"/>
          <w:sz w:val="21"/>
          <w:szCs w:val="21"/>
          <w:highlight w:val="none"/>
          <w14:textFill>
            <w14:solidFill>
              <w14:schemeClr w14:val="tx1"/>
            </w14:solidFill>
          </w14:textFill>
        </w:rPr>
        <w:t>；</w:t>
      </w:r>
    </w:p>
    <w:p w14:paraId="2099B3A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9</w:t>
      </w:r>
      <w:r>
        <w:rPr>
          <w:rFonts w:ascii="宋体" w:hAnsi="宋体"/>
          <w:color w:val="000000" w:themeColor="text1"/>
          <w:sz w:val="21"/>
          <w:szCs w:val="21"/>
          <w:highlight w:val="none"/>
          <w14:textFill>
            <w14:solidFill>
              <w14:schemeClr w14:val="tx1"/>
            </w14:solidFill>
          </w14:textFill>
        </w:rPr>
        <w:t>）其他合同文件。</w:t>
      </w:r>
    </w:p>
    <w:p w14:paraId="6393262E">
      <w:pPr>
        <w:spacing w:line="360" w:lineRule="auto"/>
        <w:ind w:firstLine="447" w:firstLineChars="213"/>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75FD94AA">
      <w:pPr>
        <w:spacing w:line="360" w:lineRule="auto"/>
        <w:ind w:firstLine="447" w:firstLineChars="213"/>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在合同履行过程中形成的与合同有关的文件均构成合同文件组成部分，并根据其性质确定优先解释顺序。</w:t>
      </w:r>
    </w:p>
    <w:p w14:paraId="7A869B21">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 xml:space="preserve">6 </w:t>
      </w:r>
      <w:r>
        <w:rPr>
          <w:rFonts w:ascii="宋体" w:hAnsi="宋体"/>
          <w:b w:val="0"/>
          <w:color w:val="000000" w:themeColor="text1"/>
          <w:sz w:val="21"/>
          <w:szCs w:val="21"/>
          <w:highlight w:val="none"/>
          <w14:textFill>
            <w14:solidFill>
              <w14:schemeClr w14:val="tx1"/>
            </w14:solidFill>
          </w14:textFill>
        </w:rPr>
        <w:t>联络</w:t>
      </w:r>
    </w:p>
    <w:p w14:paraId="649C229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.1 与合同有关的通知、批准、证明、证书、指示、指令、要求、请求、同意</w:t>
      </w:r>
      <w:r>
        <w:rPr>
          <w:rFonts w:ascii="宋体" w:hAnsi="宋体"/>
          <w:b/>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确定和决定等，均应采用书面形式，并应在合同约定的期限内送达接收人和送达地点。</w:t>
      </w:r>
    </w:p>
    <w:p w14:paraId="04D8984B">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.2 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人应在专用合同条款中约定各自的送达接收人</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送达地点</w:t>
      </w:r>
      <w:r>
        <w:rPr>
          <w:rFonts w:hint="eastAsia" w:ascii="宋体" w:hAnsi="宋体"/>
          <w:color w:val="000000" w:themeColor="text1"/>
          <w:sz w:val="21"/>
          <w:szCs w:val="21"/>
          <w:highlight w:val="none"/>
          <w14:textFill>
            <w14:solidFill>
              <w14:schemeClr w14:val="tx1"/>
            </w14:solidFill>
          </w14:textFill>
        </w:rPr>
        <w:t>、电子邮箱</w:t>
      </w:r>
      <w:r>
        <w:rPr>
          <w:rFonts w:ascii="宋体" w:hAnsi="宋体"/>
          <w:color w:val="000000" w:themeColor="text1"/>
          <w:sz w:val="21"/>
          <w:szCs w:val="21"/>
          <w:highlight w:val="none"/>
          <w14:textFill>
            <w14:solidFill>
              <w14:schemeClr w14:val="tx1"/>
            </w14:solidFill>
          </w14:textFill>
        </w:rPr>
        <w:t>。任何一方合同当事人指定的接收人或送达地点</w:t>
      </w:r>
      <w:r>
        <w:rPr>
          <w:rFonts w:hint="eastAsia" w:ascii="宋体" w:hAnsi="宋体"/>
          <w:color w:val="000000" w:themeColor="text1"/>
          <w:sz w:val="21"/>
          <w:szCs w:val="21"/>
          <w:highlight w:val="none"/>
          <w14:textFill>
            <w14:solidFill>
              <w14:schemeClr w14:val="tx1"/>
            </w14:solidFill>
          </w14:textFill>
        </w:rPr>
        <w:t>或电子邮箱</w:t>
      </w:r>
      <w:r>
        <w:rPr>
          <w:rFonts w:ascii="宋体" w:hAnsi="宋体"/>
          <w:color w:val="000000" w:themeColor="text1"/>
          <w:sz w:val="21"/>
          <w:szCs w:val="21"/>
          <w:highlight w:val="none"/>
          <w14:textFill>
            <w14:solidFill>
              <w14:schemeClr w14:val="tx1"/>
            </w14:solidFill>
          </w14:textFill>
        </w:rPr>
        <w:t>发生变动的，应提前3天以书面形式通知对方</w:t>
      </w:r>
      <w:r>
        <w:rPr>
          <w:rFonts w:hint="eastAsia" w:ascii="宋体" w:hAnsi="宋体"/>
          <w:color w:val="000000" w:themeColor="text1"/>
          <w:sz w:val="21"/>
          <w:szCs w:val="21"/>
          <w:highlight w:val="none"/>
          <w14:textFill>
            <w14:solidFill>
              <w14:schemeClr w14:val="tx1"/>
            </w14:solidFill>
          </w14:textFill>
        </w:rPr>
        <w:t>，否则视为未发生变动。</w:t>
      </w:r>
    </w:p>
    <w:p w14:paraId="61DDF02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.3 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人应当及时签收另一方送达至送达地点和指定接收人的来往信函</w:t>
      </w:r>
      <w:r>
        <w:rPr>
          <w:rFonts w:hint="eastAsia" w:ascii="宋体" w:hAnsi="宋体"/>
          <w:color w:val="000000" w:themeColor="text1"/>
          <w:sz w:val="21"/>
          <w:szCs w:val="21"/>
          <w:highlight w:val="none"/>
          <w14:textFill>
            <w14:solidFill>
              <w14:schemeClr w14:val="tx1"/>
            </w14:solidFill>
          </w14:textFill>
        </w:rPr>
        <w:t>，如确有充分证据证明一方无正当理由拒不签收的，视为拒绝签收一方认可往来信函的内容</w:t>
      </w:r>
      <w:r>
        <w:rPr>
          <w:rFonts w:ascii="宋体" w:hAnsi="宋体"/>
          <w:color w:val="000000" w:themeColor="text1"/>
          <w:sz w:val="21"/>
          <w:szCs w:val="21"/>
          <w:highlight w:val="none"/>
          <w14:textFill>
            <w14:solidFill>
              <w14:schemeClr w14:val="tx1"/>
            </w14:solidFill>
          </w14:textFill>
        </w:rPr>
        <w:t>。</w:t>
      </w:r>
    </w:p>
    <w:p w14:paraId="52AC8D9C">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 xml:space="preserve">7 </w:t>
      </w:r>
      <w:r>
        <w:rPr>
          <w:rFonts w:ascii="宋体" w:hAnsi="宋体"/>
          <w:b w:val="0"/>
          <w:color w:val="000000" w:themeColor="text1"/>
          <w:sz w:val="21"/>
          <w:szCs w:val="21"/>
          <w:highlight w:val="none"/>
          <w14:textFill>
            <w14:solidFill>
              <w14:schemeClr w14:val="tx1"/>
            </w14:solidFill>
          </w14:textFill>
        </w:rPr>
        <w:t>严禁贿赂</w:t>
      </w:r>
    </w:p>
    <w:p w14:paraId="5BC74A9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合同当事人不得以贿赂或变相贿赂的方式，谋取非法利益或损害对方权益。因一方合同当事人的贿赂造成对方损失的，应赔偿损失，</w:t>
      </w:r>
      <w:r>
        <w:rPr>
          <w:rFonts w:hint="eastAsia" w:ascii="宋体" w:hAnsi="宋体"/>
          <w:color w:val="000000" w:themeColor="text1"/>
          <w:sz w:val="21"/>
          <w:szCs w:val="21"/>
          <w:highlight w:val="none"/>
          <w14:textFill>
            <w14:solidFill>
              <w14:schemeClr w14:val="tx1"/>
            </w14:solidFill>
          </w14:textFill>
        </w:rPr>
        <w:t>并</w:t>
      </w:r>
      <w:r>
        <w:rPr>
          <w:rFonts w:ascii="宋体" w:hAnsi="宋体"/>
          <w:color w:val="000000" w:themeColor="text1"/>
          <w:sz w:val="21"/>
          <w:szCs w:val="21"/>
          <w:highlight w:val="none"/>
          <w14:textFill>
            <w14:solidFill>
              <w14:schemeClr w14:val="tx1"/>
            </w14:solidFill>
          </w14:textFill>
        </w:rPr>
        <w:t>承担相应的法律责任。</w:t>
      </w:r>
    </w:p>
    <w:p w14:paraId="65BEFFC9">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 xml:space="preserve">8 </w:t>
      </w:r>
      <w:r>
        <w:rPr>
          <w:rFonts w:ascii="宋体" w:hAnsi="宋体"/>
          <w:b w:val="0"/>
          <w:color w:val="000000" w:themeColor="text1"/>
          <w:sz w:val="21"/>
          <w:szCs w:val="21"/>
          <w:highlight w:val="none"/>
          <w14:textFill>
            <w14:solidFill>
              <w14:schemeClr w14:val="tx1"/>
            </w14:solidFill>
          </w14:textFill>
        </w:rPr>
        <w:t>保密</w:t>
      </w:r>
    </w:p>
    <w:p w14:paraId="198060F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除法律规定或合同另有约定外，未经发包人同意，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人不得将发包人提供的图纸、文件以及声明需要保密的资料信息等商业秘密泄露给第三方。</w:t>
      </w:r>
    </w:p>
    <w:p w14:paraId="67180BD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除法律规定或合同另有约定外，未经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人同意，发包人不得将</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人提供的</w:t>
      </w:r>
      <w:r>
        <w:rPr>
          <w:rFonts w:hint="eastAsia" w:ascii="宋体" w:hAnsi="宋体"/>
          <w:color w:val="000000" w:themeColor="text1"/>
          <w:sz w:val="21"/>
          <w:szCs w:val="21"/>
          <w:highlight w:val="none"/>
          <w14:textFill>
            <w14:solidFill>
              <w14:schemeClr w14:val="tx1"/>
            </w14:solidFill>
          </w14:textFill>
        </w:rPr>
        <w:t>技术文件、技术成果、</w:t>
      </w:r>
      <w:r>
        <w:rPr>
          <w:rFonts w:ascii="宋体" w:hAnsi="宋体"/>
          <w:color w:val="000000" w:themeColor="text1"/>
          <w:sz w:val="21"/>
          <w:szCs w:val="21"/>
          <w:highlight w:val="none"/>
          <w14:textFill>
            <w14:solidFill>
              <w14:schemeClr w14:val="tx1"/>
            </w14:solidFill>
          </w14:textFill>
        </w:rPr>
        <w:t>技术秘密及声明需要保密的资料信息等商业秘密泄露给第三方。</w:t>
      </w:r>
    </w:p>
    <w:p w14:paraId="5A9E0AD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保密期限由发包人与设计人在专用合同条款中约定。</w:t>
      </w:r>
    </w:p>
    <w:p w14:paraId="2FA4CE70">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2.发包人</w:t>
      </w:r>
    </w:p>
    <w:p w14:paraId="6A70CF53">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2.1 </w:t>
      </w:r>
      <w:r>
        <w:rPr>
          <w:rFonts w:hint="eastAsia" w:ascii="宋体" w:hAnsi="宋体"/>
          <w:b w:val="0"/>
          <w:color w:val="000000" w:themeColor="text1"/>
          <w:sz w:val="21"/>
          <w:szCs w:val="21"/>
          <w:highlight w:val="none"/>
          <w14:textFill>
            <w14:solidFill>
              <w14:schemeClr w14:val="tx1"/>
            </w14:solidFill>
          </w14:textFill>
        </w:rPr>
        <w:t>发包人一般义务</w:t>
      </w:r>
    </w:p>
    <w:p w14:paraId="5C24A86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2.1.1 </w:t>
      </w:r>
      <w:r>
        <w:rPr>
          <w:rFonts w:ascii="宋体" w:hAnsi="宋体"/>
          <w:color w:val="000000" w:themeColor="text1"/>
          <w:sz w:val="21"/>
          <w:szCs w:val="21"/>
          <w:highlight w:val="none"/>
          <w14:textFill>
            <w14:solidFill>
              <w14:schemeClr w14:val="tx1"/>
            </w14:solidFill>
          </w14:textFill>
        </w:rPr>
        <w:t>发包人应遵守法律，并办理法律规定由其办理的许可、</w:t>
      </w:r>
      <w:r>
        <w:rPr>
          <w:rFonts w:hint="eastAsia" w:ascii="宋体" w:hAnsi="宋体"/>
          <w:color w:val="000000" w:themeColor="text1"/>
          <w:sz w:val="21"/>
          <w:szCs w:val="21"/>
          <w:highlight w:val="none"/>
          <w14:textFill>
            <w14:solidFill>
              <w14:schemeClr w14:val="tx1"/>
            </w14:solidFill>
          </w14:textFill>
        </w:rPr>
        <w:t>核</w:t>
      </w:r>
      <w:r>
        <w:rPr>
          <w:rFonts w:ascii="宋体" w:hAnsi="宋体"/>
          <w:color w:val="000000" w:themeColor="text1"/>
          <w:sz w:val="21"/>
          <w:szCs w:val="21"/>
          <w:highlight w:val="none"/>
          <w14:textFill>
            <w14:solidFill>
              <w14:schemeClr w14:val="tx1"/>
            </w14:solidFill>
          </w14:textFill>
        </w:rPr>
        <w:t>准或备案，包括但不限于建设用地规划许可证、建设工程规划许可证等许可</w:t>
      </w:r>
      <w:r>
        <w:rPr>
          <w:rFonts w:hint="eastAsia" w:ascii="宋体" w:hAnsi="宋体"/>
          <w:color w:val="000000" w:themeColor="text1"/>
          <w:sz w:val="21"/>
          <w:szCs w:val="21"/>
          <w:highlight w:val="none"/>
          <w14:textFill>
            <w14:solidFill>
              <w14:schemeClr w14:val="tx1"/>
            </w14:solidFill>
          </w14:textFill>
        </w:rPr>
        <w:t>、核准或备案</w:t>
      </w:r>
      <w:r>
        <w:rPr>
          <w:rFonts w:ascii="宋体" w:hAnsi="宋体"/>
          <w:color w:val="000000" w:themeColor="text1"/>
          <w:sz w:val="21"/>
          <w:szCs w:val="21"/>
          <w:highlight w:val="none"/>
          <w14:textFill>
            <w14:solidFill>
              <w14:schemeClr w14:val="tx1"/>
            </w14:solidFill>
          </w14:textFill>
        </w:rPr>
        <w:t>。</w:t>
      </w:r>
    </w:p>
    <w:p w14:paraId="4D01DE1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发包人负责本项目各阶段设计文件向有关管理部门的送审报批工作，并负责将报批结果书面通知设计人。</w:t>
      </w:r>
      <w:r>
        <w:rPr>
          <w:rFonts w:ascii="宋体" w:hAnsi="宋体"/>
          <w:color w:val="000000" w:themeColor="text1"/>
          <w:sz w:val="21"/>
          <w:szCs w:val="21"/>
          <w:highlight w:val="none"/>
          <w14:textFill>
            <w14:solidFill>
              <w14:schemeClr w14:val="tx1"/>
            </w14:solidFill>
          </w14:textFill>
        </w:rPr>
        <w:t>因发包人原因未能及时办理完毕前述许可、</w:t>
      </w:r>
      <w:r>
        <w:rPr>
          <w:rFonts w:hint="eastAsia" w:ascii="宋体" w:hAnsi="宋体"/>
          <w:color w:val="000000" w:themeColor="text1"/>
          <w:sz w:val="21"/>
          <w:szCs w:val="21"/>
          <w:highlight w:val="none"/>
          <w14:textFill>
            <w14:solidFill>
              <w14:schemeClr w14:val="tx1"/>
            </w14:solidFill>
          </w14:textFill>
        </w:rPr>
        <w:t>核准</w:t>
      </w:r>
      <w:r>
        <w:rPr>
          <w:rFonts w:ascii="宋体" w:hAnsi="宋体"/>
          <w:color w:val="000000" w:themeColor="text1"/>
          <w:sz w:val="21"/>
          <w:szCs w:val="21"/>
          <w:highlight w:val="none"/>
          <w14:textFill>
            <w14:solidFill>
              <w14:schemeClr w14:val="tx1"/>
            </w14:solidFill>
          </w14:textFill>
        </w:rPr>
        <w:t>或备案</w:t>
      </w:r>
      <w:r>
        <w:rPr>
          <w:rFonts w:hint="eastAsia" w:ascii="宋体" w:hAnsi="宋体"/>
          <w:color w:val="000000" w:themeColor="text1"/>
          <w:sz w:val="21"/>
          <w:szCs w:val="21"/>
          <w:highlight w:val="none"/>
          <w14:textFill>
            <w14:solidFill>
              <w14:schemeClr w14:val="tx1"/>
            </w14:solidFill>
          </w14:textFill>
        </w:rPr>
        <w:t>手续</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导致设计工作量增加和（或）设计周期延长时，</w:t>
      </w:r>
      <w:r>
        <w:rPr>
          <w:rFonts w:ascii="宋体" w:hAnsi="宋体"/>
          <w:color w:val="000000" w:themeColor="text1"/>
          <w:sz w:val="21"/>
          <w:szCs w:val="21"/>
          <w:highlight w:val="none"/>
          <w14:textFill>
            <w14:solidFill>
              <w14:schemeClr w14:val="tx1"/>
            </w14:solidFill>
          </w14:textFill>
        </w:rPr>
        <w:t>由发包人承担由此增加的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延长的设计周期</w:t>
      </w:r>
      <w:r>
        <w:rPr>
          <w:rFonts w:ascii="宋体" w:hAnsi="宋体"/>
          <w:color w:val="000000" w:themeColor="text1"/>
          <w:sz w:val="21"/>
          <w:szCs w:val="21"/>
          <w:highlight w:val="none"/>
          <w14:textFill>
            <w14:solidFill>
              <w14:schemeClr w14:val="tx1"/>
            </w14:solidFill>
          </w14:textFill>
        </w:rPr>
        <w:t>。</w:t>
      </w:r>
    </w:p>
    <w:p w14:paraId="09CF2EC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2.1.2 发包人应当负责工程设计的所有外部关系的协调（包括但不限于当地政府主管部门等），为设计人履行合同提供必要的外部条件。</w:t>
      </w:r>
    </w:p>
    <w:p w14:paraId="42AE7CBD">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 专用合同条款约定的其他义务。</w:t>
      </w:r>
    </w:p>
    <w:p w14:paraId="22FA5009">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2.2 发包人代表</w:t>
      </w:r>
    </w:p>
    <w:p w14:paraId="3E69739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发包人应在专用合同条款中明确其</w:t>
      </w:r>
      <w:r>
        <w:rPr>
          <w:rFonts w:hint="eastAsia" w:ascii="宋体" w:hAnsi="宋体"/>
          <w:color w:val="000000" w:themeColor="text1"/>
          <w:sz w:val="21"/>
          <w:szCs w:val="21"/>
          <w:highlight w:val="none"/>
          <w14:textFill>
            <w14:solidFill>
              <w14:schemeClr w14:val="tx1"/>
            </w14:solidFill>
          </w14:textFill>
        </w:rPr>
        <w:t>负责工程设计</w:t>
      </w:r>
      <w:r>
        <w:rPr>
          <w:rFonts w:ascii="宋体" w:hAnsi="宋体"/>
          <w:color w:val="000000" w:themeColor="text1"/>
          <w:sz w:val="21"/>
          <w:szCs w:val="21"/>
          <w:highlight w:val="none"/>
          <w14:textFill>
            <w14:solidFill>
              <w14:schemeClr w14:val="tx1"/>
            </w14:solidFill>
          </w14:textFill>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宋体" w:hAnsi="宋体"/>
          <w:color w:val="000000" w:themeColor="text1"/>
          <w:sz w:val="21"/>
          <w:szCs w:val="21"/>
          <w:highlight w:val="none"/>
          <w14:textFill>
            <w14:solidFill>
              <w14:schemeClr w14:val="tx1"/>
            </w14:solidFill>
          </w14:textFill>
        </w:rPr>
        <w:t>在专用合同条款约定的期限内</w:t>
      </w:r>
      <w:r>
        <w:rPr>
          <w:rFonts w:ascii="宋体" w:hAnsi="宋体"/>
          <w:color w:val="000000" w:themeColor="text1"/>
          <w:sz w:val="21"/>
          <w:szCs w:val="21"/>
          <w:highlight w:val="none"/>
          <w14:textFill>
            <w14:solidFill>
              <w14:schemeClr w14:val="tx1"/>
            </w14:solidFill>
          </w14:textFill>
        </w:rPr>
        <w:t>提前书面通知</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p>
    <w:p w14:paraId="09095DE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发包人代表不能按照合同约定履行其职责及义务，并导致合同无法继续正常履行的，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人可以要求发包人撤换发包人代表。</w:t>
      </w:r>
    </w:p>
    <w:p w14:paraId="06332B76">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发包人决定</w:t>
      </w:r>
    </w:p>
    <w:p w14:paraId="40D4897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2.3.1 发包人在法律允许的范围内有权对设计人的设计工作、设计项目和/或设计文件作出处理决定，设计人应按照发包人的决定执行，涉及设计周期或设计费用等问题按本合同第11条〔工程设计变更与索赔〕的约定处理。</w:t>
      </w:r>
    </w:p>
    <w:p w14:paraId="0D743EA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2.3.2 发包人应在专用合同条款约定的期限内对设计人书面提出的事项作出书面决定，如发包人不在确定时间内作出书面决定，设计人的设计周期相应延长。</w:t>
      </w:r>
    </w:p>
    <w:p w14:paraId="44FECE5C">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4</w:t>
      </w:r>
      <w:r>
        <w:rPr>
          <w:rFonts w:ascii="宋体" w:hAnsi="宋体"/>
          <w:b w:val="0"/>
          <w:color w:val="000000" w:themeColor="text1"/>
          <w:sz w:val="21"/>
          <w:szCs w:val="21"/>
          <w:highlight w:val="none"/>
          <w14:textFill>
            <w14:solidFill>
              <w14:schemeClr w14:val="tx1"/>
            </w14:solidFill>
          </w14:textFill>
        </w:rPr>
        <w:t xml:space="preserve"> 支付合同价款</w:t>
      </w:r>
    </w:p>
    <w:p w14:paraId="2732350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发包人应按合同约定向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人及时</w:t>
      </w:r>
      <w:r>
        <w:rPr>
          <w:rFonts w:hint="eastAsia" w:ascii="宋体" w:hAnsi="宋体"/>
          <w:color w:val="000000" w:themeColor="text1"/>
          <w:sz w:val="21"/>
          <w:szCs w:val="21"/>
          <w:highlight w:val="none"/>
          <w14:textFill>
            <w14:solidFill>
              <w14:schemeClr w14:val="tx1"/>
            </w14:solidFill>
          </w14:textFill>
        </w:rPr>
        <w:t>足额</w:t>
      </w:r>
      <w:r>
        <w:rPr>
          <w:rFonts w:ascii="宋体" w:hAnsi="宋体"/>
          <w:color w:val="000000" w:themeColor="text1"/>
          <w:sz w:val="21"/>
          <w:szCs w:val="21"/>
          <w:highlight w:val="none"/>
          <w14:textFill>
            <w14:solidFill>
              <w14:schemeClr w14:val="tx1"/>
            </w14:solidFill>
          </w14:textFill>
        </w:rPr>
        <w:t>支付合同价款。</w:t>
      </w:r>
    </w:p>
    <w:p w14:paraId="4FA4C379">
      <w:pPr>
        <w:pStyle w:val="6"/>
        <w:keepNext w:val="0"/>
        <w:keepLines w:val="0"/>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设计文件接收</w:t>
      </w:r>
    </w:p>
    <w:p w14:paraId="16D01E8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发包人应按合同约定及时</w:t>
      </w:r>
      <w:r>
        <w:rPr>
          <w:rFonts w:hint="eastAsia" w:ascii="宋体" w:hAnsi="宋体"/>
          <w:color w:val="000000" w:themeColor="text1"/>
          <w:sz w:val="21"/>
          <w:szCs w:val="21"/>
          <w:highlight w:val="none"/>
          <w14:textFill>
            <w14:solidFill>
              <w14:schemeClr w14:val="tx1"/>
            </w14:solidFill>
          </w14:textFill>
        </w:rPr>
        <w:t>接收设计人提交的工程设计文件</w:t>
      </w:r>
      <w:r>
        <w:rPr>
          <w:rFonts w:ascii="宋体" w:hAnsi="宋体"/>
          <w:color w:val="000000" w:themeColor="text1"/>
          <w:sz w:val="21"/>
          <w:szCs w:val="21"/>
          <w:highlight w:val="none"/>
          <w14:textFill>
            <w14:solidFill>
              <w14:schemeClr w14:val="tx1"/>
            </w14:solidFill>
          </w14:textFill>
        </w:rPr>
        <w:t>。</w:t>
      </w:r>
    </w:p>
    <w:p w14:paraId="293CC30B">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3.</w:t>
      </w:r>
      <w:r>
        <w:rPr>
          <w:rFonts w:hint="eastAsia" w:ascii="黑体" w:hAnsi="黑体" w:eastAsia="黑体" w:cs="Times New Roman"/>
          <w:b w:val="0"/>
          <w:color w:val="000000" w:themeColor="text1"/>
          <w:highlight w:val="none"/>
          <w14:textFill>
            <w14:solidFill>
              <w14:schemeClr w14:val="tx1"/>
            </w14:solidFill>
          </w14:textFill>
        </w:rPr>
        <w:t>设计</w:t>
      </w:r>
      <w:r>
        <w:rPr>
          <w:rFonts w:ascii="黑体" w:hAnsi="黑体" w:eastAsia="黑体" w:cs="Times New Roman"/>
          <w:b w:val="0"/>
          <w:color w:val="000000" w:themeColor="text1"/>
          <w:highlight w:val="none"/>
          <w14:textFill>
            <w14:solidFill>
              <w14:schemeClr w14:val="tx1"/>
            </w14:solidFill>
          </w14:textFill>
        </w:rPr>
        <w:t>人</w:t>
      </w:r>
    </w:p>
    <w:p w14:paraId="18E7BFB1">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3.1 </w:t>
      </w:r>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人一般义务</w:t>
      </w:r>
    </w:p>
    <w:p w14:paraId="764CE1F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3.1.1 设计</w:t>
      </w:r>
      <w:r>
        <w:rPr>
          <w:rFonts w:ascii="宋体" w:hAnsi="宋体"/>
          <w:color w:val="000000" w:themeColor="text1"/>
          <w:sz w:val="21"/>
          <w:szCs w:val="21"/>
          <w:highlight w:val="none"/>
          <w14:textFill>
            <w14:solidFill>
              <w14:schemeClr w14:val="tx1"/>
            </w14:solidFill>
          </w14:textFill>
        </w:rPr>
        <w:t>人应遵守法律和</w:t>
      </w:r>
      <w:r>
        <w:rPr>
          <w:rFonts w:hint="eastAsia" w:ascii="宋体" w:hAnsi="宋体"/>
          <w:color w:val="000000" w:themeColor="text1"/>
          <w:sz w:val="21"/>
          <w:szCs w:val="21"/>
          <w:highlight w:val="none"/>
          <w14:textFill>
            <w14:solidFill>
              <w14:schemeClr w14:val="tx1"/>
            </w14:solidFill>
          </w14:textFill>
        </w:rPr>
        <w:t>有关技术标准的强制性规定</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完成合同约定范围内的专业建设工程初步设计、施工图设计，提供符合技术标准及合同要求的工程设计文件，提供施工配合服务。</w:t>
      </w:r>
    </w:p>
    <w:p w14:paraId="5FA7EFE7">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设计人应当按照专用合同条款约定配合发包人</w:t>
      </w:r>
      <w:r>
        <w:rPr>
          <w:rFonts w:ascii="宋体" w:hAnsi="宋体"/>
          <w:color w:val="000000" w:themeColor="text1"/>
          <w:sz w:val="21"/>
          <w:szCs w:val="21"/>
          <w:highlight w:val="none"/>
          <w14:textFill>
            <w14:solidFill>
              <w14:schemeClr w14:val="tx1"/>
            </w14:solidFill>
          </w14:textFill>
        </w:rPr>
        <w:t>办理</w:t>
      </w:r>
      <w:r>
        <w:rPr>
          <w:rFonts w:hint="eastAsia" w:ascii="宋体" w:hAnsi="宋体"/>
          <w:color w:val="000000" w:themeColor="text1"/>
          <w:sz w:val="21"/>
          <w:szCs w:val="21"/>
          <w:highlight w:val="none"/>
          <w14:textFill>
            <w14:solidFill>
              <w14:schemeClr w14:val="tx1"/>
            </w14:solidFill>
          </w14:textFill>
        </w:rPr>
        <w:t>有关</w:t>
      </w:r>
      <w:r>
        <w:rPr>
          <w:rFonts w:ascii="宋体" w:hAnsi="宋体"/>
          <w:color w:val="000000" w:themeColor="text1"/>
          <w:sz w:val="21"/>
          <w:szCs w:val="21"/>
          <w:highlight w:val="none"/>
          <w14:textFill>
            <w14:solidFill>
              <w14:schemeClr w14:val="tx1"/>
            </w14:solidFill>
          </w14:textFill>
        </w:rPr>
        <w:t>许可、</w:t>
      </w:r>
      <w:r>
        <w:rPr>
          <w:rFonts w:hint="eastAsia" w:ascii="宋体" w:hAnsi="宋体"/>
          <w:color w:val="000000" w:themeColor="text1"/>
          <w:sz w:val="21"/>
          <w:szCs w:val="21"/>
          <w:highlight w:val="none"/>
          <w14:textFill>
            <w14:solidFill>
              <w14:schemeClr w14:val="tx1"/>
            </w14:solidFill>
          </w14:textFill>
        </w:rPr>
        <w:t>核准</w:t>
      </w:r>
      <w:r>
        <w:rPr>
          <w:rFonts w:ascii="宋体" w:hAnsi="宋体"/>
          <w:color w:val="000000" w:themeColor="text1"/>
          <w:sz w:val="21"/>
          <w:szCs w:val="21"/>
          <w:highlight w:val="none"/>
          <w14:textFill>
            <w14:solidFill>
              <w14:schemeClr w14:val="tx1"/>
            </w14:solidFill>
          </w14:textFill>
        </w:rPr>
        <w:t>或备案</w:t>
      </w:r>
      <w:r>
        <w:rPr>
          <w:rFonts w:hint="eastAsia" w:ascii="宋体" w:hAnsi="宋体"/>
          <w:color w:val="000000" w:themeColor="text1"/>
          <w:sz w:val="21"/>
          <w:szCs w:val="21"/>
          <w:highlight w:val="none"/>
          <w14:textFill>
            <w14:solidFill>
              <w14:schemeClr w14:val="tx1"/>
            </w14:solidFill>
          </w14:textFill>
        </w:rPr>
        <w:t>手续</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w:t>
      </w:r>
      <w:r>
        <w:rPr>
          <w:rFonts w:hint="eastAsia" w:ascii="宋体" w:hAnsi="宋体"/>
          <w:color w:val="000000" w:themeColor="text1"/>
          <w:sz w:val="21"/>
          <w:szCs w:val="21"/>
          <w:highlight w:val="none"/>
          <w14:textFill>
            <w14:solidFill>
              <w14:schemeClr w14:val="tx1"/>
            </w14:solidFill>
          </w14:textFill>
        </w:rPr>
        <w:t>造成发包人</w:t>
      </w:r>
      <w:r>
        <w:rPr>
          <w:rFonts w:ascii="宋体" w:hAnsi="宋体"/>
          <w:color w:val="000000" w:themeColor="text1"/>
          <w:sz w:val="21"/>
          <w:szCs w:val="21"/>
          <w:highlight w:val="none"/>
          <w14:textFill>
            <w14:solidFill>
              <w14:schemeClr w14:val="tx1"/>
            </w14:solidFill>
          </w14:textFill>
        </w:rPr>
        <w:t>未能及时办理许可、</w:t>
      </w:r>
      <w:r>
        <w:rPr>
          <w:rFonts w:hint="eastAsia" w:ascii="宋体" w:hAnsi="宋体"/>
          <w:color w:val="000000" w:themeColor="text1"/>
          <w:sz w:val="21"/>
          <w:szCs w:val="21"/>
          <w:highlight w:val="none"/>
          <w14:textFill>
            <w14:solidFill>
              <w14:schemeClr w14:val="tx1"/>
            </w14:solidFill>
          </w14:textFill>
        </w:rPr>
        <w:t>核准</w:t>
      </w:r>
      <w:r>
        <w:rPr>
          <w:rFonts w:ascii="宋体" w:hAnsi="宋体"/>
          <w:color w:val="000000" w:themeColor="text1"/>
          <w:sz w:val="21"/>
          <w:szCs w:val="21"/>
          <w:highlight w:val="none"/>
          <w14:textFill>
            <w14:solidFill>
              <w14:schemeClr w14:val="tx1"/>
            </w14:solidFill>
          </w14:textFill>
        </w:rPr>
        <w:t>或备案</w:t>
      </w:r>
      <w:r>
        <w:rPr>
          <w:rFonts w:hint="eastAsia" w:ascii="宋体" w:hAnsi="宋体"/>
          <w:color w:val="000000" w:themeColor="text1"/>
          <w:sz w:val="21"/>
          <w:szCs w:val="21"/>
          <w:highlight w:val="none"/>
          <w14:textFill>
            <w14:solidFill>
              <w14:schemeClr w14:val="tx1"/>
            </w14:solidFill>
          </w14:textFill>
        </w:rPr>
        <w:t>手续</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导致设计工作量增加和（或）设计周期延长时，</w:t>
      </w:r>
      <w:r>
        <w:rPr>
          <w:rFonts w:ascii="宋体" w:hAnsi="宋体"/>
          <w:color w:val="000000" w:themeColor="text1"/>
          <w:sz w:val="21"/>
          <w:szCs w:val="21"/>
          <w:highlight w:val="none"/>
          <w14:textFill>
            <w14:solidFill>
              <w14:schemeClr w14:val="tx1"/>
            </w14:solidFill>
          </w14:textFill>
        </w:rPr>
        <w:t>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自行</w:t>
      </w:r>
      <w:r>
        <w:rPr>
          <w:rFonts w:ascii="宋体" w:hAnsi="宋体"/>
          <w:color w:val="000000" w:themeColor="text1"/>
          <w:sz w:val="21"/>
          <w:szCs w:val="21"/>
          <w:highlight w:val="none"/>
          <w14:textFill>
            <w14:solidFill>
              <w14:schemeClr w14:val="tx1"/>
            </w14:solidFill>
          </w14:textFill>
        </w:rPr>
        <w:t>承担由此增加的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设计周期延长的责任。</w:t>
      </w:r>
    </w:p>
    <w:p w14:paraId="76E1E81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3.1.2 设计人应当完成合同约定的工程设计其他服务。</w:t>
      </w:r>
    </w:p>
    <w:p w14:paraId="3DF298F4">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3.1.3 专用合同条款约定的其他义务。</w:t>
      </w:r>
    </w:p>
    <w:p w14:paraId="34E71414">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3.2 项目负责人</w:t>
      </w:r>
    </w:p>
    <w:p w14:paraId="19B9F99C">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3.2.1 项目负责人应为合同当事人所确认的人选，并在专用合同条款中明确项目负责人的姓名、</w:t>
      </w:r>
      <w:r>
        <w:rPr>
          <w:rFonts w:hint="eastAsia" w:ascii="宋体" w:hAnsi="宋体"/>
          <w:color w:val="000000" w:themeColor="text1"/>
          <w:sz w:val="21"/>
          <w:szCs w:val="21"/>
          <w:highlight w:val="none"/>
          <w14:textFill>
            <w14:solidFill>
              <w14:schemeClr w14:val="tx1"/>
            </w14:solidFill>
          </w14:textFill>
        </w:rPr>
        <w:t>执业资格及等级与</w:t>
      </w:r>
      <w:r>
        <w:rPr>
          <w:rFonts w:ascii="宋体" w:hAnsi="宋体"/>
          <w:color w:val="000000" w:themeColor="text1"/>
          <w:sz w:val="21"/>
          <w:szCs w:val="21"/>
          <w:highlight w:val="none"/>
          <w14:textFill>
            <w14:solidFill>
              <w14:schemeClr w14:val="tx1"/>
            </w14:solidFill>
          </w14:textFill>
        </w:rPr>
        <w:t>注册执业证书编号</w:t>
      </w:r>
      <w:r>
        <w:rPr>
          <w:rFonts w:hint="eastAsia" w:ascii="宋体" w:hAnsi="宋体"/>
          <w:color w:val="000000" w:themeColor="text1"/>
          <w:sz w:val="21"/>
          <w:szCs w:val="21"/>
          <w:highlight w:val="none"/>
          <w14:textFill>
            <w14:solidFill>
              <w14:schemeClr w14:val="tx1"/>
            </w14:solidFill>
          </w14:textFill>
        </w:rPr>
        <w:t>或职称</w:t>
      </w:r>
      <w:r>
        <w:rPr>
          <w:rFonts w:ascii="宋体" w:hAnsi="宋体"/>
          <w:color w:val="000000" w:themeColor="text1"/>
          <w:sz w:val="21"/>
          <w:szCs w:val="21"/>
          <w:highlight w:val="none"/>
          <w14:textFill>
            <w14:solidFill>
              <w14:schemeClr w14:val="tx1"/>
            </w14:solidFill>
          </w14:textFill>
        </w:rPr>
        <w:t>、联系方式及授权范围等事项，项目负责人经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人授权后代表</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人负责履行合同。</w:t>
      </w:r>
    </w:p>
    <w:p w14:paraId="56D15CDB">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人需要更换项目负责人的，应</w:t>
      </w:r>
      <w:r>
        <w:rPr>
          <w:rFonts w:hint="eastAsia" w:ascii="宋体" w:hAnsi="宋体"/>
          <w:color w:val="000000" w:themeColor="text1"/>
          <w:sz w:val="21"/>
          <w:szCs w:val="21"/>
          <w:highlight w:val="none"/>
          <w14:textFill>
            <w14:solidFill>
              <w14:schemeClr w14:val="tx1"/>
            </w14:solidFill>
          </w14:textFill>
        </w:rPr>
        <w:t>在专用合同条款约定的期限内</w:t>
      </w:r>
      <w:r>
        <w:rPr>
          <w:rFonts w:ascii="宋体" w:hAnsi="宋体"/>
          <w:color w:val="000000" w:themeColor="text1"/>
          <w:sz w:val="21"/>
          <w:szCs w:val="21"/>
          <w:highlight w:val="none"/>
          <w14:textFill>
            <w14:solidFill>
              <w14:schemeClr w14:val="tx1"/>
            </w14:solidFill>
          </w14:textFill>
        </w:rPr>
        <w:t>提前书面通知发包人，并征得发包人书面同意。通知中应当载明继任项目负责人的注册执业资格</w:t>
      </w:r>
      <w:r>
        <w:rPr>
          <w:rFonts w:hint="eastAsia" w:ascii="宋体" w:hAnsi="宋体"/>
          <w:color w:val="000000" w:themeColor="text1"/>
          <w:sz w:val="21"/>
          <w:szCs w:val="21"/>
          <w:highlight w:val="none"/>
          <w14:textFill>
            <w14:solidFill>
              <w14:schemeClr w14:val="tx1"/>
            </w14:solidFill>
          </w14:textFill>
        </w:rPr>
        <w:t>或职称</w:t>
      </w:r>
      <w:r>
        <w:rPr>
          <w:rFonts w:ascii="宋体" w:hAnsi="宋体"/>
          <w:color w:val="000000" w:themeColor="text1"/>
          <w:sz w:val="21"/>
          <w:szCs w:val="21"/>
          <w:highlight w:val="none"/>
          <w14:textFill>
            <w14:solidFill>
              <w14:schemeClr w14:val="tx1"/>
            </w14:solidFill>
          </w14:textFill>
        </w:rPr>
        <w:t>、管理经验等资料，继任项目负责人继续履行第3.2.1项约定的职责。未经发包人书面同意，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人不得擅自更换项目负责人。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人擅自更换项目负责人的，应按照专用合同条款的约定承担违约责任。</w:t>
      </w:r>
      <w:r>
        <w:rPr>
          <w:rFonts w:hint="eastAsia" w:ascii="宋体" w:hAnsi="宋体"/>
          <w:color w:val="000000" w:themeColor="text1"/>
          <w:sz w:val="21"/>
          <w:szCs w:val="21"/>
          <w:highlight w:val="none"/>
          <w14:textFill>
            <w14:solidFill>
              <w14:schemeClr w14:val="tx1"/>
            </w14:solidFill>
          </w14:textFill>
        </w:rPr>
        <w:t>对于设计人项目负责人确因患病、与设计人解除或终止劳动关系、工伤等原因更换项目负责人的，发包人无正当理由不得拒绝更换。</w:t>
      </w:r>
    </w:p>
    <w:p w14:paraId="6A6A17C7">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发包人有权书面通知设计人更换其认为不称职的项目负责人，通知中应当载明要求更换的理由。</w:t>
      </w:r>
      <w:r>
        <w:rPr>
          <w:rFonts w:hint="eastAsia" w:ascii="宋体" w:hAnsi="宋体"/>
          <w:color w:val="000000" w:themeColor="text1"/>
          <w:sz w:val="21"/>
          <w:szCs w:val="21"/>
          <w:highlight w:val="none"/>
          <w14:textFill>
            <w14:solidFill>
              <w14:schemeClr w14:val="tx1"/>
            </w14:solidFill>
          </w14:textFill>
        </w:rPr>
        <w:t>对于发包人有理由的更换要求，设计</w:t>
      </w:r>
      <w:r>
        <w:rPr>
          <w:rFonts w:ascii="宋体" w:hAnsi="宋体"/>
          <w:color w:val="000000" w:themeColor="text1"/>
          <w:sz w:val="21"/>
          <w:szCs w:val="21"/>
          <w:highlight w:val="none"/>
          <w14:textFill>
            <w14:solidFill>
              <w14:schemeClr w14:val="tx1"/>
            </w14:solidFill>
          </w14:textFill>
        </w:rPr>
        <w:t>人应在</w:t>
      </w:r>
      <w:r>
        <w:rPr>
          <w:rFonts w:hint="eastAsia" w:ascii="宋体" w:hAnsi="宋体"/>
          <w:color w:val="000000" w:themeColor="text1"/>
          <w:sz w:val="21"/>
          <w:szCs w:val="21"/>
          <w:highlight w:val="none"/>
          <w14:textFill>
            <w14:solidFill>
              <w14:schemeClr w14:val="tx1"/>
            </w14:solidFill>
          </w14:textFill>
        </w:rPr>
        <w:t>收</w:t>
      </w:r>
      <w:r>
        <w:rPr>
          <w:rFonts w:ascii="宋体" w:hAnsi="宋体"/>
          <w:color w:val="000000" w:themeColor="text1"/>
          <w:sz w:val="21"/>
          <w:szCs w:val="21"/>
          <w:highlight w:val="none"/>
          <w14:textFill>
            <w14:solidFill>
              <w14:schemeClr w14:val="tx1"/>
            </w14:solidFill>
          </w14:textFill>
        </w:rPr>
        <w:t>到</w:t>
      </w:r>
      <w:r>
        <w:rPr>
          <w:rFonts w:hint="eastAsia" w:ascii="宋体" w:hAnsi="宋体"/>
          <w:color w:val="000000" w:themeColor="text1"/>
          <w:sz w:val="21"/>
          <w:szCs w:val="21"/>
          <w:highlight w:val="none"/>
          <w14:textFill>
            <w14:solidFill>
              <w14:schemeClr w14:val="tx1"/>
            </w14:solidFill>
          </w14:textFill>
        </w:rPr>
        <w:t>书面</w:t>
      </w:r>
      <w:r>
        <w:rPr>
          <w:rFonts w:ascii="宋体" w:hAnsi="宋体"/>
          <w:color w:val="000000" w:themeColor="text1"/>
          <w:sz w:val="21"/>
          <w:szCs w:val="21"/>
          <w:highlight w:val="none"/>
          <w14:textFill>
            <w14:solidFill>
              <w14:schemeClr w14:val="tx1"/>
            </w14:solidFill>
          </w14:textFill>
        </w:rPr>
        <w:t>更换通知后</w:t>
      </w:r>
      <w:r>
        <w:rPr>
          <w:rFonts w:hint="eastAsia" w:ascii="宋体" w:hAnsi="宋体"/>
          <w:color w:val="000000" w:themeColor="text1"/>
          <w:sz w:val="21"/>
          <w:szCs w:val="21"/>
          <w:highlight w:val="none"/>
          <w14:textFill>
            <w14:solidFill>
              <w14:schemeClr w14:val="tx1"/>
            </w14:solidFill>
          </w14:textFill>
        </w:rPr>
        <w:t>在专用合同条款约定的期限</w:t>
      </w:r>
      <w:r>
        <w:rPr>
          <w:rFonts w:ascii="宋体" w:hAnsi="宋体"/>
          <w:color w:val="000000" w:themeColor="text1"/>
          <w:sz w:val="21"/>
          <w:szCs w:val="21"/>
          <w:highlight w:val="none"/>
          <w14:textFill>
            <w14:solidFill>
              <w14:schemeClr w14:val="tx1"/>
            </w14:solidFill>
          </w14:textFill>
        </w:rPr>
        <w:t>内进行更换，并将新任命的项目负责人的注册执业资格</w:t>
      </w:r>
      <w:r>
        <w:rPr>
          <w:rFonts w:hint="eastAsia" w:ascii="宋体" w:hAnsi="宋体"/>
          <w:color w:val="000000" w:themeColor="text1"/>
          <w:sz w:val="21"/>
          <w:szCs w:val="21"/>
          <w:highlight w:val="none"/>
          <w14:textFill>
            <w14:solidFill>
              <w14:schemeClr w14:val="tx1"/>
            </w14:solidFill>
          </w14:textFill>
        </w:rPr>
        <w:t>或职称</w:t>
      </w:r>
      <w:r>
        <w:rPr>
          <w:rFonts w:ascii="宋体" w:hAnsi="宋体"/>
          <w:color w:val="000000" w:themeColor="text1"/>
          <w:sz w:val="21"/>
          <w:szCs w:val="21"/>
          <w:highlight w:val="none"/>
          <w14:textFill>
            <w14:solidFill>
              <w14:schemeClr w14:val="tx1"/>
            </w14:solidFill>
          </w14:textFill>
        </w:rPr>
        <w:t>、管理经验等资料书面通知发包人。</w:t>
      </w:r>
      <w:r>
        <w:rPr>
          <w:rFonts w:hint="eastAsia" w:ascii="宋体" w:hAnsi="宋体"/>
          <w:color w:val="000000" w:themeColor="text1"/>
          <w:sz w:val="21"/>
          <w:szCs w:val="21"/>
          <w:highlight w:val="none"/>
          <w14:textFill>
            <w14:solidFill>
              <w14:schemeClr w14:val="tx1"/>
            </w14:solidFill>
          </w14:textFill>
        </w:rPr>
        <w:t>继</w:t>
      </w:r>
      <w:r>
        <w:rPr>
          <w:rFonts w:ascii="宋体" w:hAnsi="宋体"/>
          <w:color w:val="000000" w:themeColor="text1"/>
          <w:sz w:val="21"/>
          <w:szCs w:val="21"/>
          <w:highlight w:val="none"/>
          <w14:textFill>
            <w14:solidFill>
              <w14:schemeClr w14:val="tx1"/>
            </w14:solidFill>
          </w14:textFill>
        </w:rPr>
        <w:t>任项目负责人继续履行第3.2.1项约定的职责。</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人无正当理由拒绝更换项目负责人的，应按照专用合同条款的约定承担违约责任。</w:t>
      </w:r>
    </w:p>
    <w:p w14:paraId="17AB0969">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3.3 </w:t>
      </w:r>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人人员</w:t>
      </w:r>
    </w:p>
    <w:p w14:paraId="511E862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3.3.1 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人应在接到</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通知后7天内，向</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人提交</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人项目管理机构及人员安排的报告，其内容应包括</w:t>
      </w:r>
      <w:r>
        <w:rPr>
          <w:rFonts w:hint="eastAsia" w:ascii="宋体" w:hAnsi="宋体"/>
          <w:color w:val="000000" w:themeColor="text1"/>
          <w:sz w:val="21"/>
          <w:szCs w:val="21"/>
          <w:highlight w:val="none"/>
          <w14:textFill>
            <w14:solidFill>
              <w14:schemeClr w14:val="tx1"/>
            </w14:solidFill>
          </w14:textFill>
        </w:rPr>
        <w:t>工艺、土建、设备</w:t>
      </w:r>
      <w:r>
        <w:rPr>
          <w:rFonts w:ascii="宋体" w:hAnsi="宋体"/>
          <w:color w:val="000000" w:themeColor="text1"/>
          <w:sz w:val="21"/>
          <w:szCs w:val="21"/>
          <w:highlight w:val="none"/>
          <w14:textFill>
            <w14:solidFill>
              <w14:schemeClr w14:val="tx1"/>
            </w14:solidFill>
          </w14:textFill>
        </w:rPr>
        <w:t>等</w:t>
      </w:r>
      <w:r>
        <w:rPr>
          <w:rFonts w:hint="eastAsia" w:ascii="宋体" w:hAnsi="宋体"/>
          <w:color w:val="000000" w:themeColor="text1"/>
          <w:sz w:val="21"/>
          <w:szCs w:val="21"/>
          <w:highlight w:val="none"/>
          <w14:textFill>
            <w14:solidFill>
              <w14:schemeClr w14:val="tx1"/>
            </w14:solidFill>
          </w14:textFill>
        </w:rPr>
        <w:t>专业负责人</w:t>
      </w:r>
      <w:r>
        <w:rPr>
          <w:rFonts w:ascii="宋体" w:hAnsi="宋体"/>
          <w:color w:val="000000" w:themeColor="text1"/>
          <w:sz w:val="21"/>
          <w:szCs w:val="21"/>
          <w:highlight w:val="none"/>
          <w14:textFill>
            <w14:solidFill>
              <w14:schemeClr w14:val="tx1"/>
            </w14:solidFill>
          </w14:textFill>
        </w:rPr>
        <w:t>名单及其岗位、注册执业资格</w:t>
      </w:r>
      <w:r>
        <w:rPr>
          <w:rFonts w:hint="eastAsia" w:ascii="宋体" w:hAnsi="宋体"/>
          <w:color w:val="000000" w:themeColor="text1"/>
          <w:sz w:val="21"/>
          <w:szCs w:val="21"/>
          <w:highlight w:val="none"/>
          <w14:textFill>
            <w14:solidFill>
              <w14:schemeClr w14:val="tx1"/>
            </w14:solidFill>
          </w14:textFill>
        </w:rPr>
        <w:t>或职称</w:t>
      </w:r>
      <w:r>
        <w:rPr>
          <w:rFonts w:ascii="宋体" w:hAnsi="宋体"/>
          <w:color w:val="000000" w:themeColor="text1"/>
          <w:sz w:val="21"/>
          <w:szCs w:val="21"/>
          <w:highlight w:val="none"/>
          <w14:textFill>
            <w14:solidFill>
              <w14:schemeClr w14:val="tx1"/>
            </w14:solidFill>
          </w14:textFill>
        </w:rPr>
        <w:t>等。</w:t>
      </w:r>
    </w:p>
    <w:p w14:paraId="56C353DC">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3.3.2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委</w:t>
      </w:r>
      <w:r>
        <w:rPr>
          <w:rFonts w:ascii="宋体" w:hAnsi="宋体"/>
          <w:color w:val="000000" w:themeColor="text1"/>
          <w:sz w:val="21"/>
          <w:szCs w:val="21"/>
          <w:highlight w:val="none"/>
          <w14:textFill>
            <w14:solidFill>
              <w14:schemeClr w14:val="tx1"/>
            </w14:solidFill>
          </w14:textFill>
        </w:rPr>
        <w:t>派到</w:t>
      </w:r>
      <w:r>
        <w:rPr>
          <w:rFonts w:hint="eastAsia" w:ascii="宋体" w:hAnsi="宋体"/>
          <w:color w:val="000000" w:themeColor="text1"/>
          <w:sz w:val="21"/>
          <w:szCs w:val="21"/>
          <w:highlight w:val="none"/>
          <w14:textFill>
            <w14:solidFill>
              <w14:schemeClr w14:val="tx1"/>
            </w14:solidFill>
          </w14:textFill>
        </w:rPr>
        <w:t>工程设计中的设计</w:t>
      </w:r>
      <w:r>
        <w:rPr>
          <w:rFonts w:ascii="宋体" w:hAnsi="宋体"/>
          <w:color w:val="000000" w:themeColor="text1"/>
          <w:sz w:val="21"/>
          <w:szCs w:val="21"/>
          <w:highlight w:val="none"/>
          <w14:textFill>
            <w14:solidFill>
              <w14:schemeClr w14:val="tx1"/>
            </w14:solidFill>
          </w14:textFill>
        </w:rPr>
        <w:t>人员应相对稳定。</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过程中</w:t>
      </w:r>
      <w:r>
        <w:rPr>
          <w:rFonts w:hint="eastAsia" w:ascii="宋体" w:hAnsi="宋体"/>
          <w:color w:val="000000" w:themeColor="text1"/>
          <w:sz w:val="21"/>
          <w:szCs w:val="21"/>
          <w:highlight w:val="none"/>
          <w14:textFill>
            <w14:solidFill>
              <w14:schemeClr w14:val="tx1"/>
            </w14:solidFill>
          </w14:textFill>
        </w:rPr>
        <w:t>如有变动</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人应及时向</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人提交</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人员变动情况的报告。</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人更换</w:t>
      </w:r>
      <w:r>
        <w:rPr>
          <w:rFonts w:hint="eastAsia" w:ascii="宋体" w:hAnsi="宋体"/>
          <w:color w:val="000000" w:themeColor="text1"/>
          <w:sz w:val="21"/>
          <w:szCs w:val="21"/>
          <w:highlight w:val="none"/>
          <w14:textFill>
            <w14:solidFill>
              <w14:schemeClr w14:val="tx1"/>
            </w14:solidFill>
          </w14:textFill>
        </w:rPr>
        <w:t>专业负责</w:t>
      </w:r>
      <w:r>
        <w:rPr>
          <w:rFonts w:ascii="宋体" w:hAnsi="宋体"/>
          <w:color w:val="000000" w:themeColor="text1"/>
          <w:sz w:val="21"/>
          <w:szCs w:val="21"/>
          <w:highlight w:val="none"/>
          <w14:textFill>
            <w14:solidFill>
              <w14:schemeClr w14:val="tx1"/>
            </w14:solidFill>
          </w14:textFill>
        </w:rPr>
        <w:t>人时，应提前7天书面通知</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除专业负责人无法正常履职情形外，还应</w:t>
      </w:r>
      <w:r>
        <w:rPr>
          <w:rFonts w:ascii="宋体" w:hAnsi="宋体"/>
          <w:color w:val="000000" w:themeColor="text1"/>
          <w:sz w:val="21"/>
          <w:szCs w:val="21"/>
          <w:highlight w:val="none"/>
          <w14:textFill>
            <w14:solidFill>
              <w14:schemeClr w14:val="tx1"/>
            </w14:solidFill>
          </w14:textFill>
        </w:rPr>
        <w:t>征得发包人书面同意。通知中应当载明继任人员的注册执业资格</w:t>
      </w:r>
      <w:r>
        <w:rPr>
          <w:rFonts w:hint="eastAsia" w:ascii="宋体" w:hAnsi="宋体"/>
          <w:color w:val="000000" w:themeColor="text1"/>
          <w:sz w:val="21"/>
          <w:szCs w:val="21"/>
          <w:highlight w:val="none"/>
          <w14:textFill>
            <w14:solidFill>
              <w14:schemeClr w14:val="tx1"/>
            </w14:solidFill>
          </w14:textFill>
        </w:rPr>
        <w:t>或职称</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执业</w:t>
      </w:r>
      <w:r>
        <w:rPr>
          <w:rFonts w:ascii="宋体" w:hAnsi="宋体"/>
          <w:color w:val="000000" w:themeColor="text1"/>
          <w:sz w:val="21"/>
          <w:szCs w:val="21"/>
          <w:highlight w:val="none"/>
          <w14:textFill>
            <w14:solidFill>
              <w14:schemeClr w14:val="tx1"/>
            </w14:solidFill>
          </w14:textFill>
        </w:rPr>
        <w:t>经验等资料。</w:t>
      </w:r>
    </w:p>
    <w:p w14:paraId="1D6C4AE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3.3.3 发包人对于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人主要</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人员</w:t>
      </w:r>
      <w:r>
        <w:rPr>
          <w:rFonts w:hint="eastAsia" w:ascii="宋体" w:hAnsi="宋体"/>
          <w:color w:val="000000" w:themeColor="text1"/>
          <w:sz w:val="21"/>
          <w:szCs w:val="21"/>
          <w:highlight w:val="none"/>
          <w14:textFill>
            <w14:solidFill>
              <w14:schemeClr w14:val="tx1"/>
            </w14:solidFill>
          </w14:textFill>
        </w:rPr>
        <w:t>的资格或能力</w:t>
      </w:r>
      <w:r>
        <w:rPr>
          <w:rFonts w:ascii="宋体" w:hAnsi="宋体"/>
          <w:color w:val="000000" w:themeColor="text1"/>
          <w:sz w:val="21"/>
          <w:szCs w:val="21"/>
          <w:highlight w:val="none"/>
          <w14:textFill>
            <w14:solidFill>
              <w14:schemeClr w14:val="tx1"/>
            </w14:solidFill>
          </w14:textFill>
        </w:rPr>
        <w:t>有异议的，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人应提供资料证明被质疑人员有能力完成其岗位工作或不存在发包人所质疑的情形。发包人要求撤换不能按照合同约定履行职责及义务的主要</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人员的，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认为发包人有理由的，</w:t>
      </w:r>
      <w:r>
        <w:rPr>
          <w:rFonts w:ascii="宋体" w:hAnsi="宋体"/>
          <w:color w:val="000000" w:themeColor="text1"/>
          <w:sz w:val="21"/>
          <w:szCs w:val="21"/>
          <w:highlight w:val="none"/>
          <w14:textFill>
            <w14:solidFill>
              <w14:schemeClr w14:val="tx1"/>
            </w14:solidFill>
          </w14:textFill>
        </w:rPr>
        <w:t>应当撤换。</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人无正当理由拒绝撤换的，应按照专用合同条款的约定承担违约责任。</w:t>
      </w:r>
    </w:p>
    <w:p w14:paraId="0F8B97FB">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4</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分包</w:t>
      </w:r>
    </w:p>
    <w:p w14:paraId="635B8F3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分包的一般约定</w:t>
      </w:r>
    </w:p>
    <w:p w14:paraId="61AAC09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人不得将其承包的全部工程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转包给第三人，或将其承包的全部工程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肢解后以分包的名义转包给第三人。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人不得将工程主体结构、关键性工作及专用合同条款中禁止分包的工程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分包给第三人，</w:t>
      </w:r>
      <w:r>
        <w:rPr>
          <w:rFonts w:hint="eastAsia" w:ascii="宋体" w:hAnsi="宋体"/>
          <w:color w:val="000000" w:themeColor="text1"/>
          <w:sz w:val="21"/>
          <w:szCs w:val="21"/>
          <w:highlight w:val="none"/>
          <w14:textFill>
            <w14:solidFill>
              <w14:schemeClr w14:val="tx1"/>
            </w14:solidFill>
          </w14:textFill>
        </w:rPr>
        <w:t>工程</w:t>
      </w:r>
      <w:r>
        <w:rPr>
          <w:rFonts w:ascii="宋体" w:hAnsi="宋体"/>
          <w:color w:val="000000" w:themeColor="text1"/>
          <w:sz w:val="21"/>
          <w:szCs w:val="21"/>
          <w:highlight w:val="none"/>
          <w14:textFill>
            <w14:solidFill>
              <w14:schemeClr w14:val="tx1"/>
            </w14:solidFill>
          </w14:textFill>
        </w:rPr>
        <w:t>主体结构、关键性工作的范围由合同当事人按照法律规定在专用合同条款中予以明确。</w:t>
      </w:r>
      <w:r>
        <w:rPr>
          <w:rFonts w:hint="eastAsia" w:ascii="宋体" w:hAnsi="宋体"/>
          <w:color w:val="000000" w:themeColor="text1"/>
          <w:sz w:val="21"/>
          <w:szCs w:val="21"/>
          <w:highlight w:val="none"/>
          <w14:textFill>
            <w14:solidFill>
              <w14:schemeClr w14:val="tx1"/>
            </w14:solidFill>
          </w14:textFill>
        </w:rPr>
        <w:t>设计人不得进行违法分包。</w:t>
      </w:r>
    </w:p>
    <w:p w14:paraId="1E5D918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分包的确定</w:t>
      </w:r>
    </w:p>
    <w:p w14:paraId="21300C3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人应按专用合同条款的约定</w:t>
      </w:r>
      <w:r>
        <w:rPr>
          <w:rFonts w:hint="eastAsia" w:ascii="宋体" w:hAnsi="宋体"/>
          <w:color w:val="000000" w:themeColor="text1"/>
          <w:sz w:val="21"/>
          <w:szCs w:val="21"/>
          <w:highlight w:val="none"/>
          <w14:textFill>
            <w14:solidFill>
              <w14:schemeClr w14:val="tx1"/>
            </w14:solidFill>
          </w14:textFill>
        </w:rPr>
        <w:t>或经过发包人书面同意后</w:t>
      </w:r>
      <w:r>
        <w:rPr>
          <w:rFonts w:ascii="宋体" w:hAnsi="宋体"/>
          <w:color w:val="000000" w:themeColor="text1"/>
          <w:sz w:val="21"/>
          <w:szCs w:val="21"/>
          <w:highlight w:val="none"/>
          <w14:textFill>
            <w14:solidFill>
              <w14:schemeClr w14:val="tx1"/>
            </w14:solidFill>
          </w14:textFill>
        </w:rPr>
        <w:t>进行分包，确定分包人。按照合同约定</w:t>
      </w:r>
      <w:r>
        <w:rPr>
          <w:rFonts w:hint="eastAsia" w:ascii="宋体" w:hAnsi="宋体"/>
          <w:color w:val="000000" w:themeColor="text1"/>
          <w:sz w:val="21"/>
          <w:szCs w:val="21"/>
          <w:highlight w:val="none"/>
          <w14:textFill>
            <w14:solidFill>
              <w14:schemeClr w14:val="tx1"/>
            </w14:solidFill>
          </w14:textFill>
        </w:rPr>
        <w:t>或经过发包人书面同意后</w:t>
      </w:r>
      <w:r>
        <w:rPr>
          <w:rFonts w:ascii="宋体" w:hAnsi="宋体"/>
          <w:color w:val="000000" w:themeColor="text1"/>
          <w:sz w:val="21"/>
          <w:szCs w:val="21"/>
          <w:highlight w:val="none"/>
          <w14:textFill>
            <w14:solidFill>
              <w14:schemeClr w14:val="tx1"/>
            </w14:solidFill>
          </w14:textFill>
        </w:rPr>
        <w:t>进行分包的，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人应确保分包人具有相应的资质和能力。工程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分包不减轻或免除</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人的责任和义务，</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人和分包人就分包工程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向发包人承担连带责任。</w:t>
      </w:r>
    </w:p>
    <w:p w14:paraId="46104D6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.3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分包管理</w:t>
      </w:r>
    </w:p>
    <w:p w14:paraId="1A221D9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w:t>
      </w:r>
      <w:r>
        <w:rPr>
          <w:rFonts w:hint="eastAsia" w:ascii="宋体" w:hAnsi="宋体"/>
          <w:color w:val="000000" w:themeColor="text1"/>
          <w:sz w:val="21"/>
          <w:szCs w:val="21"/>
          <w:highlight w:val="none"/>
          <w14:textFill>
            <w14:solidFill>
              <w14:schemeClr w14:val="tx1"/>
            </w14:solidFill>
          </w14:textFill>
        </w:rPr>
        <w:t>按照专用合同条款的约定</w:t>
      </w:r>
      <w:r>
        <w:rPr>
          <w:rFonts w:ascii="宋体" w:hAnsi="宋体"/>
          <w:color w:val="000000" w:themeColor="text1"/>
          <w:sz w:val="21"/>
          <w:szCs w:val="21"/>
          <w:highlight w:val="none"/>
          <w14:textFill>
            <w14:solidFill>
              <w14:schemeClr w14:val="tx1"/>
            </w14:solidFill>
          </w14:textFill>
        </w:rPr>
        <w:t>向</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人提交分包人的主要</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人员</w:t>
      </w:r>
      <w:r>
        <w:rPr>
          <w:rFonts w:hint="eastAsia" w:ascii="宋体" w:hAnsi="宋体"/>
          <w:color w:val="000000" w:themeColor="text1"/>
          <w:sz w:val="21"/>
          <w:szCs w:val="21"/>
          <w:highlight w:val="none"/>
          <w14:textFill>
            <w14:solidFill>
              <w14:schemeClr w14:val="tx1"/>
            </w14:solidFill>
          </w14:textFill>
        </w:rPr>
        <w:t>名单、注册执业资格或职称及执业经历等。</w:t>
      </w:r>
    </w:p>
    <w:p w14:paraId="329D0F1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.4 分包</w:t>
      </w:r>
      <w:r>
        <w:rPr>
          <w:rFonts w:hint="eastAsia" w:ascii="宋体" w:hAnsi="宋体"/>
          <w:color w:val="000000" w:themeColor="text1"/>
          <w:sz w:val="21"/>
          <w:szCs w:val="21"/>
          <w:highlight w:val="none"/>
          <w14:textFill>
            <w14:solidFill>
              <w14:schemeClr w14:val="tx1"/>
            </w14:solidFill>
          </w14:textFill>
        </w:rPr>
        <w:t>工程设计费</w:t>
      </w:r>
    </w:p>
    <w:p w14:paraId="4444B73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（1）除本项第（2）目约定的情况或专用合同条款另有约定外，分包</w:t>
      </w:r>
      <w:r>
        <w:rPr>
          <w:rFonts w:hint="eastAsia" w:ascii="宋体" w:hAnsi="宋体"/>
          <w:color w:val="000000" w:themeColor="text1"/>
          <w:sz w:val="21"/>
          <w:szCs w:val="21"/>
          <w:highlight w:val="none"/>
          <w14:textFill>
            <w14:solidFill>
              <w14:schemeClr w14:val="tx1"/>
            </w14:solidFill>
          </w14:textFill>
        </w:rPr>
        <w:t>工程设计费</w:t>
      </w:r>
      <w:r>
        <w:rPr>
          <w:rFonts w:ascii="宋体" w:hAnsi="宋体"/>
          <w:color w:val="000000" w:themeColor="text1"/>
          <w:sz w:val="21"/>
          <w:szCs w:val="21"/>
          <w:highlight w:val="none"/>
          <w14:textFill>
            <w14:solidFill>
              <w14:schemeClr w14:val="tx1"/>
            </w14:solidFill>
          </w14:textFill>
        </w:rPr>
        <w:t>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人与分包人结算，未经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人同意，发包人不得向分包人支付分包工程</w:t>
      </w:r>
      <w:r>
        <w:rPr>
          <w:rFonts w:hint="eastAsia" w:ascii="宋体" w:hAnsi="宋体"/>
          <w:color w:val="000000" w:themeColor="text1"/>
          <w:sz w:val="21"/>
          <w:szCs w:val="21"/>
          <w:highlight w:val="none"/>
          <w14:textFill>
            <w14:solidFill>
              <w14:schemeClr w14:val="tx1"/>
            </w14:solidFill>
          </w14:textFill>
        </w:rPr>
        <w:t>设计费</w:t>
      </w:r>
      <w:r>
        <w:rPr>
          <w:rFonts w:ascii="宋体" w:hAnsi="宋体"/>
          <w:color w:val="000000" w:themeColor="text1"/>
          <w:sz w:val="21"/>
          <w:szCs w:val="21"/>
          <w:highlight w:val="none"/>
          <w14:textFill>
            <w14:solidFill>
              <w14:schemeClr w14:val="tx1"/>
            </w14:solidFill>
          </w14:textFill>
        </w:rPr>
        <w:t>；</w:t>
      </w:r>
    </w:p>
    <w:p w14:paraId="329F827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（2）生效</w:t>
      </w:r>
      <w:r>
        <w:rPr>
          <w:rFonts w:hint="eastAsia" w:ascii="宋体" w:hAnsi="宋体"/>
          <w:color w:val="000000" w:themeColor="text1"/>
          <w:sz w:val="21"/>
          <w:szCs w:val="21"/>
          <w:highlight w:val="none"/>
          <w14:textFill>
            <w14:solidFill>
              <w14:schemeClr w14:val="tx1"/>
            </w14:solidFill>
          </w14:textFill>
        </w:rPr>
        <w:t>的法院判决书或仲裁裁决书</w:t>
      </w:r>
      <w:r>
        <w:rPr>
          <w:rFonts w:ascii="宋体" w:hAnsi="宋体"/>
          <w:color w:val="000000" w:themeColor="text1"/>
          <w:sz w:val="21"/>
          <w:szCs w:val="21"/>
          <w:highlight w:val="none"/>
          <w14:textFill>
            <w14:solidFill>
              <w14:schemeClr w14:val="tx1"/>
            </w14:solidFill>
          </w14:textFill>
        </w:rPr>
        <w:t>要求发包人向分包人支付分包</w:t>
      </w:r>
      <w:r>
        <w:rPr>
          <w:rFonts w:hint="eastAsia" w:ascii="宋体" w:hAnsi="宋体"/>
          <w:color w:val="000000" w:themeColor="text1"/>
          <w:sz w:val="21"/>
          <w:szCs w:val="21"/>
          <w:highlight w:val="none"/>
          <w14:textFill>
            <w14:solidFill>
              <w14:schemeClr w14:val="tx1"/>
            </w14:solidFill>
          </w14:textFill>
        </w:rPr>
        <w:t>工程设计费</w:t>
      </w:r>
      <w:r>
        <w:rPr>
          <w:rFonts w:ascii="宋体" w:hAnsi="宋体"/>
          <w:color w:val="000000" w:themeColor="text1"/>
          <w:sz w:val="21"/>
          <w:szCs w:val="21"/>
          <w:highlight w:val="none"/>
          <w14:textFill>
            <w14:solidFill>
              <w14:schemeClr w14:val="tx1"/>
            </w14:solidFill>
          </w14:textFill>
        </w:rPr>
        <w:t>的，发包人有权从应付</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合同价</w:t>
      </w:r>
      <w:r>
        <w:rPr>
          <w:rFonts w:ascii="宋体" w:hAnsi="宋体"/>
          <w:color w:val="000000" w:themeColor="text1"/>
          <w:sz w:val="21"/>
          <w:szCs w:val="21"/>
          <w:highlight w:val="none"/>
          <w14:textFill>
            <w14:solidFill>
              <w14:schemeClr w14:val="tx1"/>
            </w14:solidFill>
          </w14:textFill>
        </w:rPr>
        <w:t>款中扣除该部分</w:t>
      </w:r>
      <w:r>
        <w:rPr>
          <w:rFonts w:hint="eastAsia" w:ascii="宋体" w:hAnsi="宋体"/>
          <w:color w:val="000000" w:themeColor="text1"/>
          <w:sz w:val="21"/>
          <w:szCs w:val="21"/>
          <w:highlight w:val="none"/>
          <w14:textFill>
            <w14:solidFill>
              <w14:schemeClr w14:val="tx1"/>
            </w14:solidFill>
          </w14:textFill>
        </w:rPr>
        <w:t>费用</w:t>
      </w:r>
      <w:r>
        <w:rPr>
          <w:rFonts w:ascii="宋体" w:hAnsi="宋体"/>
          <w:color w:val="000000" w:themeColor="text1"/>
          <w:sz w:val="21"/>
          <w:szCs w:val="21"/>
          <w:highlight w:val="none"/>
          <w14:textFill>
            <w14:solidFill>
              <w14:schemeClr w14:val="tx1"/>
            </w14:solidFill>
          </w14:textFill>
        </w:rPr>
        <w:t>。</w:t>
      </w:r>
    </w:p>
    <w:p w14:paraId="4DC5D699">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 xml:space="preserve"> 联合体</w:t>
      </w:r>
    </w:p>
    <w:p w14:paraId="3DC5E69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 联合体各方应共同与发包人签订合同协议书。联合体各方应为履行合同</w:t>
      </w:r>
      <w:r>
        <w:rPr>
          <w:rFonts w:hint="eastAsia" w:ascii="宋体" w:hAnsi="宋体"/>
          <w:color w:val="000000" w:themeColor="text1"/>
          <w:sz w:val="21"/>
          <w:szCs w:val="21"/>
          <w:highlight w:val="none"/>
          <w14:textFill>
            <w14:solidFill>
              <w14:schemeClr w14:val="tx1"/>
            </w14:solidFill>
          </w14:textFill>
        </w:rPr>
        <w:t>向发包人</w:t>
      </w:r>
      <w:r>
        <w:rPr>
          <w:rFonts w:ascii="宋体" w:hAnsi="宋体"/>
          <w:color w:val="000000" w:themeColor="text1"/>
          <w:sz w:val="21"/>
          <w:szCs w:val="21"/>
          <w:highlight w:val="none"/>
          <w14:textFill>
            <w14:solidFill>
              <w14:schemeClr w14:val="tx1"/>
            </w14:solidFill>
          </w14:textFill>
        </w:rPr>
        <w:t>承担连带责任。</w:t>
      </w:r>
    </w:p>
    <w:p w14:paraId="4A16FFB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 联合体协议</w:t>
      </w:r>
      <w:r>
        <w:rPr>
          <w:rFonts w:hint="eastAsia" w:ascii="宋体" w:hAnsi="宋体"/>
          <w:color w:val="000000" w:themeColor="text1"/>
          <w:sz w:val="21"/>
          <w:szCs w:val="21"/>
          <w:highlight w:val="none"/>
          <w14:textFill>
            <w14:solidFill>
              <w14:schemeClr w14:val="tx1"/>
            </w14:solidFill>
          </w14:textFill>
        </w:rPr>
        <w:t>，应当约定联合体各成员工作分工，</w:t>
      </w:r>
      <w:r>
        <w:rPr>
          <w:rFonts w:ascii="宋体" w:hAnsi="宋体"/>
          <w:color w:val="000000" w:themeColor="text1"/>
          <w:sz w:val="21"/>
          <w:szCs w:val="21"/>
          <w:highlight w:val="none"/>
          <w14:textFill>
            <w14:solidFill>
              <w14:schemeClr w14:val="tx1"/>
            </w14:solidFill>
          </w14:textFill>
        </w:rPr>
        <w:t>经发包人确认后作为合同附件。在履行合同过程中，未经发包人同意，不得修改联合体协议。</w:t>
      </w:r>
    </w:p>
    <w:p w14:paraId="7BEA5E1F">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.3 联合体牵头人负责与发包人联系，并接受指示，负责组织联合体各成员全面履行合同。</w:t>
      </w:r>
    </w:p>
    <w:p w14:paraId="1FAC56C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3.5.4 发包人向联合体支付设计费用的方式在专用合同条款中约定。</w:t>
      </w:r>
    </w:p>
    <w:p w14:paraId="012EF5DE">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4</w:t>
      </w:r>
      <w:r>
        <w:rPr>
          <w:rFonts w:ascii="黑体" w:hAnsi="黑体" w:eastAsia="黑体" w:cs="Times New Roman"/>
          <w:b w:val="0"/>
          <w:color w:val="000000" w:themeColor="text1"/>
          <w:highlight w:val="none"/>
          <w14:textFill>
            <w14:solidFill>
              <w14:schemeClr w14:val="tx1"/>
            </w14:solidFill>
          </w14:textFill>
        </w:rPr>
        <w:t>.工程</w:t>
      </w:r>
      <w:r>
        <w:rPr>
          <w:rFonts w:hint="eastAsia" w:ascii="黑体" w:hAnsi="黑体" w:eastAsia="黑体" w:cs="Times New Roman"/>
          <w:b w:val="0"/>
          <w:color w:val="000000" w:themeColor="text1"/>
          <w:highlight w:val="none"/>
          <w14:textFill>
            <w14:solidFill>
              <w14:schemeClr w14:val="tx1"/>
            </w14:solidFill>
          </w14:textFill>
        </w:rPr>
        <w:t>设计资料</w:t>
      </w:r>
    </w:p>
    <w:p w14:paraId="7A39CDA1">
      <w:pPr>
        <w:autoSpaceDE w:val="0"/>
        <w:autoSpaceDN w:val="0"/>
        <w:spacing w:line="360" w:lineRule="auto"/>
        <w:ind w:firstLine="438" w:firstLineChars="209"/>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kern w:val="2"/>
          <w:sz w:val="21"/>
          <w:szCs w:val="21"/>
          <w:highlight w:val="none"/>
          <w14:textFill>
            <w14:solidFill>
              <w14:schemeClr w14:val="tx1"/>
            </w14:solidFill>
          </w14:textFill>
        </w:rPr>
        <w:t>4</w:t>
      </w:r>
      <w:r>
        <w:rPr>
          <w:rFonts w:ascii="宋体" w:hAnsi="宋体"/>
          <w:bCs/>
          <w:color w:val="000000" w:themeColor="text1"/>
          <w:kern w:val="2"/>
          <w:sz w:val="21"/>
          <w:szCs w:val="21"/>
          <w:highlight w:val="none"/>
          <w14:textFill>
            <w14:solidFill>
              <w14:schemeClr w14:val="tx1"/>
            </w14:solidFill>
          </w14:textFill>
        </w:rPr>
        <w:t>.</w:t>
      </w:r>
      <w:r>
        <w:rPr>
          <w:rFonts w:hint="eastAsia" w:ascii="宋体" w:hAnsi="宋体"/>
          <w:bCs/>
          <w:color w:val="000000" w:themeColor="text1"/>
          <w:kern w:val="2"/>
          <w:sz w:val="21"/>
          <w:szCs w:val="21"/>
          <w:highlight w:val="none"/>
          <w14:textFill>
            <w14:solidFill>
              <w14:schemeClr w14:val="tx1"/>
            </w14:solidFill>
          </w14:textFill>
        </w:rPr>
        <w:t>1</w:t>
      </w:r>
      <w:r>
        <w:rPr>
          <w:rFonts w:ascii="宋体" w:hAnsi="宋体"/>
          <w:bCs/>
          <w:color w:val="000000" w:themeColor="text1"/>
          <w:kern w:val="2"/>
          <w:sz w:val="21"/>
          <w:szCs w:val="21"/>
          <w:highlight w:val="none"/>
          <w14:textFill>
            <w14:solidFill>
              <w14:schemeClr w14:val="tx1"/>
            </w14:solidFill>
          </w14:textFill>
        </w:rPr>
        <w:t xml:space="preserve"> 提供</w:t>
      </w:r>
      <w:r>
        <w:rPr>
          <w:rFonts w:hint="eastAsia" w:ascii="宋体" w:hAnsi="宋体"/>
          <w:bCs/>
          <w:color w:val="000000" w:themeColor="text1"/>
          <w:kern w:val="2"/>
          <w:sz w:val="21"/>
          <w:szCs w:val="21"/>
          <w:highlight w:val="none"/>
          <w14:textFill>
            <w14:solidFill>
              <w14:schemeClr w14:val="tx1"/>
            </w14:solidFill>
          </w14:textFill>
        </w:rPr>
        <w:t>工程</w:t>
      </w:r>
      <w:r>
        <w:rPr>
          <w:rFonts w:ascii="宋体" w:hAnsi="宋体"/>
          <w:bCs/>
          <w:color w:val="000000" w:themeColor="text1"/>
          <w:kern w:val="2"/>
          <w:sz w:val="21"/>
          <w:szCs w:val="21"/>
          <w:highlight w:val="none"/>
          <w14:textFill>
            <w14:solidFill>
              <w14:schemeClr w14:val="tx1"/>
            </w14:solidFill>
          </w14:textFill>
        </w:rPr>
        <w:t>设计资料</w:t>
      </w:r>
    </w:p>
    <w:p w14:paraId="45B704ED">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发包人应当在</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前</w:t>
      </w:r>
      <w:r>
        <w:rPr>
          <w:rFonts w:hint="eastAsia" w:ascii="宋体" w:hAnsi="宋体"/>
          <w:color w:val="000000" w:themeColor="text1"/>
          <w:sz w:val="21"/>
          <w:szCs w:val="21"/>
          <w:highlight w:val="none"/>
          <w14:textFill>
            <w14:solidFill>
              <w14:schemeClr w14:val="tx1"/>
            </w14:solidFill>
          </w14:textFill>
        </w:rPr>
        <w:t>或专用合同条款附件2约定的时间</w:t>
      </w:r>
      <w:r>
        <w:rPr>
          <w:rFonts w:ascii="宋体" w:hAnsi="宋体"/>
          <w:color w:val="000000" w:themeColor="text1"/>
          <w:sz w:val="21"/>
          <w:szCs w:val="21"/>
          <w:highlight w:val="none"/>
          <w14:textFill>
            <w14:solidFill>
              <w14:schemeClr w14:val="tx1"/>
            </w14:solidFill>
          </w14:textFill>
        </w:rPr>
        <w:t>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人提供工程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所必需的</w:t>
      </w:r>
      <w:r>
        <w:rPr>
          <w:rFonts w:hint="eastAsia" w:ascii="宋体" w:hAnsi="宋体"/>
          <w:color w:val="000000" w:themeColor="text1"/>
          <w:sz w:val="21"/>
          <w:szCs w:val="21"/>
          <w:highlight w:val="none"/>
          <w14:textFill>
            <w14:solidFill>
              <w14:schemeClr w14:val="tx1"/>
            </w14:solidFill>
          </w14:textFill>
        </w:rPr>
        <w:t>工程</w:t>
      </w:r>
      <w:r>
        <w:rPr>
          <w:rFonts w:ascii="宋体" w:hAnsi="宋体"/>
          <w:color w:val="000000" w:themeColor="text1"/>
          <w:sz w:val="21"/>
          <w:szCs w:val="21"/>
          <w:highlight w:val="none"/>
          <w14:textFill>
            <w14:solidFill>
              <w14:schemeClr w14:val="tx1"/>
            </w14:solidFill>
          </w14:textFill>
        </w:rPr>
        <w:t>设计资料，并对所提供资料的真实性、准确性和完整性负责。</w:t>
      </w:r>
    </w:p>
    <w:p w14:paraId="49B8EEF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按照法律规定确需在工程设计开始后方能提供的设计资料，发包人应及时地在相应工程设计文件提交给发包人前的合理期限内提供，合理期限应以不影响设计人的正常设计为限。</w:t>
      </w:r>
    </w:p>
    <w:p w14:paraId="5A94505A">
      <w:pPr>
        <w:autoSpaceDE w:val="0"/>
        <w:autoSpaceDN w:val="0"/>
        <w:spacing w:line="360" w:lineRule="auto"/>
        <w:ind w:firstLine="436" w:firstLineChars="208"/>
        <w:jc w:val="left"/>
        <w:textAlignment w:val="auto"/>
        <w:rPr>
          <w:rFonts w:ascii="宋体" w:hAnsi="宋体"/>
          <w:bCs/>
          <w:color w:val="000000" w:themeColor="text1"/>
          <w:kern w:val="2"/>
          <w:sz w:val="21"/>
          <w:szCs w:val="21"/>
          <w:highlight w:val="none"/>
          <w14:textFill>
            <w14:solidFill>
              <w14:schemeClr w14:val="tx1"/>
            </w14:solidFill>
          </w14:textFill>
        </w:rPr>
      </w:pPr>
      <w:r>
        <w:rPr>
          <w:rFonts w:hint="eastAsia" w:ascii="宋体" w:hAnsi="宋体"/>
          <w:bCs/>
          <w:color w:val="000000" w:themeColor="text1"/>
          <w:kern w:val="2"/>
          <w:sz w:val="21"/>
          <w:szCs w:val="21"/>
          <w:highlight w:val="none"/>
          <w14:textFill>
            <w14:solidFill>
              <w14:schemeClr w14:val="tx1"/>
            </w14:solidFill>
          </w14:textFill>
        </w:rPr>
        <w:t>4.2 逾期提供的责任</w:t>
      </w:r>
    </w:p>
    <w:p w14:paraId="1CD910D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发包人提交上述文件和资料超过约定期限的，超过约定期限</w:t>
      </w:r>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天以内，设计人按本合同约定的交付工程设计文件时间相应顺延；超过约定期限</w:t>
      </w:r>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天以外时，设计人有权重新确定提交工程设计文件的时间。工程设计资料逾期提供导致增加了设计工作量的，设计人可以要求发包人另行支付相应设计费用，并相应延长设计周期。</w:t>
      </w:r>
    </w:p>
    <w:p w14:paraId="0284B75D">
      <w:pPr>
        <w:pStyle w:val="6"/>
        <w:adjustRightInd/>
        <w:spacing w:before="0" w:after="0" w:line="360" w:lineRule="auto"/>
        <w:jc w:val="left"/>
        <w:textAlignment w:val="auto"/>
        <w:rPr>
          <w:rFonts w:ascii="黑体" w:hAnsi="黑体" w:eastAsia="黑体"/>
          <w:b w:val="0"/>
          <w:color w:val="000000" w:themeColor="text1"/>
          <w:highlight w:val="none"/>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5.工程设计要求</w:t>
      </w:r>
    </w:p>
    <w:p w14:paraId="55988991">
      <w:pPr>
        <w:pStyle w:val="6"/>
        <w:keepNext w:val="0"/>
        <w:keepLines w:val="0"/>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5.1</w:t>
      </w:r>
      <w:r>
        <w:rPr>
          <w:rFonts w:hint="eastAsia" w:ascii="宋体" w:hAnsi="宋体"/>
          <w:b w:val="0"/>
          <w:color w:val="000000" w:themeColor="text1"/>
          <w:sz w:val="21"/>
          <w:szCs w:val="21"/>
          <w:highlight w:val="none"/>
          <w14:textFill>
            <w14:solidFill>
              <w14:schemeClr w14:val="tx1"/>
            </w14:solidFill>
          </w14:textFill>
        </w:rPr>
        <w:t xml:space="preserve"> 工程设计一般要求</w:t>
      </w:r>
    </w:p>
    <w:p w14:paraId="76E0D4D1">
      <w:pPr>
        <w:pStyle w:val="6"/>
        <w:keepNext w:val="0"/>
        <w:keepLines w:val="0"/>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w:t>
      </w:r>
      <w:r>
        <w:rPr>
          <w:rFonts w:ascii="宋体" w:hAnsi="宋体"/>
          <w:b w:val="0"/>
          <w:bCs w:val="0"/>
          <w:color w:val="000000" w:themeColor="text1"/>
          <w:sz w:val="21"/>
          <w:szCs w:val="21"/>
          <w:highlight w:val="none"/>
          <w14:textFill>
            <w14:solidFill>
              <w14:schemeClr w14:val="tx1"/>
            </w14:solidFill>
          </w14:textFill>
        </w:rPr>
        <w:t>.</w:t>
      </w:r>
      <w:r>
        <w:rPr>
          <w:rFonts w:hint="eastAsia" w:ascii="宋体" w:hAnsi="宋体"/>
          <w:b w:val="0"/>
          <w:bCs w:val="0"/>
          <w:color w:val="000000" w:themeColor="text1"/>
          <w:sz w:val="21"/>
          <w:szCs w:val="21"/>
          <w:highlight w:val="none"/>
          <w14:textFill>
            <w14:solidFill>
              <w14:schemeClr w14:val="tx1"/>
            </w14:solidFill>
          </w14:textFill>
        </w:rPr>
        <w:t>1.1 对发包人的</w:t>
      </w:r>
      <w:r>
        <w:rPr>
          <w:rFonts w:ascii="宋体" w:hAnsi="宋体"/>
          <w:b w:val="0"/>
          <w:bCs w:val="0"/>
          <w:color w:val="000000" w:themeColor="text1"/>
          <w:sz w:val="21"/>
          <w:szCs w:val="21"/>
          <w:highlight w:val="none"/>
          <w14:textFill>
            <w14:solidFill>
              <w14:schemeClr w14:val="tx1"/>
            </w14:solidFill>
          </w14:textFill>
        </w:rPr>
        <w:t>要求</w:t>
      </w:r>
    </w:p>
    <w:p w14:paraId="6D89B311">
      <w:pPr>
        <w:pStyle w:val="6"/>
        <w:keepNext w:val="0"/>
        <w:keepLines w:val="0"/>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14:paraId="7BE5E3DB">
      <w:pPr>
        <w:pStyle w:val="6"/>
        <w:keepNext w:val="0"/>
        <w:keepLines w:val="0"/>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5.1.2 对设计人的要求</w:t>
      </w:r>
    </w:p>
    <w:p w14:paraId="79661124">
      <w:pPr>
        <w:pStyle w:val="6"/>
        <w:keepNext w:val="0"/>
        <w:keepLines w:val="0"/>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5.1.2.1设计人应当按法律和技术标准的强制性规定及发包人要求进行工程设计。</w:t>
      </w:r>
      <w:r>
        <w:rPr>
          <w:rFonts w:ascii="宋体" w:hAnsi="宋体"/>
          <w:b w:val="0"/>
          <w:bCs w:val="0"/>
          <w:color w:val="000000" w:themeColor="text1"/>
          <w:sz w:val="21"/>
          <w:szCs w:val="21"/>
          <w:highlight w:val="none"/>
          <w14:textFill>
            <w14:solidFill>
              <w14:schemeClr w14:val="tx1"/>
            </w14:solidFill>
          </w14:textFill>
        </w:rPr>
        <w:t>有关工程</w:t>
      </w:r>
      <w:r>
        <w:rPr>
          <w:rFonts w:hint="eastAsia" w:ascii="宋体" w:hAnsi="宋体"/>
          <w:b w:val="0"/>
          <w:bCs w:val="0"/>
          <w:color w:val="000000" w:themeColor="text1"/>
          <w:sz w:val="21"/>
          <w:szCs w:val="21"/>
          <w:highlight w:val="none"/>
          <w14:textFill>
            <w14:solidFill>
              <w14:schemeClr w14:val="tx1"/>
            </w14:solidFill>
          </w14:textFill>
        </w:rPr>
        <w:t>设计</w:t>
      </w:r>
      <w:r>
        <w:rPr>
          <w:rFonts w:ascii="宋体" w:hAnsi="宋体"/>
          <w:b w:val="0"/>
          <w:bCs w:val="0"/>
          <w:color w:val="000000" w:themeColor="text1"/>
          <w:sz w:val="21"/>
          <w:szCs w:val="21"/>
          <w:highlight w:val="none"/>
          <w14:textFill>
            <w14:solidFill>
              <w14:schemeClr w14:val="tx1"/>
            </w14:solidFill>
          </w14:textFill>
        </w:rPr>
        <w:t>的特殊标准或要求由合同当事人在专用合同条款中约定。</w:t>
      </w:r>
    </w:p>
    <w:p w14:paraId="335821D0">
      <w:pPr>
        <w:spacing w:line="360" w:lineRule="auto"/>
        <w:ind w:firstLine="65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设计人发现发包人提供的工程设计资料有问题的，设计人应当及时通知发包人并经发包人确认。</w:t>
      </w:r>
    </w:p>
    <w:p w14:paraId="51B1368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rFonts w:ascii="宋体" w:hAnsi="宋体"/>
          <w:color w:val="000000" w:themeColor="text1"/>
          <w:sz w:val="21"/>
          <w:szCs w:val="21"/>
          <w:highlight w:val="none"/>
          <w14:textFill>
            <w14:solidFill>
              <w14:schemeClr w14:val="tx1"/>
            </w14:solidFill>
          </w14:textFill>
        </w:rPr>
        <w:t>增加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设计周期延长的，</w:t>
      </w:r>
      <w:r>
        <w:rPr>
          <w:rFonts w:ascii="宋体" w:hAnsi="宋体"/>
          <w:color w:val="000000" w:themeColor="text1"/>
          <w:sz w:val="21"/>
          <w:szCs w:val="21"/>
          <w:highlight w:val="none"/>
          <w14:textFill>
            <w14:solidFill>
              <w14:schemeClr w14:val="tx1"/>
            </w14:solidFill>
          </w14:textFill>
        </w:rPr>
        <w:t>由发包人承担</w:t>
      </w:r>
      <w:r>
        <w:rPr>
          <w:rFonts w:hint="eastAsia" w:ascii="宋体" w:hAnsi="宋体"/>
          <w:color w:val="000000" w:themeColor="text1"/>
          <w:sz w:val="21"/>
          <w:szCs w:val="21"/>
          <w:highlight w:val="none"/>
          <w14:textFill>
            <w14:solidFill>
              <w14:schemeClr w14:val="tx1"/>
            </w14:solidFill>
          </w14:textFill>
        </w:rPr>
        <w:t>。</w:t>
      </w:r>
    </w:p>
    <w:p w14:paraId="36CE1F77">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5.1.2.3 设计人在工程设计中应当采用合同约定的技术、工艺和设备，满足质量、安全、节能、环保等要求。</w:t>
      </w:r>
    </w:p>
    <w:p w14:paraId="0B0DAB51">
      <w:pPr>
        <w:autoSpaceDE w:val="0"/>
        <w:autoSpaceDN w:val="0"/>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5.2 工程设计保证措施</w:t>
      </w:r>
    </w:p>
    <w:p w14:paraId="3771EDE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.1 发包人的</w:t>
      </w:r>
      <w:r>
        <w:rPr>
          <w:rFonts w:hint="eastAsia" w:ascii="宋体" w:hAnsi="宋体"/>
          <w:color w:val="000000" w:themeColor="text1"/>
          <w:sz w:val="21"/>
          <w:szCs w:val="21"/>
          <w:highlight w:val="none"/>
          <w14:textFill>
            <w14:solidFill>
              <w14:schemeClr w14:val="tx1"/>
            </w14:solidFill>
          </w14:textFill>
        </w:rPr>
        <w:t>保证措施</w:t>
      </w:r>
    </w:p>
    <w:p w14:paraId="4A18F2E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发包人应按照法律规定及合同约定完成与工程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有关的各项工作。</w:t>
      </w:r>
    </w:p>
    <w:p w14:paraId="40EEE6C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人的</w:t>
      </w:r>
      <w:r>
        <w:rPr>
          <w:rFonts w:hint="eastAsia" w:ascii="宋体" w:hAnsi="宋体"/>
          <w:color w:val="000000" w:themeColor="text1"/>
          <w:sz w:val="21"/>
          <w:szCs w:val="21"/>
          <w:highlight w:val="none"/>
          <w14:textFill>
            <w14:solidFill>
              <w14:schemeClr w14:val="tx1"/>
            </w14:solidFill>
          </w14:textFill>
        </w:rPr>
        <w:t>保证措施</w:t>
      </w:r>
    </w:p>
    <w:p w14:paraId="4366F09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设计人应做好工程设计的质量与技术管理工作，建立健全工程设计质量保证体系，加强工程设计全过程的质量控制，建立完整的设计文件的设计、复核、审核、会签和批准制度，明确各阶段的责任人。</w:t>
      </w:r>
    </w:p>
    <w:p w14:paraId="514221A6">
      <w:pPr>
        <w:pStyle w:val="6"/>
        <w:keepNext w:val="0"/>
        <w:keepLines w:val="0"/>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5.3 工程设计文件的要求</w:t>
      </w:r>
    </w:p>
    <w:p w14:paraId="5FB8D2B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5.3.1 工程设计文件的编制应符合法律、技术标准的强制性规定及合同的要求。</w:t>
      </w:r>
    </w:p>
    <w:p w14:paraId="3AEFD7E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5.3.2 工程设计依据应完整、准确、可靠，设计方案论证充分，计算成果可靠，并能够实施。</w:t>
      </w:r>
    </w:p>
    <w:p w14:paraId="3DA5F17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5.3.3 工程设计文件的深度应满足本合同相应设计阶段的规定要求，并符合国家和行业现行有效的相关规定。</w:t>
      </w:r>
    </w:p>
    <w:p w14:paraId="41EA3C5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5.3.4 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 </w:t>
      </w:r>
    </w:p>
    <w:p w14:paraId="4CF2B1D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5.3.5 应根据法律、技术标准要求，保证专业建设工程的合理使用寿命年限，并应在工程设计文件中注明相应的合理使用寿命年限。</w:t>
      </w:r>
    </w:p>
    <w:p w14:paraId="7832DA25">
      <w:pPr>
        <w:pStyle w:val="6"/>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5.4</w:t>
      </w:r>
      <w:r>
        <w:rPr>
          <w:rFonts w:hint="eastAsia" w:ascii="宋体" w:hAnsi="宋体"/>
          <w:b w:val="0"/>
          <w:bCs w:val="0"/>
          <w:color w:val="000000" w:themeColor="text1"/>
          <w:sz w:val="21"/>
          <w:szCs w:val="21"/>
          <w:highlight w:val="none"/>
          <w14:textFill>
            <w14:solidFill>
              <w14:schemeClr w14:val="tx1"/>
            </w14:solidFill>
          </w14:textFill>
        </w:rPr>
        <w:t xml:space="preserve"> 不合格工程设计文件的处理</w:t>
      </w:r>
    </w:p>
    <w:p w14:paraId="6C32169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4.1</w:t>
      </w:r>
      <w:r>
        <w:rPr>
          <w:rFonts w:ascii="宋体" w:hAnsi="宋体"/>
          <w:color w:val="000000" w:themeColor="text1"/>
          <w:sz w:val="21"/>
          <w:szCs w:val="21"/>
          <w:highlight w:val="none"/>
          <w14:textFill>
            <w14:solidFill>
              <w14:schemeClr w14:val="tx1"/>
            </w14:solidFill>
          </w14:textFill>
        </w:rPr>
        <w:t xml:space="preserve"> 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人原因造成工程</w:t>
      </w:r>
      <w:r>
        <w:rPr>
          <w:rFonts w:hint="eastAsia" w:ascii="宋体" w:hAnsi="宋体"/>
          <w:color w:val="000000" w:themeColor="text1"/>
          <w:sz w:val="21"/>
          <w:szCs w:val="21"/>
          <w:highlight w:val="none"/>
          <w14:textFill>
            <w14:solidFill>
              <w14:schemeClr w14:val="tx1"/>
            </w14:solidFill>
          </w14:textFill>
        </w:rPr>
        <w:t>设计文件</w:t>
      </w:r>
      <w:r>
        <w:rPr>
          <w:rFonts w:ascii="宋体" w:hAnsi="宋体"/>
          <w:color w:val="000000" w:themeColor="text1"/>
          <w:sz w:val="21"/>
          <w:szCs w:val="21"/>
          <w:highlight w:val="none"/>
          <w14:textFill>
            <w14:solidFill>
              <w14:schemeClr w14:val="tx1"/>
            </w14:solidFill>
          </w14:textFill>
        </w:rPr>
        <w:t>不合格的，发包人有权要求</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人采取补救措施，直至达到合同要求的质量标准</w:t>
      </w:r>
      <w:r>
        <w:rPr>
          <w:rFonts w:hint="eastAsia" w:ascii="宋体" w:hAnsi="宋体"/>
          <w:color w:val="000000" w:themeColor="text1"/>
          <w:sz w:val="21"/>
          <w:szCs w:val="21"/>
          <w:highlight w:val="none"/>
          <w14:textFill>
            <w14:solidFill>
              <w14:schemeClr w14:val="tx1"/>
            </w14:solidFill>
          </w14:textFill>
        </w:rPr>
        <w:t>，并按第14.2款〔设计人违约责任〕的约定承担责任</w:t>
      </w:r>
      <w:r>
        <w:rPr>
          <w:rFonts w:ascii="宋体" w:hAnsi="宋体"/>
          <w:color w:val="000000" w:themeColor="text1"/>
          <w:sz w:val="21"/>
          <w:szCs w:val="21"/>
          <w:highlight w:val="none"/>
          <w14:textFill>
            <w14:solidFill>
              <w14:schemeClr w14:val="tx1"/>
            </w14:solidFill>
          </w14:textFill>
        </w:rPr>
        <w:t xml:space="preserve">。 </w:t>
      </w:r>
    </w:p>
    <w:p w14:paraId="782420F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4.2</w:t>
      </w:r>
      <w:r>
        <w:rPr>
          <w:rFonts w:ascii="宋体" w:hAnsi="宋体"/>
          <w:color w:val="000000" w:themeColor="text1"/>
          <w:sz w:val="21"/>
          <w:szCs w:val="21"/>
          <w:highlight w:val="none"/>
          <w14:textFill>
            <w14:solidFill>
              <w14:schemeClr w14:val="tx1"/>
            </w14:solidFill>
          </w14:textFill>
        </w:rPr>
        <w:t xml:space="preserve"> 因发包人原因造成工程</w:t>
      </w:r>
      <w:r>
        <w:rPr>
          <w:rFonts w:hint="eastAsia" w:ascii="宋体" w:hAnsi="宋体"/>
          <w:color w:val="000000" w:themeColor="text1"/>
          <w:sz w:val="21"/>
          <w:szCs w:val="21"/>
          <w:highlight w:val="none"/>
          <w14:textFill>
            <w14:solidFill>
              <w14:schemeClr w14:val="tx1"/>
            </w14:solidFill>
          </w14:textFill>
        </w:rPr>
        <w:t>设计文件</w:t>
      </w:r>
      <w:r>
        <w:rPr>
          <w:rFonts w:ascii="宋体" w:hAnsi="宋体"/>
          <w:color w:val="000000" w:themeColor="text1"/>
          <w:sz w:val="21"/>
          <w:szCs w:val="21"/>
          <w:highlight w:val="none"/>
          <w14:textFill>
            <w14:solidFill>
              <w14:schemeClr w14:val="tx1"/>
            </w14:solidFill>
          </w14:textFill>
        </w:rPr>
        <w:t>不合格的，</w:t>
      </w:r>
      <w:r>
        <w:rPr>
          <w:rFonts w:hint="eastAsia" w:ascii="宋体" w:hAnsi="宋体"/>
          <w:color w:val="000000" w:themeColor="text1"/>
          <w:sz w:val="21"/>
          <w:szCs w:val="21"/>
          <w:highlight w:val="none"/>
          <w14:textFill>
            <w14:solidFill>
              <w14:schemeClr w14:val="tx1"/>
            </w14:solidFill>
          </w14:textFill>
        </w:rPr>
        <w:t>设计人应当采取补救措施，直至达到合同要求的质量标准，</w:t>
      </w:r>
      <w:r>
        <w:rPr>
          <w:rFonts w:ascii="宋体" w:hAnsi="宋体"/>
          <w:color w:val="000000" w:themeColor="text1"/>
          <w:sz w:val="21"/>
          <w:szCs w:val="21"/>
          <w:highlight w:val="none"/>
          <w14:textFill>
            <w14:solidFill>
              <w14:schemeClr w14:val="tx1"/>
            </w14:solidFill>
          </w14:textFill>
        </w:rPr>
        <w:t>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设计周期的延长</w:t>
      </w:r>
      <w:r>
        <w:rPr>
          <w:rFonts w:ascii="宋体" w:hAnsi="宋体"/>
          <w:color w:val="000000" w:themeColor="text1"/>
          <w:sz w:val="21"/>
          <w:szCs w:val="21"/>
          <w:highlight w:val="none"/>
          <w14:textFill>
            <w14:solidFill>
              <w14:schemeClr w14:val="tx1"/>
            </w14:solidFill>
          </w14:textFill>
        </w:rPr>
        <w:t>由发包人承担。</w:t>
      </w:r>
    </w:p>
    <w:p w14:paraId="2BA6186E">
      <w:pPr>
        <w:pStyle w:val="5"/>
        <w:keepNext w:val="0"/>
        <w:keepLines w:val="0"/>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6</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工程设计</w:t>
      </w:r>
      <w:r>
        <w:rPr>
          <w:rFonts w:ascii="黑体" w:hAnsi="黑体" w:eastAsia="黑体" w:cs="Times New Roman"/>
          <w:b w:val="0"/>
          <w:color w:val="000000" w:themeColor="text1"/>
          <w:highlight w:val="none"/>
          <w14:textFill>
            <w14:solidFill>
              <w14:schemeClr w14:val="tx1"/>
            </w14:solidFill>
          </w14:textFill>
        </w:rPr>
        <w:t>进度</w:t>
      </w:r>
      <w:r>
        <w:rPr>
          <w:rFonts w:hint="eastAsia" w:ascii="黑体" w:hAnsi="黑体" w:eastAsia="黑体" w:cs="Times New Roman"/>
          <w:b w:val="0"/>
          <w:color w:val="000000" w:themeColor="text1"/>
          <w:highlight w:val="none"/>
          <w14:textFill>
            <w14:solidFill>
              <w14:schemeClr w14:val="tx1"/>
            </w14:solidFill>
          </w14:textFill>
        </w:rPr>
        <w:t>与周期</w:t>
      </w:r>
    </w:p>
    <w:p w14:paraId="0C836CCF">
      <w:pPr>
        <w:pStyle w:val="6"/>
        <w:keepNext w:val="0"/>
        <w:keepLines w:val="0"/>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6.1</w:t>
      </w:r>
      <w:r>
        <w:rPr>
          <w:rFonts w:hint="eastAsia" w:ascii="宋体" w:hAnsi="宋体"/>
          <w:b w:val="0"/>
          <w:bCs w:val="0"/>
          <w:color w:val="000000" w:themeColor="text1"/>
          <w:sz w:val="21"/>
          <w:szCs w:val="21"/>
          <w:highlight w:val="none"/>
          <w14:textFill>
            <w14:solidFill>
              <w14:schemeClr w14:val="tx1"/>
            </w14:solidFill>
          </w14:textFill>
        </w:rPr>
        <w:t xml:space="preserve"> 工程设计进度计划</w:t>
      </w:r>
    </w:p>
    <w:p w14:paraId="6DDC0C19">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进度计划的编制</w:t>
      </w:r>
    </w:p>
    <w:p w14:paraId="3F74F210">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人应按照</w:t>
      </w:r>
      <w:r>
        <w:rPr>
          <w:rFonts w:hint="eastAsia" w:ascii="宋体" w:hAnsi="宋体"/>
          <w:color w:val="000000" w:themeColor="text1"/>
          <w:sz w:val="21"/>
          <w:szCs w:val="21"/>
          <w:highlight w:val="none"/>
          <w14:textFill>
            <w14:solidFill>
              <w14:schemeClr w14:val="tx1"/>
            </w14:solidFill>
          </w14:textFill>
        </w:rPr>
        <w:t>专用合同条款</w:t>
      </w:r>
      <w:r>
        <w:rPr>
          <w:rFonts w:ascii="宋体" w:hAnsi="宋体"/>
          <w:color w:val="000000" w:themeColor="text1"/>
          <w:sz w:val="21"/>
          <w:szCs w:val="21"/>
          <w:highlight w:val="none"/>
          <w14:textFill>
            <w14:solidFill>
              <w14:schemeClr w14:val="tx1"/>
            </w14:solidFill>
          </w14:textFill>
        </w:rPr>
        <w:t>约定提交</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进度计划的编制应当符合法律规定和一般工程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实践惯例，</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进度计划经发包人批准后实施。</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进度计划是控制工程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进度的依据，发包人有权按照</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w:t>
      </w:r>
      <w:r>
        <w:rPr>
          <w:rFonts w:hint="eastAsia" w:ascii="宋体" w:hAnsi="宋体"/>
          <w:color w:val="000000" w:themeColor="text1"/>
          <w:sz w:val="21"/>
          <w:szCs w:val="21"/>
          <w:highlight w:val="none"/>
          <w14:textFill>
            <w14:solidFill>
              <w14:schemeClr w14:val="tx1"/>
            </w14:solidFill>
          </w14:textFill>
        </w:rPr>
        <w:t>中列明的关键性控制节点</w:t>
      </w:r>
      <w:r>
        <w:rPr>
          <w:rFonts w:ascii="宋体" w:hAnsi="宋体"/>
          <w:color w:val="000000" w:themeColor="text1"/>
          <w:sz w:val="21"/>
          <w:szCs w:val="21"/>
          <w:highlight w:val="none"/>
          <w14:textFill>
            <w14:solidFill>
              <w14:schemeClr w14:val="tx1"/>
            </w14:solidFill>
          </w14:textFill>
        </w:rPr>
        <w:t>检查工程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进度情况。</w:t>
      </w:r>
    </w:p>
    <w:p w14:paraId="016DCB5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14:paraId="3A3D4A7F">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进度计划的修订</w:t>
      </w:r>
    </w:p>
    <w:p w14:paraId="28AE0A84">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进度计划不符合合同要求或与工程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的实际进度不一致的，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人应向</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人提交修订的</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进度计划，并附具有关措施和相关资料。除专用合同条款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另有约定外，发包人应在收到修订的</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进度计划后</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天内完成审核和批准或提出修改意见</w:t>
      </w:r>
      <w:r>
        <w:rPr>
          <w:rFonts w:hint="eastAsia" w:ascii="宋体" w:hAnsi="宋体"/>
          <w:color w:val="000000" w:themeColor="text1"/>
          <w:sz w:val="21"/>
          <w:szCs w:val="21"/>
          <w:highlight w:val="none"/>
          <w14:textFill>
            <w14:solidFill>
              <w14:schemeClr w14:val="tx1"/>
            </w14:solidFill>
          </w14:textFill>
        </w:rPr>
        <w:t>，否则视为发包人同意设计人提交的修订的工程设计进度计划。</w:t>
      </w:r>
    </w:p>
    <w:p w14:paraId="2B142D3B">
      <w:pPr>
        <w:pStyle w:val="6"/>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6.2</w:t>
      </w:r>
      <w:r>
        <w:rPr>
          <w:rFonts w:hint="eastAsia" w:ascii="宋体" w:hAnsi="宋体"/>
          <w:b w:val="0"/>
          <w:bCs w:val="0"/>
          <w:color w:val="000000" w:themeColor="text1"/>
          <w:sz w:val="21"/>
          <w:szCs w:val="21"/>
          <w:highlight w:val="none"/>
          <w14:textFill>
            <w14:solidFill>
              <w14:schemeClr w14:val="tx1"/>
            </w14:solidFill>
          </w14:textFill>
        </w:rPr>
        <w:t xml:space="preserve"> 工程设计开始</w:t>
      </w:r>
    </w:p>
    <w:p w14:paraId="56638CF1">
      <w:pPr>
        <w:spacing w:line="360" w:lineRule="auto"/>
        <w:ind w:firstLine="438" w:firstLineChars="209"/>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发包人应按照法律规定获得工程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所需的许可。发包人发出的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通知应符合法律规定</w:t>
      </w:r>
      <w:r>
        <w:rPr>
          <w:rFonts w:hint="eastAsia" w:ascii="宋体" w:hAnsi="宋体"/>
          <w:color w:val="000000" w:themeColor="text1"/>
          <w:sz w:val="21"/>
          <w:szCs w:val="21"/>
          <w:highlight w:val="none"/>
          <w14:textFill>
            <w14:solidFill>
              <w14:schemeClr w14:val="tx1"/>
            </w14:solidFill>
          </w14:textFill>
        </w:rPr>
        <w:t>，一般</w:t>
      </w:r>
      <w:r>
        <w:rPr>
          <w:rFonts w:ascii="宋体" w:hAnsi="宋体"/>
          <w:color w:val="000000" w:themeColor="text1"/>
          <w:sz w:val="21"/>
          <w:szCs w:val="21"/>
          <w:highlight w:val="none"/>
          <w14:textFill>
            <w14:solidFill>
              <w14:schemeClr w14:val="tx1"/>
            </w14:solidFill>
          </w14:textFill>
        </w:rPr>
        <w:t>应在计划</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日期7天前向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人发出</w:t>
      </w:r>
      <w:r>
        <w:rPr>
          <w:rFonts w:hint="eastAsia" w:ascii="宋体" w:hAnsi="宋体"/>
          <w:color w:val="000000" w:themeColor="text1"/>
          <w:sz w:val="21"/>
          <w:szCs w:val="21"/>
          <w:highlight w:val="none"/>
          <w14:textFill>
            <w14:solidFill>
              <w14:schemeClr w14:val="tx1"/>
            </w14:solidFill>
          </w14:textFill>
        </w:rPr>
        <w:t>开始工程设计工作</w:t>
      </w:r>
      <w:r>
        <w:rPr>
          <w:rFonts w:ascii="宋体" w:hAnsi="宋体"/>
          <w:color w:val="000000" w:themeColor="text1"/>
          <w:sz w:val="21"/>
          <w:szCs w:val="21"/>
          <w:highlight w:val="none"/>
          <w14:textFill>
            <w14:solidFill>
              <w14:schemeClr w14:val="tx1"/>
            </w14:solidFill>
          </w14:textFill>
        </w:rPr>
        <w:t>通知，</w:t>
      </w:r>
      <w:r>
        <w:rPr>
          <w:rFonts w:hint="eastAsia" w:ascii="宋体" w:hAnsi="宋体"/>
          <w:color w:val="000000" w:themeColor="text1"/>
          <w:sz w:val="21"/>
          <w:szCs w:val="21"/>
          <w:highlight w:val="none"/>
          <w14:textFill>
            <w14:solidFill>
              <w14:schemeClr w14:val="tx1"/>
            </w14:solidFill>
          </w14:textFill>
        </w:rPr>
        <w:t>工程设计周期</w:t>
      </w:r>
      <w:r>
        <w:rPr>
          <w:rFonts w:ascii="宋体" w:hAnsi="宋体"/>
          <w:color w:val="000000" w:themeColor="text1"/>
          <w:sz w:val="21"/>
          <w:szCs w:val="21"/>
          <w:highlight w:val="none"/>
          <w14:textFill>
            <w14:solidFill>
              <w14:schemeClr w14:val="tx1"/>
            </w14:solidFill>
          </w14:textFill>
        </w:rPr>
        <w:t>自</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通知中载明的</w:t>
      </w:r>
      <w:r>
        <w:rPr>
          <w:rFonts w:hint="eastAsia" w:ascii="宋体" w:hAnsi="宋体"/>
          <w:color w:val="000000" w:themeColor="text1"/>
          <w:sz w:val="21"/>
          <w:szCs w:val="21"/>
          <w:highlight w:val="none"/>
          <w14:textFill>
            <w14:solidFill>
              <w14:schemeClr w14:val="tx1"/>
            </w14:solidFill>
          </w14:textFill>
        </w:rPr>
        <w:t>开始设计的</w:t>
      </w:r>
      <w:r>
        <w:rPr>
          <w:rFonts w:ascii="宋体" w:hAnsi="宋体"/>
          <w:color w:val="000000" w:themeColor="text1"/>
          <w:sz w:val="21"/>
          <w:szCs w:val="21"/>
          <w:highlight w:val="none"/>
          <w14:textFill>
            <w14:solidFill>
              <w14:schemeClr w14:val="tx1"/>
            </w14:solidFill>
          </w14:textFill>
        </w:rPr>
        <w:t>日期起算。</w:t>
      </w:r>
    </w:p>
    <w:p w14:paraId="1162C5E3">
      <w:pPr>
        <w:autoSpaceDE w:val="0"/>
        <w:autoSpaceDN w:val="0"/>
        <w:spacing w:line="360" w:lineRule="auto"/>
        <w:ind w:firstLine="441" w:firstLineChars="21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设计人应当在收到发包人提供的工程设计资料及专用合同条款约定的定金或预付款后，开始工程设计工作。</w:t>
      </w:r>
    </w:p>
    <w:p w14:paraId="0F8EDAE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各设计阶段的开始时间均以设计人收到的发包人发出开始设计工作的书面通知书中载明的开始设计的</w:t>
      </w:r>
      <w:r>
        <w:rPr>
          <w:rFonts w:ascii="宋体" w:hAnsi="宋体"/>
          <w:color w:val="000000" w:themeColor="text1"/>
          <w:sz w:val="21"/>
          <w:szCs w:val="21"/>
          <w:highlight w:val="none"/>
          <w14:textFill>
            <w14:solidFill>
              <w14:schemeClr w14:val="tx1"/>
            </w14:solidFill>
          </w14:textFill>
        </w:rPr>
        <w:t>日期起算。</w:t>
      </w:r>
    </w:p>
    <w:p w14:paraId="03C09670">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6.3</w:t>
      </w:r>
      <w:r>
        <w:rPr>
          <w:rFonts w:hint="eastAsia" w:ascii="宋体" w:hAnsi="宋体"/>
          <w:b w:val="0"/>
          <w:bCs w:val="0"/>
          <w:color w:val="000000" w:themeColor="text1"/>
          <w:sz w:val="21"/>
          <w:szCs w:val="21"/>
          <w:highlight w:val="none"/>
          <w14:textFill>
            <w14:solidFill>
              <w14:schemeClr w14:val="tx1"/>
            </w14:solidFill>
          </w14:textFill>
        </w:rPr>
        <w:t xml:space="preserve"> 工程设计进度延误</w:t>
      </w:r>
    </w:p>
    <w:p w14:paraId="169E8EC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.1 因发包人原因导致</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w:t>
      </w:r>
    </w:p>
    <w:p w14:paraId="46AEBFC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在合同履行过程中，</w:t>
      </w:r>
      <w:r>
        <w:rPr>
          <w:rFonts w:hint="eastAsia" w:ascii="宋体" w:hAnsi="宋体"/>
          <w:color w:val="000000" w:themeColor="text1"/>
          <w:sz w:val="21"/>
          <w:szCs w:val="21"/>
          <w:highlight w:val="none"/>
          <w14:textFill>
            <w14:solidFill>
              <w14:schemeClr w14:val="tx1"/>
            </w14:solidFill>
          </w14:textFill>
        </w:rPr>
        <w:t>发包人导致工程设计进度延误的情形主要有</w:t>
      </w:r>
      <w:r>
        <w:rPr>
          <w:rFonts w:ascii="宋体" w:hAnsi="宋体"/>
          <w:color w:val="000000" w:themeColor="text1"/>
          <w:sz w:val="21"/>
          <w:szCs w:val="21"/>
          <w:highlight w:val="none"/>
          <w14:textFill>
            <w14:solidFill>
              <w14:schemeClr w14:val="tx1"/>
            </w14:solidFill>
          </w14:textFill>
        </w:rPr>
        <w:t xml:space="preserve">： </w:t>
      </w:r>
    </w:p>
    <w:p w14:paraId="01EEC22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（1）发包人未能按合同约定提供</w:t>
      </w:r>
      <w:r>
        <w:rPr>
          <w:rFonts w:hint="eastAsia" w:ascii="宋体" w:hAnsi="宋体"/>
          <w:color w:val="000000" w:themeColor="text1"/>
          <w:sz w:val="21"/>
          <w:szCs w:val="21"/>
          <w:highlight w:val="none"/>
          <w14:textFill>
            <w14:solidFill>
              <w14:schemeClr w14:val="tx1"/>
            </w14:solidFill>
          </w14:textFill>
        </w:rPr>
        <w:t>工程设计资料</w:t>
      </w:r>
      <w:r>
        <w:rPr>
          <w:rFonts w:ascii="宋体" w:hAnsi="宋体"/>
          <w:color w:val="000000" w:themeColor="text1"/>
          <w:sz w:val="21"/>
          <w:szCs w:val="21"/>
          <w:highlight w:val="none"/>
          <w14:textFill>
            <w14:solidFill>
              <w14:schemeClr w14:val="tx1"/>
            </w14:solidFill>
          </w14:textFill>
        </w:rPr>
        <w:t>或所提供</w:t>
      </w:r>
      <w:r>
        <w:rPr>
          <w:rFonts w:hint="eastAsia" w:ascii="宋体" w:hAnsi="宋体"/>
          <w:color w:val="000000" w:themeColor="text1"/>
          <w:sz w:val="21"/>
          <w:szCs w:val="21"/>
          <w:highlight w:val="none"/>
          <w14:textFill>
            <w14:solidFill>
              <w14:schemeClr w14:val="tx1"/>
            </w14:solidFill>
          </w14:textFill>
        </w:rPr>
        <w:t>的工程设计资料</w:t>
      </w:r>
      <w:r>
        <w:rPr>
          <w:rFonts w:ascii="宋体" w:hAnsi="宋体"/>
          <w:color w:val="000000" w:themeColor="text1"/>
          <w:sz w:val="21"/>
          <w:szCs w:val="21"/>
          <w:highlight w:val="none"/>
          <w14:textFill>
            <w14:solidFill>
              <w14:schemeClr w14:val="tx1"/>
            </w14:solidFill>
          </w14:textFill>
        </w:rPr>
        <w:t>不符合合同约定</w:t>
      </w:r>
      <w:r>
        <w:rPr>
          <w:rFonts w:hint="eastAsia" w:ascii="宋体" w:hAnsi="宋体"/>
          <w:color w:val="000000" w:themeColor="text1"/>
          <w:sz w:val="21"/>
          <w:szCs w:val="21"/>
          <w:highlight w:val="none"/>
          <w14:textFill>
            <w14:solidFill>
              <w14:schemeClr w14:val="tx1"/>
            </w14:solidFill>
          </w14:textFill>
        </w:rPr>
        <w:t>或</w:t>
      </w:r>
      <w:r>
        <w:rPr>
          <w:rFonts w:ascii="宋体" w:hAnsi="宋体"/>
          <w:color w:val="000000" w:themeColor="text1"/>
          <w:sz w:val="21"/>
          <w:szCs w:val="21"/>
          <w:highlight w:val="none"/>
          <w14:textFill>
            <w14:solidFill>
              <w14:schemeClr w14:val="tx1"/>
            </w14:solidFill>
          </w14:textFill>
        </w:rPr>
        <w:t>存在错误或疏漏的；</w:t>
      </w:r>
    </w:p>
    <w:p w14:paraId="0F6CB03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（2）发包人未能按合同约定日期</w:t>
      </w:r>
      <w:r>
        <w:rPr>
          <w:rFonts w:hint="eastAsia" w:ascii="宋体" w:hAnsi="宋体"/>
          <w:color w:val="000000" w:themeColor="text1"/>
          <w:sz w:val="21"/>
          <w:szCs w:val="21"/>
          <w:highlight w:val="none"/>
          <w14:textFill>
            <w14:solidFill>
              <w14:schemeClr w14:val="tx1"/>
            </w14:solidFill>
          </w14:textFill>
        </w:rPr>
        <w:t>足额</w:t>
      </w:r>
      <w:r>
        <w:rPr>
          <w:rFonts w:ascii="宋体" w:hAnsi="宋体"/>
          <w:color w:val="000000" w:themeColor="text1"/>
          <w:sz w:val="21"/>
          <w:szCs w:val="21"/>
          <w:highlight w:val="none"/>
          <w14:textFill>
            <w14:solidFill>
              <w14:schemeClr w14:val="tx1"/>
            </w14:solidFill>
          </w14:textFill>
        </w:rPr>
        <w:t>支付</w:t>
      </w:r>
      <w:r>
        <w:rPr>
          <w:rFonts w:hint="eastAsia" w:ascii="宋体" w:hAnsi="宋体"/>
          <w:color w:val="000000" w:themeColor="text1"/>
          <w:sz w:val="21"/>
          <w:szCs w:val="21"/>
          <w:highlight w:val="none"/>
          <w14:textFill>
            <w14:solidFill>
              <w14:schemeClr w14:val="tx1"/>
            </w14:solidFill>
          </w14:textFill>
        </w:rPr>
        <w:t>定金或预付款</w:t>
      </w:r>
      <w:r>
        <w:rPr>
          <w:rFonts w:ascii="宋体" w:hAnsi="宋体"/>
          <w:color w:val="000000" w:themeColor="text1"/>
          <w:sz w:val="21"/>
          <w:szCs w:val="21"/>
          <w:highlight w:val="none"/>
          <w14:textFill>
            <w14:solidFill>
              <w14:schemeClr w14:val="tx1"/>
            </w14:solidFill>
          </w14:textFill>
        </w:rPr>
        <w:t>、进度款的；</w:t>
      </w:r>
    </w:p>
    <w:p w14:paraId="0176F25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（3）发包人提出影响设计周期的设计变更要求的；</w:t>
      </w:r>
    </w:p>
    <w:p w14:paraId="25AE454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）专用合同条款中约定的其他情形。</w:t>
      </w:r>
    </w:p>
    <w:p w14:paraId="4DC5C7A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因发包人原因未按计划</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的，发包人应按实际</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日期顺延</w:t>
      </w:r>
      <w:r>
        <w:rPr>
          <w:rFonts w:hint="eastAsia" w:ascii="宋体" w:hAnsi="宋体"/>
          <w:color w:val="000000" w:themeColor="text1"/>
          <w:sz w:val="21"/>
          <w:szCs w:val="21"/>
          <w:highlight w:val="none"/>
          <w14:textFill>
            <w14:solidFill>
              <w14:schemeClr w14:val="tx1"/>
            </w14:solidFill>
          </w14:textFill>
        </w:rPr>
        <w:t>完成设计</w:t>
      </w:r>
      <w:r>
        <w:rPr>
          <w:rFonts w:ascii="宋体" w:hAnsi="宋体"/>
          <w:color w:val="000000" w:themeColor="text1"/>
          <w:sz w:val="21"/>
          <w:szCs w:val="21"/>
          <w:highlight w:val="none"/>
          <w14:textFill>
            <w14:solidFill>
              <w14:schemeClr w14:val="tx1"/>
            </w14:solidFill>
          </w14:textFill>
        </w:rPr>
        <w:t>日期。</w:t>
      </w:r>
    </w:p>
    <w:p w14:paraId="7186ABE9">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s="Courier New"/>
          <w:color w:val="000000" w:themeColor="text1"/>
          <w:sz w:val="21"/>
          <w:szCs w:val="21"/>
          <w:highlight w:val="none"/>
          <w14:textFill>
            <w14:solidFill>
              <w14:schemeClr w14:val="tx1"/>
            </w14:solidFill>
          </w14:textFill>
        </w:rPr>
        <w:t>设计人应</w:t>
      </w:r>
      <w:r>
        <w:rPr>
          <w:rFonts w:ascii="宋体" w:hAnsi="宋体" w:cs="Courier New"/>
          <w:color w:val="000000" w:themeColor="text1"/>
          <w:sz w:val="21"/>
          <w:szCs w:val="21"/>
          <w:highlight w:val="none"/>
          <w14:textFill>
            <w14:solidFill>
              <w14:schemeClr w14:val="tx1"/>
            </w14:solidFill>
          </w14:textFill>
        </w:rPr>
        <w:t>在发生</w:t>
      </w:r>
      <w:r>
        <w:rPr>
          <w:rFonts w:hint="eastAsia" w:ascii="宋体" w:hAnsi="宋体" w:cs="Courier New"/>
          <w:color w:val="000000" w:themeColor="text1"/>
          <w:sz w:val="21"/>
          <w:szCs w:val="21"/>
          <w:highlight w:val="none"/>
          <w14:textFill>
            <w14:solidFill>
              <w14:schemeClr w14:val="tx1"/>
            </w14:solidFill>
          </w14:textFill>
        </w:rPr>
        <w:t>上述</w:t>
      </w:r>
      <w:r>
        <w:rPr>
          <w:rFonts w:ascii="宋体" w:hAnsi="宋体" w:cs="Courier New"/>
          <w:color w:val="000000" w:themeColor="text1"/>
          <w:sz w:val="21"/>
          <w:szCs w:val="21"/>
          <w:highlight w:val="none"/>
          <w14:textFill>
            <w14:solidFill>
              <w14:schemeClr w14:val="tx1"/>
            </w14:solidFill>
          </w14:textFill>
        </w:rPr>
        <w:t>情况后</w:t>
      </w:r>
      <w:r>
        <w:rPr>
          <w:rFonts w:hint="eastAsia" w:ascii="宋体" w:hAnsi="宋体" w:cs="Courier New"/>
          <w:color w:val="000000" w:themeColor="text1"/>
          <w:sz w:val="21"/>
          <w:szCs w:val="21"/>
          <w:highlight w:val="none"/>
          <w14:textFill>
            <w14:solidFill>
              <w14:schemeClr w14:val="tx1"/>
            </w14:solidFill>
          </w14:textFill>
        </w:rPr>
        <w:t>5</w:t>
      </w:r>
      <w:r>
        <w:rPr>
          <w:rFonts w:ascii="宋体" w:hAnsi="宋体" w:cs="Courier New"/>
          <w:color w:val="000000" w:themeColor="text1"/>
          <w:sz w:val="21"/>
          <w:szCs w:val="21"/>
          <w:highlight w:val="none"/>
          <w14:textFill>
            <w14:solidFill>
              <w14:schemeClr w14:val="tx1"/>
            </w14:solidFill>
          </w14:textFill>
        </w:rPr>
        <w:t>天内向</w:t>
      </w:r>
      <w:r>
        <w:rPr>
          <w:rFonts w:hint="eastAsia" w:ascii="宋体" w:hAnsi="宋体" w:cs="Courier New"/>
          <w:color w:val="000000" w:themeColor="text1"/>
          <w:sz w:val="21"/>
          <w:szCs w:val="21"/>
          <w:highlight w:val="none"/>
          <w14:textFill>
            <w14:solidFill>
              <w14:schemeClr w14:val="tx1"/>
            </w14:solidFill>
          </w14:textFill>
        </w:rPr>
        <w:t>发包人</w:t>
      </w:r>
      <w:r>
        <w:rPr>
          <w:rFonts w:ascii="宋体" w:hAnsi="宋体" w:cs="Courier New"/>
          <w:color w:val="000000" w:themeColor="text1"/>
          <w:sz w:val="21"/>
          <w:szCs w:val="21"/>
          <w:highlight w:val="none"/>
          <w14:textFill>
            <w14:solidFill>
              <w14:schemeClr w14:val="tx1"/>
            </w14:solidFill>
          </w14:textFill>
        </w:rPr>
        <w:t>发出要求延期的书面通知，在发生</w:t>
      </w:r>
      <w:r>
        <w:rPr>
          <w:rFonts w:hint="eastAsia" w:ascii="宋体" w:hAnsi="宋体" w:cs="Courier New"/>
          <w:color w:val="000000" w:themeColor="text1"/>
          <w:sz w:val="21"/>
          <w:szCs w:val="21"/>
          <w:highlight w:val="none"/>
          <w14:textFill>
            <w14:solidFill>
              <w14:schemeClr w14:val="tx1"/>
            </w14:solidFill>
          </w14:textFill>
        </w:rPr>
        <w:t>上述</w:t>
      </w:r>
      <w:r>
        <w:rPr>
          <w:rFonts w:ascii="宋体" w:hAnsi="宋体" w:cs="Courier New"/>
          <w:color w:val="000000" w:themeColor="text1"/>
          <w:sz w:val="21"/>
          <w:szCs w:val="21"/>
          <w:highlight w:val="none"/>
          <w14:textFill>
            <w14:solidFill>
              <w14:schemeClr w14:val="tx1"/>
            </w14:solidFill>
          </w14:textFill>
        </w:rPr>
        <w:t>情况后</w:t>
      </w:r>
      <w:r>
        <w:rPr>
          <w:rFonts w:hint="eastAsia" w:ascii="宋体" w:hAnsi="宋体" w:cs="Courier New"/>
          <w:color w:val="000000" w:themeColor="text1"/>
          <w:sz w:val="21"/>
          <w:szCs w:val="21"/>
          <w:highlight w:val="none"/>
          <w14:textFill>
            <w14:solidFill>
              <w14:schemeClr w14:val="tx1"/>
            </w14:solidFill>
          </w14:textFill>
        </w:rPr>
        <w:t>10</w:t>
      </w:r>
      <w:r>
        <w:rPr>
          <w:rFonts w:ascii="宋体" w:hAnsi="宋体" w:cs="Courier New"/>
          <w:color w:val="000000" w:themeColor="text1"/>
          <w:sz w:val="21"/>
          <w:szCs w:val="21"/>
          <w:highlight w:val="none"/>
          <w14:textFill>
            <w14:solidFill>
              <w14:schemeClr w14:val="tx1"/>
            </w14:solidFill>
          </w14:textFill>
        </w:rPr>
        <w:t>天内提交要求延期的详细说明供</w:t>
      </w:r>
      <w:r>
        <w:rPr>
          <w:rFonts w:hint="eastAsia" w:ascii="宋体" w:hAnsi="宋体" w:cs="Courier New"/>
          <w:color w:val="000000" w:themeColor="text1"/>
          <w:sz w:val="21"/>
          <w:szCs w:val="21"/>
          <w:highlight w:val="none"/>
          <w14:textFill>
            <w14:solidFill>
              <w14:schemeClr w14:val="tx1"/>
            </w14:solidFill>
          </w14:textFill>
        </w:rPr>
        <w:t>发包人审查。</w:t>
      </w: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s="Courier New"/>
          <w:color w:val="000000" w:themeColor="text1"/>
          <w:sz w:val="21"/>
          <w:szCs w:val="21"/>
          <w:highlight w:val="none"/>
          <w14:textFill>
            <w14:solidFill>
              <w14:schemeClr w14:val="tx1"/>
            </w14:solidFill>
          </w14:textFill>
        </w:rPr>
        <w:t>发包人</w:t>
      </w:r>
      <w:r>
        <w:rPr>
          <w:rFonts w:ascii="宋体" w:hAnsi="宋体" w:cs="Courier New"/>
          <w:color w:val="000000" w:themeColor="text1"/>
          <w:sz w:val="21"/>
          <w:szCs w:val="21"/>
          <w:highlight w:val="none"/>
          <w14:textFill>
            <w14:solidFill>
              <w14:schemeClr w14:val="tx1"/>
            </w14:solidFill>
          </w14:textFill>
        </w:rPr>
        <w:t>收到</w:t>
      </w:r>
      <w:r>
        <w:rPr>
          <w:rFonts w:hint="eastAsia" w:ascii="宋体" w:hAnsi="宋体" w:cs="Courier New"/>
          <w:color w:val="000000" w:themeColor="text1"/>
          <w:sz w:val="21"/>
          <w:szCs w:val="21"/>
          <w:highlight w:val="none"/>
          <w14:textFill>
            <w14:solidFill>
              <w14:schemeClr w14:val="tx1"/>
            </w14:solidFill>
          </w14:textFill>
        </w:rPr>
        <w:t>设计人</w:t>
      </w:r>
      <w:r>
        <w:rPr>
          <w:rFonts w:ascii="宋体" w:hAnsi="宋体" w:cs="Courier New"/>
          <w:color w:val="000000" w:themeColor="text1"/>
          <w:sz w:val="21"/>
          <w:szCs w:val="21"/>
          <w:highlight w:val="none"/>
          <w14:textFill>
            <w14:solidFill>
              <w14:schemeClr w14:val="tx1"/>
            </w14:solidFill>
          </w14:textFill>
        </w:rPr>
        <w:t>要求延期的详细说明后，</w:t>
      </w:r>
      <w:r>
        <w:rPr>
          <w:rFonts w:hint="eastAsia" w:ascii="宋体" w:hAnsi="宋体" w:cs="Courier New"/>
          <w:color w:val="000000" w:themeColor="text1"/>
          <w:sz w:val="21"/>
          <w:szCs w:val="21"/>
          <w:highlight w:val="none"/>
          <w14:textFill>
            <w14:solidFill>
              <w14:schemeClr w14:val="tx1"/>
            </w14:solidFill>
          </w14:textFill>
        </w:rPr>
        <w:t>应</w:t>
      </w:r>
      <w:r>
        <w:rPr>
          <w:rFonts w:ascii="宋体" w:hAnsi="宋体" w:cs="Courier New"/>
          <w:color w:val="000000" w:themeColor="text1"/>
          <w:sz w:val="21"/>
          <w:szCs w:val="21"/>
          <w:highlight w:val="none"/>
          <w14:textFill>
            <w14:solidFill>
              <w14:schemeClr w14:val="tx1"/>
            </w14:solidFill>
          </w14:textFill>
        </w:rPr>
        <w:t>在</w:t>
      </w:r>
      <w:r>
        <w:rPr>
          <w:rFonts w:hint="eastAsia" w:ascii="宋体" w:hAnsi="宋体" w:cs="Courier New"/>
          <w:color w:val="000000" w:themeColor="text1"/>
          <w:sz w:val="21"/>
          <w:szCs w:val="21"/>
          <w:highlight w:val="none"/>
          <w14:textFill>
            <w14:solidFill>
              <w14:schemeClr w14:val="tx1"/>
            </w14:solidFill>
          </w14:textFill>
        </w:rPr>
        <w:t>5</w:t>
      </w:r>
      <w:r>
        <w:rPr>
          <w:rFonts w:ascii="宋体" w:hAnsi="宋体" w:cs="Courier New"/>
          <w:color w:val="000000" w:themeColor="text1"/>
          <w:sz w:val="21"/>
          <w:szCs w:val="21"/>
          <w:highlight w:val="none"/>
          <w14:textFill>
            <w14:solidFill>
              <w14:schemeClr w14:val="tx1"/>
            </w14:solidFill>
          </w14:textFill>
        </w:rPr>
        <w:t>天内</w:t>
      </w:r>
      <w:r>
        <w:rPr>
          <w:rFonts w:hint="eastAsia" w:ascii="宋体" w:hAnsi="宋体" w:cs="Courier New"/>
          <w:color w:val="000000" w:themeColor="text1"/>
          <w:sz w:val="21"/>
          <w:szCs w:val="21"/>
          <w:highlight w:val="none"/>
          <w14:textFill>
            <w14:solidFill>
              <w14:schemeClr w14:val="tx1"/>
            </w14:solidFill>
          </w14:textFill>
        </w:rPr>
        <w:t>进行</w:t>
      </w:r>
      <w:r>
        <w:rPr>
          <w:rFonts w:ascii="宋体" w:hAnsi="宋体" w:cs="Courier New"/>
          <w:color w:val="000000" w:themeColor="text1"/>
          <w:sz w:val="21"/>
          <w:szCs w:val="21"/>
          <w:highlight w:val="none"/>
          <w14:textFill>
            <w14:solidFill>
              <w14:schemeClr w14:val="tx1"/>
            </w14:solidFill>
          </w14:textFill>
        </w:rPr>
        <w:t>审查</w:t>
      </w:r>
      <w:r>
        <w:rPr>
          <w:rFonts w:hint="eastAsia" w:ascii="宋体" w:hAnsi="宋体" w:cs="Courier New"/>
          <w:color w:val="000000" w:themeColor="text1"/>
          <w:sz w:val="21"/>
          <w:szCs w:val="21"/>
          <w:highlight w:val="none"/>
          <w14:textFill>
            <w14:solidFill>
              <w14:schemeClr w14:val="tx1"/>
            </w14:solidFill>
          </w14:textFill>
        </w:rPr>
        <w:t>并就</w:t>
      </w:r>
      <w:r>
        <w:rPr>
          <w:rFonts w:ascii="宋体" w:hAnsi="宋体" w:cs="Courier New"/>
          <w:color w:val="000000" w:themeColor="text1"/>
          <w:sz w:val="21"/>
          <w:szCs w:val="21"/>
          <w:highlight w:val="none"/>
          <w14:textFill>
            <w14:solidFill>
              <w14:schemeClr w14:val="tx1"/>
            </w14:solidFill>
          </w14:textFill>
        </w:rPr>
        <w:t>是否延长设计周期及延期天数向</w:t>
      </w:r>
      <w:r>
        <w:rPr>
          <w:rFonts w:hint="eastAsia" w:ascii="宋体" w:hAnsi="宋体" w:cs="Courier New"/>
          <w:color w:val="000000" w:themeColor="text1"/>
          <w:sz w:val="21"/>
          <w:szCs w:val="21"/>
          <w:highlight w:val="none"/>
          <w14:textFill>
            <w14:solidFill>
              <w14:schemeClr w14:val="tx1"/>
            </w14:solidFill>
          </w14:textFill>
        </w:rPr>
        <w:t>设计人进行</w:t>
      </w:r>
      <w:r>
        <w:rPr>
          <w:rFonts w:ascii="宋体" w:hAnsi="宋体" w:cs="Courier New"/>
          <w:color w:val="000000" w:themeColor="text1"/>
          <w:sz w:val="21"/>
          <w:szCs w:val="21"/>
          <w:highlight w:val="none"/>
          <w14:textFill>
            <w14:solidFill>
              <w14:schemeClr w14:val="tx1"/>
            </w14:solidFill>
          </w14:textFill>
        </w:rPr>
        <w:t>书面答复。</w:t>
      </w:r>
    </w:p>
    <w:p w14:paraId="281429FE">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如果</w:t>
      </w:r>
      <w:r>
        <w:rPr>
          <w:rFonts w:hint="eastAsia" w:ascii="宋体" w:hAnsi="宋体" w:cs="Courier New"/>
          <w:color w:val="000000" w:themeColor="text1"/>
          <w:sz w:val="21"/>
          <w:szCs w:val="21"/>
          <w:highlight w:val="none"/>
          <w14:textFill>
            <w14:solidFill>
              <w14:schemeClr w14:val="tx1"/>
            </w14:solidFill>
          </w14:textFill>
        </w:rPr>
        <w:t>发包人</w:t>
      </w:r>
      <w:r>
        <w:rPr>
          <w:rFonts w:ascii="宋体" w:hAnsi="宋体" w:cs="Courier New"/>
          <w:color w:val="000000" w:themeColor="text1"/>
          <w:sz w:val="21"/>
          <w:szCs w:val="21"/>
          <w:highlight w:val="none"/>
          <w14:textFill>
            <w14:solidFill>
              <w14:schemeClr w14:val="tx1"/>
            </w14:solidFill>
          </w14:textFill>
        </w:rPr>
        <w:t>在收到</w:t>
      </w:r>
      <w:r>
        <w:rPr>
          <w:rFonts w:hint="eastAsia" w:ascii="宋体" w:hAnsi="宋体" w:cs="Courier New"/>
          <w:color w:val="000000" w:themeColor="text1"/>
          <w:sz w:val="21"/>
          <w:szCs w:val="21"/>
          <w:highlight w:val="none"/>
          <w14:textFill>
            <w14:solidFill>
              <w14:schemeClr w14:val="tx1"/>
            </w14:solidFill>
          </w14:textFill>
        </w:rPr>
        <w:t>设计人</w:t>
      </w:r>
      <w:r>
        <w:rPr>
          <w:rFonts w:ascii="宋体" w:hAnsi="宋体"/>
          <w:color w:val="000000" w:themeColor="text1"/>
          <w:sz w:val="21"/>
          <w:szCs w:val="21"/>
          <w:highlight w:val="none"/>
          <w14:textFill>
            <w14:solidFill>
              <w14:schemeClr w14:val="tx1"/>
            </w14:solidFill>
          </w14:textFill>
        </w:rPr>
        <w:t>提交</w:t>
      </w:r>
      <w:r>
        <w:rPr>
          <w:rFonts w:hint="eastAsia" w:ascii="宋体" w:hAnsi="宋体"/>
          <w:color w:val="000000" w:themeColor="text1"/>
          <w:sz w:val="21"/>
          <w:szCs w:val="21"/>
          <w:highlight w:val="none"/>
          <w14:textFill>
            <w14:solidFill>
              <w14:schemeClr w14:val="tx1"/>
            </w14:solidFill>
          </w14:textFill>
        </w:rPr>
        <w:t>要求</w:t>
      </w:r>
      <w:r>
        <w:rPr>
          <w:rFonts w:ascii="宋体" w:hAnsi="宋体" w:cs="Courier New"/>
          <w:color w:val="000000" w:themeColor="text1"/>
          <w:sz w:val="21"/>
          <w:szCs w:val="21"/>
          <w:highlight w:val="none"/>
          <w14:textFill>
            <w14:solidFill>
              <w14:schemeClr w14:val="tx1"/>
            </w14:solidFill>
          </w14:textFill>
        </w:rPr>
        <w:t>延期的详细说明后</w:t>
      </w:r>
      <w:r>
        <w:rPr>
          <w:rFonts w:hint="eastAsia" w:ascii="宋体" w:hAnsi="宋体" w:cs="Courier New"/>
          <w:color w:val="000000" w:themeColor="text1"/>
          <w:sz w:val="21"/>
          <w:szCs w:val="21"/>
          <w:highlight w:val="none"/>
          <w14:textFill>
            <w14:solidFill>
              <w14:schemeClr w14:val="tx1"/>
            </w14:solidFill>
          </w14:textFill>
        </w:rPr>
        <w:t>，在约定的期限内</w:t>
      </w:r>
      <w:r>
        <w:rPr>
          <w:rFonts w:ascii="宋体" w:hAnsi="宋体" w:cs="Courier New"/>
          <w:color w:val="000000" w:themeColor="text1"/>
          <w:sz w:val="21"/>
          <w:szCs w:val="21"/>
          <w:highlight w:val="none"/>
          <w14:textFill>
            <w14:solidFill>
              <w14:schemeClr w14:val="tx1"/>
            </w14:solidFill>
          </w14:textFill>
        </w:rPr>
        <w:t>未予答复，则视为</w:t>
      </w:r>
      <w:r>
        <w:rPr>
          <w:rFonts w:hint="eastAsia" w:ascii="宋体" w:hAnsi="宋体" w:cs="Courier New"/>
          <w:color w:val="000000" w:themeColor="text1"/>
          <w:sz w:val="21"/>
          <w:szCs w:val="21"/>
          <w:highlight w:val="none"/>
          <w14:textFill>
            <w14:solidFill>
              <w14:schemeClr w14:val="tx1"/>
            </w14:solidFill>
          </w14:textFill>
        </w:rPr>
        <w:t>设计人</w:t>
      </w:r>
      <w:r>
        <w:rPr>
          <w:rFonts w:ascii="宋体" w:hAnsi="宋体" w:cs="Courier New"/>
          <w:color w:val="000000" w:themeColor="text1"/>
          <w:sz w:val="21"/>
          <w:szCs w:val="21"/>
          <w:highlight w:val="none"/>
          <w14:textFill>
            <w14:solidFill>
              <w14:schemeClr w14:val="tx1"/>
            </w14:solidFill>
          </w14:textFill>
        </w:rPr>
        <w:t>要求的延期已被发包人批准。</w:t>
      </w:r>
      <w:r>
        <w:rPr>
          <w:rFonts w:hint="eastAsia" w:ascii="宋体" w:hAnsi="宋体" w:cs="Courier New"/>
          <w:color w:val="000000" w:themeColor="text1"/>
          <w:sz w:val="21"/>
          <w:szCs w:val="21"/>
          <w:highlight w:val="none"/>
          <w14:textFill>
            <w14:solidFill>
              <w14:schemeClr w14:val="tx1"/>
            </w14:solidFill>
          </w14:textFill>
        </w:rPr>
        <w:t>如果设计人</w:t>
      </w:r>
      <w:r>
        <w:rPr>
          <w:rFonts w:ascii="宋体" w:hAnsi="宋体" w:cs="Courier New"/>
          <w:color w:val="000000" w:themeColor="text1"/>
          <w:sz w:val="21"/>
          <w:szCs w:val="21"/>
          <w:highlight w:val="none"/>
          <w14:textFill>
            <w14:solidFill>
              <w14:schemeClr w14:val="tx1"/>
            </w14:solidFill>
          </w14:textFill>
        </w:rPr>
        <w:t>未能按</w:t>
      </w:r>
      <w:r>
        <w:rPr>
          <w:rFonts w:hint="eastAsia" w:ascii="宋体" w:hAnsi="宋体" w:cs="Courier New"/>
          <w:color w:val="000000" w:themeColor="text1"/>
          <w:sz w:val="21"/>
          <w:szCs w:val="21"/>
          <w:highlight w:val="none"/>
          <w14:textFill>
            <w14:solidFill>
              <w14:schemeClr w14:val="tx1"/>
            </w14:solidFill>
          </w14:textFill>
        </w:rPr>
        <w:t>本款约</w:t>
      </w:r>
      <w:r>
        <w:rPr>
          <w:rFonts w:ascii="宋体" w:hAnsi="宋体" w:cs="Courier New"/>
          <w:color w:val="000000" w:themeColor="text1"/>
          <w:sz w:val="21"/>
          <w:szCs w:val="21"/>
          <w:highlight w:val="none"/>
          <w14:textFill>
            <w14:solidFill>
              <w14:schemeClr w14:val="tx1"/>
            </w14:solidFill>
          </w14:textFill>
        </w:rPr>
        <w:t>定的时间内发出要求延期的通知并提交详细资料，则</w:t>
      </w:r>
      <w:r>
        <w:rPr>
          <w:rFonts w:hint="eastAsia" w:ascii="宋体" w:hAnsi="宋体" w:cs="Courier New"/>
          <w:color w:val="000000" w:themeColor="text1"/>
          <w:sz w:val="21"/>
          <w:szCs w:val="21"/>
          <w:highlight w:val="none"/>
          <w14:textFill>
            <w14:solidFill>
              <w14:schemeClr w14:val="tx1"/>
            </w14:solidFill>
          </w14:textFill>
        </w:rPr>
        <w:t>发包人</w:t>
      </w:r>
      <w:r>
        <w:rPr>
          <w:rFonts w:ascii="宋体" w:hAnsi="宋体" w:cs="Courier New"/>
          <w:color w:val="000000" w:themeColor="text1"/>
          <w:sz w:val="21"/>
          <w:szCs w:val="21"/>
          <w:highlight w:val="none"/>
          <w14:textFill>
            <w14:solidFill>
              <w14:schemeClr w14:val="tx1"/>
            </w14:solidFill>
          </w14:textFill>
        </w:rPr>
        <w:t>可拒绝作出任何延期的决定。</w:t>
      </w:r>
    </w:p>
    <w:p w14:paraId="08C5018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发包人上述工程设计进度延误情形导致增加了设计工作量的，发包人应当另行支付相应设计费用。</w:t>
      </w:r>
    </w:p>
    <w:p w14:paraId="4E3A51AB">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.2 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人原因导致</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w:t>
      </w:r>
    </w:p>
    <w:p w14:paraId="1AAAFE83">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w:t>
      </w:r>
      <w:r>
        <w:rPr>
          <w:rFonts w:hint="eastAsia" w:ascii="宋体" w:hAnsi="宋体"/>
          <w:color w:val="000000" w:themeColor="text1"/>
          <w:sz w:val="21"/>
          <w:szCs w:val="21"/>
          <w:highlight w:val="none"/>
          <w14:textFill>
            <w14:solidFill>
              <w14:schemeClr w14:val="tx1"/>
            </w14:solidFill>
          </w14:textFill>
        </w:rPr>
        <w:t>导致工程设计进度</w:t>
      </w:r>
      <w:r>
        <w:rPr>
          <w:rFonts w:ascii="宋体" w:hAnsi="宋体"/>
          <w:color w:val="000000" w:themeColor="text1"/>
          <w:sz w:val="21"/>
          <w:szCs w:val="21"/>
          <w:highlight w:val="none"/>
          <w14:textFill>
            <w14:solidFill>
              <w14:schemeClr w14:val="tx1"/>
            </w14:solidFill>
          </w14:textFill>
        </w:rPr>
        <w:t>延误的，</w:t>
      </w:r>
      <w:r>
        <w:rPr>
          <w:rFonts w:hint="eastAsia" w:ascii="宋体" w:hAnsi="宋体"/>
          <w:color w:val="000000" w:themeColor="text1"/>
          <w:sz w:val="21"/>
          <w:szCs w:val="21"/>
          <w:highlight w:val="none"/>
          <w14:textFill>
            <w14:solidFill>
              <w14:schemeClr w14:val="tx1"/>
            </w14:solidFill>
          </w14:textFill>
        </w:rPr>
        <w:t>设计人应当按照第14.2款〔设计人违约责任〕承担责任</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人支付逾期</w:t>
      </w:r>
      <w:r>
        <w:rPr>
          <w:rFonts w:hint="eastAsia" w:ascii="宋体" w:hAnsi="宋体"/>
          <w:color w:val="000000" w:themeColor="text1"/>
          <w:sz w:val="21"/>
          <w:szCs w:val="21"/>
          <w:highlight w:val="none"/>
          <w14:textFill>
            <w14:solidFill>
              <w14:schemeClr w14:val="tx1"/>
            </w14:solidFill>
          </w14:textFill>
        </w:rPr>
        <w:t>完成工程设计</w:t>
      </w:r>
      <w:r>
        <w:rPr>
          <w:rFonts w:ascii="宋体" w:hAnsi="宋体"/>
          <w:color w:val="000000" w:themeColor="text1"/>
          <w:sz w:val="21"/>
          <w:szCs w:val="21"/>
          <w:highlight w:val="none"/>
          <w14:textFill>
            <w14:solidFill>
              <w14:schemeClr w14:val="tx1"/>
            </w14:solidFill>
          </w14:textFill>
        </w:rPr>
        <w:t>违约金后，不免除</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人继续完成工程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的义务。</w:t>
      </w:r>
    </w:p>
    <w:p w14:paraId="59E00B0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6.4</w:t>
      </w:r>
      <w:r>
        <w:rPr>
          <w:rFonts w:hint="eastAsia" w:ascii="宋体" w:hAnsi="宋体"/>
          <w:color w:val="000000" w:themeColor="text1"/>
          <w:sz w:val="21"/>
          <w:szCs w:val="21"/>
          <w:highlight w:val="none"/>
          <w14:textFill>
            <w14:solidFill>
              <w14:schemeClr w14:val="tx1"/>
            </w14:solidFill>
          </w14:textFill>
        </w:rPr>
        <w:t xml:space="preserve"> 暂停设计</w:t>
      </w:r>
    </w:p>
    <w:p w14:paraId="439E2DF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发包人原因引起的暂停</w:t>
      </w:r>
      <w:r>
        <w:rPr>
          <w:rFonts w:hint="eastAsia" w:ascii="宋体" w:hAnsi="宋体"/>
          <w:color w:val="000000" w:themeColor="text1"/>
          <w:sz w:val="21"/>
          <w:szCs w:val="21"/>
          <w:highlight w:val="none"/>
          <w14:textFill>
            <w14:solidFill>
              <w14:schemeClr w14:val="tx1"/>
            </w14:solidFill>
          </w14:textFill>
        </w:rPr>
        <w:t>设计</w:t>
      </w:r>
    </w:p>
    <w:p w14:paraId="4954C7F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因发包人原因引起暂停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的，发包人应及时下达暂停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指示。</w:t>
      </w:r>
    </w:p>
    <w:p w14:paraId="5FCACFB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因发包人原因引起的暂停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，发包人应承担由此增加的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延长的设计周期</w:t>
      </w:r>
      <w:r>
        <w:rPr>
          <w:rFonts w:ascii="宋体" w:hAnsi="宋体"/>
          <w:color w:val="000000" w:themeColor="text1"/>
          <w:sz w:val="21"/>
          <w:szCs w:val="21"/>
          <w:highlight w:val="none"/>
          <w14:textFill>
            <w14:solidFill>
              <w14:schemeClr w14:val="tx1"/>
            </w14:solidFill>
          </w14:textFill>
        </w:rPr>
        <w:t>。</w:t>
      </w:r>
    </w:p>
    <w:p w14:paraId="2416C0D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人原因引起的暂停</w:t>
      </w:r>
      <w:r>
        <w:rPr>
          <w:rFonts w:hint="eastAsia" w:ascii="宋体" w:hAnsi="宋体"/>
          <w:color w:val="000000" w:themeColor="text1"/>
          <w:sz w:val="21"/>
          <w:szCs w:val="21"/>
          <w:highlight w:val="none"/>
          <w14:textFill>
            <w14:solidFill>
              <w14:schemeClr w14:val="tx1"/>
            </w14:solidFill>
          </w14:textFill>
        </w:rPr>
        <w:t>设计</w:t>
      </w:r>
    </w:p>
    <w:p w14:paraId="672B250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人原因引起的暂停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设计人应当尽快向发包人发出书面通知并按第14.2款〔设计人违约责任〕承担责任</w:t>
      </w:r>
      <w:r>
        <w:rPr>
          <w:rFonts w:ascii="宋体" w:hAnsi="宋体"/>
          <w:color w:val="000000" w:themeColor="text1"/>
          <w:sz w:val="21"/>
          <w:szCs w:val="21"/>
          <w:highlight w:val="none"/>
          <w14:textFill>
            <w14:solidFill>
              <w14:schemeClr w14:val="tx1"/>
            </w14:solidFill>
          </w14:textFill>
        </w:rPr>
        <w:t>，且</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人在收到</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人复工指示后</w:t>
      </w:r>
      <w:r>
        <w:rPr>
          <w:rFonts w:hint="eastAsia" w:ascii="宋体" w:hAnsi="宋体"/>
          <w:color w:val="000000" w:themeColor="text1"/>
          <w:sz w:val="21"/>
          <w:szCs w:val="21"/>
          <w:highlight w:val="none"/>
          <w14:textFill>
            <w14:solidFill>
              <w14:schemeClr w14:val="tx1"/>
            </w14:solidFill>
          </w14:textFill>
        </w:rPr>
        <w:t>15</w:t>
      </w:r>
      <w:r>
        <w:rPr>
          <w:rFonts w:ascii="宋体" w:hAnsi="宋体"/>
          <w:color w:val="000000" w:themeColor="text1"/>
          <w:sz w:val="21"/>
          <w:szCs w:val="21"/>
          <w:highlight w:val="none"/>
          <w14:textFill>
            <w14:solidFill>
              <w14:schemeClr w14:val="tx1"/>
            </w14:solidFill>
          </w14:textFill>
        </w:rPr>
        <w:t>天内仍未复工的，视为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人无法继续履行合同的情形</w:t>
      </w:r>
      <w:r>
        <w:rPr>
          <w:rFonts w:hint="eastAsia" w:ascii="宋体" w:hAnsi="宋体"/>
          <w:color w:val="000000" w:themeColor="text1"/>
          <w:sz w:val="21"/>
          <w:szCs w:val="21"/>
          <w:highlight w:val="none"/>
          <w14:textFill>
            <w14:solidFill>
              <w14:schemeClr w14:val="tx1"/>
            </w14:solidFill>
          </w14:textFill>
        </w:rPr>
        <w:t>，设计人应按第16条〔合同解除〕的约定承担责任</w:t>
      </w:r>
      <w:r>
        <w:rPr>
          <w:rFonts w:ascii="宋体" w:hAnsi="宋体"/>
          <w:color w:val="000000" w:themeColor="text1"/>
          <w:sz w:val="21"/>
          <w:szCs w:val="21"/>
          <w:highlight w:val="none"/>
          <w14:textFill>
            <w14:solidFill>
              <w14:schemeClr w14:val="tx1"/>
            </w14:solidFill>
          </w14:textFill>
        </w:rPr>
        <w:t>。</w:t>
      </w:r>
    </w:p>
    <w:p w14:paraId="46BEE53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6.4.3 其他原因引起的暂停设计</w:t>
      </w:r>
    </w:p>
    <w:p w14:paraId="53869F2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当出现非设计人原因造成的暂停设计，设计人应当尽快向发包人发出书面通知。</w:t>
      </w:r>
    </w:p>
    <w:p w14:paraId="6FC1A6F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在上述情形下设计人的设计服务暂停，设计人的设计周期应当相应延长，复工应有发包人与设计人共同确认的合理期限。</w:t>
      </w:r>
    </w:p>
    <w:p w14:paraId="00EE962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当发生本项约定的情况，导致设计人增加设计工作量的，发包人应当另行支付相应设计费用。</w:t>
      </w:r>
    </w:p>
    <w:p w14:paraId="2D91450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后的复工</w:t>
      </w:r>
    </w:p>
    <w:p w14:paraId="18566E7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后，发包人和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人应采取有效措施积极消除暂停</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的影响。当工程具备复工条件时，发包人向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人发出复工通知，</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人应按照复工通知要求复工。</w:t>
      </w:r>
    </w:p>
    <w:p w14:paraId="0B8390D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除设计人原因导致暂停设计外，设计人暂停设计后复工所增加的设计工作量，发包人应当另行支付相应设计费用。</w:t>
      </w:r>
    </w:p>
    <w:p w14:paraId="7A5ABD55">
      <w:pPr>
        <w:pStyle w:val="6"/>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6</w:t>
      </w:r>
      <w:r>
        <w:rPr>
          <w:rFonts w:ascii="宋体" w:hAnsi="宋体"/>
          <w:b w:val="0"/>
          <w:bCs w:val="0"/>
          <w:color w:val="000000" w:themeColor="text1"/>
          <w:sz w:val="21"/>
          <w:szCs w:val="21"/>
          <w:highlight w:val="none"/>
          <w14:textFill>
            <w14:solidFill>
              <w14:schemeClr w14:val="tx1"/>
            </w14:solidFill>
          </w14:textFill>
        </w:rPr>
        <w:t>.</w:t>
      </w:r>
      <w:r>
        <w:rPr>
          <w:rFonts w:hint="eastAsia" w:ascii="宋体" w:hAnsi="宋体"/>
          <w:b w:val="0"/>
          <w:bCs w:val="0"/>
          <w:color w:val="000000" w:themeColor="text1"/>
          <w:sz w:val="21"/>
          <w:szCs w:val="21"/>
          <w:highlight w:val="none"/>
          <w14:textFill>
            <w14:solidFill>
              <w14:schemeClr w14:val="tx1"/>
            </w14:solidFill>
          </w14:textFill>
        </w:rPr>
        <w:t>5 提前交付工程设计文件</w:t>
      </w:r>
    </w:p>
    <w:p w14:paraId="36C22EB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 发包人要求</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的，发包人应向</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人下达提前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指示，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人应向发包人提交提前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建议书，提前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建议书应包括实施的方案、缩短的时间、增加的合同价格等内容。发包人接受该提前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建议书的，发包人和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人协商采取加快工程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进度的措施，并修订</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进度计划，由此增加的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费用由发包人承担。</w:t>
      </w:r>
      <w:r>
        <w:rPr>
          <w:rFonts w:hint="eastAsia" w:ascii="宋体" w:hAnsi="宋体"/>
          <w:color w:val="000000" w:themeColor="text1"/>
          <w:sz w:val="21"/>
          <w:szCs w:val="21"/>
          <w:highlight w:val="none"/>
          <w14:textFill>
            <w14:solidFill>
              <w14:schemeClr w14:val="tx1"/>
            </w14:solidFill>
          </w14:textFill>
        </w:rPr>
        <w:t>设计人认为提前交付工程设计文件的指示无法执行的，应向发包人提出书面异议，发包人应在收到异议后7天内予以答复。任何情况下，发包人不得压缩合理设计周期。</w:t>
      </w:r>
    </w:p>
    <w:p w14:paraId="6C054FA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 发包人要求设计人提前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人提出提前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的建议能够给发包人带来效益的，合同当事人可以在专用合同条款中约定提前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的奖励。</w:t>
      </w:r>
    </w:p>
    <w:p w14:paraId="0FAF803D">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7</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工程设计文件交付</w:t>
      </w:r>
    </w:p>
    <w:p w14:paraId="68497744">
      <w:pPr>
        <w:pStyle w:val="6"/>
        <w:adjustRightInd/>
        <w:spacing w:before="0" w:after="0" w:line="360" w:lineRule="auto"/>
        <w:ind w:firstLine="438" w:firstLineChars="209"/>
        <w:jc w:val="left"/>
        <w:textAlignment w:val="auto"/>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7</w:t>
      </w:r>
      <w:r>
        <w:rPr>
          <w:rFonts w:ascii="宋体" w:hAnsi="宋体"/>
          <w:b w:val="0"/>
          <w:bCs w:val="0"/>
          <w:color w:val="000000" w:themeColor="text1"/>
          <w:sz w:val="21"/>
          <w:szCs w:val="21"/>
          <w:highlight w:val="none"/>
          <w14:textFill>
            <w14:solidFill>
              <w14:schemeClr w14:val="tx1"/>
            </w14:solidFill>
          </w14:textFill>
        </w:rPr>
        <w:t>.1</w:t>
      </w:r>
      <w:r>
        <w:rPr>
          <w:rFonts w:hint="eastAsia" w:ascii="宋体" w:hAnsi="宋体"/>
          <w:b w:val="0"/>
          <w:bCs w:val="0"/>
          <w:color w:val="000000" w:themeColor="text1"/>
          <w:sz w:val="21"/>
          <w:szCs w:val="21"/>
          <w:highlight w:val="none"/>
          <w14:textFill>
            <w14:solidFill>
              <w14:schemeClr w14:val="tx1"/>
            </w14:solidFill>
          </w14:textFill>
        </w:rPr>
        <w:t xml:space="preserve"> 工程设计文件交付的内容</w:t>
      </w:r>
    </w:p>
    <w:p w14:paraId="473AF81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7.1.1 工程设计图纸及设计说明。</w:t>
      </w:r>
    </w:p>
    <w:p w14:paraId="5710E5D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7.1.2 发包人可以要求设计人提交专用合同条款约定的具体形式的</w:t>
      </w:r>
      <w:r>
        <w:rPr>
          <w:rFonts w:hint="eastAsia" w:ascii="宋体" w:hAnsi="宋体" w:cs="Courier New"/>
          <w:color w:val="000000" w:themeColor="text1"/>
          <w:sz w:val="21"/>
          <w:szCs w:val="21"/>
          <w:highlight w:val="none"/>
          <w14:textFill>
            <w14:solidFill>
              <w14:schemeClr w14:val="tx1"/>
            </w14:solidFill>
          </w14:textFill>
        </w:rPr>
        <w:t>电子版设计文件</w:t>
      </w:r>
      <w:r>
        <w:rPr>
          <w:rFonts w:hint="eastAsia" w:ascii="宋体" w:hAnsi="宋体"/>
          <w:color w:val="000000" w:themeColor="text1"/>
          <w:sz w:val="21"/>
          <w:szCs w:val="21"/>
          <w:highlight w:val="none"/>
          <w14:textFill>
            <w14:solidFill>
              <w14:schemeClr w14:val="tx1"/>
            </w14:solidFill>
          </w14:textFill>
        </w:rPr>
        <w:t>。</w:t>
      </w:r>
    </w:p>
    <w:p w14:paraId="07BBE9FE">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7.2 工程设计文件的交付方式</w:t>
      </w:r>
    </w:p>
    <w:p w14:paraId="3861D74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设计人交付工程设计文件给发包人，发包人应当出具书面签收单，内容包括图纸名称、图纸内容、图纸形式、份数、提交和签收日期、提交人与接收人的亲笔签名。</w:t>
      </w:r>
    </w:p>
    <w:p w14:paraId="61929D6C">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7.3 工程设计文件交付的时间和份数</w:t>
      </w:r>
    </w:p>
    <w:p w14:paraId="07C64C04">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工程设计文件交付的名称、时间和份数在专用合同条款附件3中约定。</w:t>
      </w:r>
    </w:p>
    <w:p w14:paraId="2D364015">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8</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工程设计文件审查</w:t>
      </w:r>
    </w:p>
    <w:p w14:paraId="756BAB5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 设计人的工程设计文件应报发包人审查同意。审查的范围和内容在发包人要求中约定。审查的具体标准应符合法律规定、技术标准要求和本合同约定。</w:t>
      </w:r>
    </w:p>
    <w:p w14:paraId="32D4B66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除专用合同条款对期限另有约定外，自发包人收到设计人的工程设计文件以及设计人的通知之日起，发包人对设计人的工程设计文件审查期不超过15天。</w:t>
      </w:r>
    </w:p>
    <w:p w14:paraId="1F67324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发包人不同意工程设计文件的，应以书面形式通知设计人，并说明不符合合同要求的具体内容。设计人应根据发包人的书面说明，对工程设计文件进行修改后重新报送发包人审查，审查期重新起算。</w:t>
      </w:r>
    </w:p>
    <w:p w14:paraId="5C4BA5F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合同约定的审查期满，发包人没有做出审查结论也没有提出异议的，视为设计人的工程设计文件已获发包人同意。</w:t>
      </w:r>
    </w:p>
    <w:p w14:paraId="2D114C2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0324523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8.3 工程</w:t>
      </w:r>
      <w:r>
        <w:rPr>
          <w:rStyle w:val="48"/>
          <w:rFonts w:hint="eastAsia" w:ascii="宋体" w:hAnsi="宋体"/>
          <w:vanish/>
          <w:color w:val="000000" w:themeColor="text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设计文件需政府有关部门审查或批准的，发包人应在审查同意设计人的工程设计文件后在专用合同条款约定的期限内，向政府有关部门报送工程设计文件，设计人应予以协助。</w:t>
      </w:r>
    </w:p>
    <w:p w14:paraId="066734B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6C49007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1199876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设计人按第7条〔工程设计文件交付〕的约定向发包人提交工程设计文件，有义务参加发包人组织的设计审查会议，向审查者介绍、解答、解释其工程设计文件，并提供有关补充资料。</w:t>
      </w:r>
    </w:p>
    <w:p w14:paraId="016B1AB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发包人有义务向设计人提供设计审查会议的批准文件和纪要。设计人有义务按照相关设计审查会议批准的文件和纪要，并依据合同约定及相关技术标准，对工程设计文件进行修改、补充和完善。</w:t>
      </w:r>
    </w:p>
    <w:p w14:paraId="0ED4A7C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8.5 因设计人原因，未能按第7条〔工程设计文件交付〕约定的时间向发包人提交工程设计文件，致使工程设计文件审查无法进行或无法按期进行，造成设计周期延长、窝工损失及发包人增加费用的，设计人按第14.2款〔设计人违约责任〕的约定承担责任。</w:t>
      </w:r>
    </w:p>
    <w:p w14:paraId="0FAF3C9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因发包人原因，致使工程设计文件审查无法进行或无法按期进行，造成设计周期延长、窝工损失及设计人增加的费用，由发包人承担。</w:t>
      </w:r>
    </w:p>
    <w:p w14:paraId="5ADD431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8.6 </w:t>
      </w:r>
      <w:r>
        <w:rPr>
          <w:rFonts w:ascii="宋体" w:hAnsi="宋体"/>
          <w:color w:val="000000" w:themeColor="text1"/>
          <w:sz w:val="21"/>
          <w:szCs w:val="21"/>
          <w:highlight w:val="none"/>
          <w14:textFill>
            <w14:solidFill>
              <w14:schemeClr w14:val="tx1"/>
            </w14:solidFill>
          </w14:textFill>
        </w:rPr>
        <w:t>因</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人原因</w:t>
      </w:r>
      <w:r>
        <w:rPr>
          <w:rFonts w:hint="eastAsia" w:ascii="宋体" w:hAnsi="宋体"/>
          <w:color w:val="000000" w:themeColor="text1"/>
          <w:sz w:val="21"/>
          <w:szCs w:val="21"/>
          <w:highlight w:val="none"/>
          <w14:textFill>
            <w14:solidFill>
              <w14:schemeClr w14:val="tx1"/>
            </w14:solidFill>
          </w14:textFill>
        </w:rPr>
        <w:t>造成</w:t>
      </w:r>
      <w:r>
        <w:rPr>
          <w:rFonts w:ascii="宋体" w:hAnsi="宋体"/>
          <w:color w:val="000000" w:themeColor="text1"/>
          <w:sz w:val="21"/>
          <w:szCs w:val="21"/>
          <w:highlight w:val="none"/>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设计文件</w:t>
      </w:r>
      <w:r>
        <w:rPr>
          <w:rFonts w:ascii="宋体" w:hAnsi="宋体"/>
          <w:color w:val="000000" w:themeColor="text1"/>
          <w:sz w:val="21"/>
          <w:szCs w:val="21"/>
          <w:highlight w:val="none"/>
          <w14:textFill>
            <w14:solidFill>
              <w14:schemeClr w14:val="tx1"/>
            </w14:solidFill>
          </w14:textFill>
        </w:rPr>
        <w:t>不合格</w:t>
      </w:r>
      <w:r>
        <w:rPr>
          <w:rFonts w:hint="eastAsia" w:ascii="宋体" w:hAnsi="宋体"/>
          <w:color w:val="000000" w:themeColor="text1"/>
          <w:sz w:val="21"/>
          <w:szCs w:val="21"/>
          <w:highlight w:val="none"/>
          <w14:textFill>
            <w14:solidFill>
              <w14:schemeClr w14:val="tx1"/>
            </w14:solidFill>
          </w14:textFill>
        </w:rPr>
        <w:t>致使工程设计文件审查无法通过</w:t>
      </w:r>
      <w:r>
        <w:rPr>
          <w:rFonts w:ascii="宋体" w:hAnsi="宋体"/>
          <w:color w:val="000000" w:themeColor="text1"/>
          <w:sz w:val="21"/>
          <w:szCs w:val="21"/>
          <w:highlight w:val="none"/>
          <w14:textFill>
            <w14:solidFill>
              <w14:schemeClr w14:val="tx1"/>
            </w14:solidFill>
          </w14:textFill>
        </w:rPr>
        <w:t>的，发包人有权要求</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人采取补救措施，直至达到合同要求的质量标准</w:t>
      </w:r>
      <w:r>
        <w:rPr>
          <w:rFonts w:hint="eastAsia" w:ascii="宋体" w:hAnsi="宋体"/>
          <w:color w:val="000000" w:themeColor="text1"/>
          <w:sz w:val="21"/>
          <w:szCs w:val="21"/>
          <w:highlight w:val="none"/>
          <w14:textFill>
            <w14:solidFill>
              <w14:schemeClr w14:val="tx1"/>
            </w14:solidFill>
          </w14:textFill>
        </w:rPr>
        <w:t>，并按第14.2款〔设计人违约责任〕的约定承担责任</w:t>
      </w:r>
      <w:r>
        <w:rPr>
          <w:rFonts w:ascii="宋体" w:hAnsi="宋体"/>
          <w:color w:val="000000" w:themeColor="text1"/>
          <w:sz w:val="21"/>
          <w:szCs w:val="21"/>
          <w:highlight w:val="none"/>
          <w14:textFill>
            <w14:solidFill>
              <w14:schemeClr w14:val="tx1"/>
            </w14:solidFill>
          </w14:textFill>
        </w:rPr>
        <w:t xml:space="preserve">。 </w:t>
      </w:r>
    </w:p>
    <w:p w14:paraId="3703341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因发包人原因造成工程</w:t>
      </w:r>
      <w:r>
        <w:rPr>
          <w:rFonts w:hint="eastAsia" w:ascii="宋体" w:hAnsi="宋体"/>
          <w:color w:val="000000" w:themeColor="text1"/>
          <w:sz w:val="21"/>
          <w:szCs w:val="21"/>
          <w:highlight w:val="none"/>
          <w14:textFill>
            <w14:solidFill>
              <w14:schemeClr w14:val="tx1"/>
            </w14:solidFill>
          </w14:textFill>
        </w:rPr>
        <w:t>设计文件</w:t>
      </w:r>
      <w:r>
        <w:rPr>
          <w:rFonts w:ascii="宋体" w:hAnsi="宋体"/>
          <w:color w:val="000000" w:themeColor="text1"/>
          <w:sz w:val="21"/>
          <w:szCs w:val="21"/>
          <w:highlight w:val="none"/>
          <w14:textFill>
            <w14:solidFill>
              <w14:schemeClr w14:val="tx1"/>
            </w14:solidFill>
          </w14:textFill>
        </w:rPr>
        <w:t>不合格</w:t>
      </w:r>
      <w:r>
        <w:rPr>
          <w:rFonts w:hint="eastAsia" w:ascii="宋体" w:hAnsi="宋体"/>
          <w:color w:val="000000" w:themeColor="text1"/>
          <w:sz w:val="21"/>
          <w:szCs w:val="21"/>
          <w:highlight w:val="none"/>
          <w14:textFill>
            <w14:solidFill>
              <w14:schemeClr w14:val="tx1"/>
            </w14:solidFill>
          </w14:textFill>
        </w:rPr>
        <w:t>致使工程设计文件审查无法通过</w:t>
      </w:r>
      <w:r>
        <w:rPr>
          <w:rFonts w:ascii="宋体" w:hAnsi="宋体"/>
          <w:color w:val="000000" w:themeColor="text1"/>
          <w:sz w:val="21"/>
          <w:szCs w:val="21"/>
          <w:highlight w:val="none"/>
          <w14:textFill>
            <w14:solidFill>
              <w14:schemeClr w14:val="tx1"/>
            </w14:solidFill>
          </w14:textFill>
        </w:rPr>
        <w:t>的，由此增加的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延长的设计周期</w:t>
      </w:r>
      <w:r>
        <w:rPr>
          <w:rFonts w:ascii="宋体" w:hAnsi="宋体"/>
          <w:color w:val="000000" w:themeColor="text1"/>
          <w:sz w:val="21"/>
          <w:szCs w:val="21"/>
          <w:highlight w:val="none"/>
          <w14:textFill>
            <w14:solidFill>
              <w14:schemeClr w14:val="tx1"/>
            </w14:solidFill>
          </w14:textFill>
        </w:rPr>
        <w:t>由发包人承担。</w:t>
      </w:r>
    </w:p>
    <w:p w14:paraId="7F4D3C6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8.7 工程设计文件的审查，不减轻或免除设计人依据法律应当承担的责任。</w:t>
      </w:r>
    </w:p>
    <w:p w14:paraId="4FEC66EC">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9</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施工现场配合服务</w:t>
      </w:r>
    </w:p>
    <w:p w14:paraId="12948DF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 除专用合同条款另有约定外，发包人应为设计人派赴现场的工作人员提供工作、生活及交通等方面的便利条件。</w:t>
      </w:r>
    </w:p>
    <w:p w14:paraId="28F3ACC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14:paraId="48694702">
      <w:pPr>
        <w:pStyle w:val="5"/>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0</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合同价款与支付</w:t>
      </w:r>
    </w:p>
    <w:p w14:paraId="550FCE66">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10.1 合同价款组成</w:t>
      </w:r>
    </w:p>
    <w:p w14:paraId="73746D0B">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发包人和设计人应当在专用合同条款附件6中明确约定合同价款各组成部分的具体数额，主要包括：</w:t>
      </w:r>
    </w:p>
    <w:p w14:paraId="2B9A685B">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（1）工程设计基本服务费用；</w:t>
      </w:r>
    </w:p>
    <w:p w14:paraId="10CFC9ED">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（2）工程设计其他服务费用；</w:t>
      </w:r>
    </w:p>
    <w:p w14:paraId="7EB93E1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（3）</w:t>
      </w:r>
      <w:r>
        <w:rPr>
          <w:rFonts w:hint="eastAsia" w:ascii="宋体" w:hAnsi="宋体" w:cs="Courier New"/>
          <w:color w:val="000000" w:themeColor="text1"/>
          <w:sz w:val="21"/>
          <w:szCs w:val="21"/>
          <w:highlight w:val="none"/>
          <w14:textFill>
            <w14:solidFill>
              <w14:schemeClr w14:val="tx1"/>
            </w14:solidFill>
          </w14:textFill>
        </w:rPr>
        <w:t>在未签订合同前发包人已经同意或接受或已使用的设计人为发包人所做的各项工作的相应费用等。</w:t>
      </w:r>
    </w:p>
    <w:p w14:paraId="362C0127">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10.2</w:t>
      </w:r>
      <w:r>
        <w:rPr>
          <w:rFonts w:hint="eastAsia" w:ascii="宋体" w:hAnsi="宋体"/>
          <w:b w:val="0"/>
          <w:bCs w:val="0"/>
          <w:color w:val="000000" w:themeColor="text1"/>
          <w:sz w:val="21"/>
          <w:szCs w:val="21"/>
          <w:highlight w:val="none"/>
          <w14:textFill>
            <w14:solidFill>
              <w14:schemeClr w14:val="tx1"/>
            </w14:solidFill>
          </w14:textFill>
        </w:rPr>
        <w:t xml:space="preserve"> 合同价格形式</w:t>
      </w:r>
    </w:p>
    <w:p w14:paraId="58FA2DB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人应在合同协议书中</w:t>
      </w:r>
      <w:r>
        <w:rPr>
          <w:rFonts w:hint="eastAsia" w:ascii="宋体" w:hAnsi="宋体"/>
          <w:color w:val="000000" w:themeColor="text1"/>
          <w:sz w:val="21"/>
          <w:szCs w:val="21"/>
          <w:highlight w:val="none"/>
          <w14:textFill>
            <w14:solidFill>
              <w14:schemeClr w14:val="tx1"/>
            </w14:solidFill>
          </w14:textFill>
        </w:rPr>
        <w:t>选择</w:t>
      </w:r>
      <w:r>
        <w:rPr>
          <w:rFonts w:ascii="宋体" w:hAnsi="宋体"/>
          <w:color w:val="000000" w:themeColor="text1"/>
          <w:sz w:val="21"/>
          <w:szCs w:val="21"/>
          <w:highlight w:val="none"/>
          <w14:textFill>
            <w14:solidFill>
              <w14:schemeClr w14:val="tx1"/>
            </w14:solidFill>
          </w14:textFill>
        </w:rPr>
        <w:t xml:space="preserve">下列一种合同价格形式： </w:t>
      </w:r>
    </w:p>
    <w:p w14:paraId="73AC6755">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单价合同</w:t>
      </w:r>
    </w:p>
    <w:p w14:paraId="1C91BF7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单价合同是指合同当事人约定以</w:t>
      </w:r>
      <w:r>
        <w:rPr>
          <w:rFonts w:hint="eastAsia" w:ascii="宋体" w:hAnsi="宋体"/>
          <w:color w:val="000000" w:themeColor="text1"/>
          <w:sz w:val="21"/>
          <w:szCs w:val="21"/>
          <w:highlight w:val="none"/>
          <w14:textFill>
            <w14:solidFill>
              <w14:schemeClr w14:val="tx1"/>
            </w14:solidFill>
          </w14:textFill>
        </w:rPr>
        <w:t>建筑面积（包括地上建筑面积和地下建筑面积）每平方米</w:t>
      </w:r>
      <w:r>
        <w:rPr>
          <w:rFonts w:ascii="宋体" w:hAnsi="宋体"/>
          <w:color w:val="000000" w:themeColor="text1"/>
          <w:sz w:val="21"/>
          <w:szCs w:val="21"/>
          <w:highlight w:val="none"/>
          <w14:textFill>
            <w14:solidFill>
              <w14:schemeClr w14:val="tx1"/>
            </w14:solidFill>
          </w14:textFill>
        </w:rPr>
        <w:t>单价</w:t>
      </w:r>
      <w:r>
        <w:rPr>
          <w:rFonts w:hint="eastAsia" w:ascii="宋体" w:hAnsi="宋体"/>
          <w:color w:val="000000" w:themeColor="text1"/>
          <w:sz w:val="21"/>
          <w:szCs w:val="21"/>
          <w:highlight w:val="none"/>
          <w14:textFill>
            <w14:solidFill>
              <w14:schemeClr w14:val="tx1"/>
            </w14:solidFill>
          </w14:textFill>
        </w:rPr>
        <w:t>或实际投资总额的一定比例等双方认可方式</w:t>
      </w:r>
      <w:r>
        <w:rPr>
          <w:rFonts w:ascii="宋体" w:hAnsi="宋体"/>
          <w:color w:val="000000" w:themeColor="text1"/>
          <w:sz w:val="21"/>
          <w:szCs w:val="21"/>
          <w:highlight w:val="none"/>
          <w14:textFill>
            <w14:solidFill>
              <w14:schemeClr w14:val="tx1"/>
            </w14:solidFill>
          </w14:textFill>
        </w:rPr>
        <w:t>进行合同价格计算、调整和确认的建设工程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合同，在约定的范围内合同单价不作调整。合同当事人应在专用合同条款中约定单价包含的风险范围和风险费用的计算方法，并约定风险范围以外的合同价格的调整方法。</w:t>
      </w:r>
    </w:p>
    <w:p w14:paraId="74AD2E8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总价合同</w:t>
      </w:r>
    </w:p>
    <w:p w14:paraId="2FFFA7B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总价合同是指合同当事人约定以</w:t>
      </w:r>
      <w:r>
        <w:rPr>
          <w:rFonts w:hint="eastAsia" w:ascii="宋体" w:hAnsi="宋体"/>
          <w:color w:val="000000" w:themeColor="text1"/>
          <w:sz w:val="21"/>
          <w:szCs w:val="21"/>
          <w:highlight w:val="none"/>
          <w14:textFill>
            <w14:solidFill>
              <w14:schemeClr w14:val="tx1"/>
            </w14:solidFill>
          </w14:textFill>
        </w:rPr>
        <w:t>发包人提供的上一阶段工程设计文件</w:t>
      </w:r>
      <w:r>
        <w:rPr>
          <w:rFonts w:ascii="宋体" w:hAnsi="宋体"/>
          <w:color w:val="000000" w:themeColor="text1"/>
          <w:sz w:val="21"/>
          <w:szCs w:val="21"/>
          <w:highlight w:val="none"/>
          <w14:textFill>
            <w14:solidFill>
              <w14:schemeClr w14:val="tx1"/>
            </w14:solidFill>
          </w14:textFill>
        </w:rPr>
        <w:t>及有关条件进行合同价格计算、调整和确认的建设工程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合同，在约定的范围内合同总价不作调整。合同当事人应在专用合同条款中约定总价包含的风险范围和风险费用的计算方法，并约定风险范围以外的合同价格的调整方法。</w:t>
      </w:r>
    </w:p>
    <w:p w14:paraId="10D1367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其它价格形式</w:t>
      </w:r>
    </w:p>
    <w:p w14:paraId="47D9EB96">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合同当事人可在专用合同条款中约定其他合同价格形式。</w:t>
      </w:r>
    </w:p>
    <w:p w14:paraId="53D2CEE4">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0</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3 定金或预付款</w:t>
      </w:r>
    </w:p>
    <w:p w14:paraId="38B7CB1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10.3.1 定金或预付款</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比例</w:t>
      </w:r>
    </w:p>
    <w:p w14:paraId="3D75001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定金</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比例不应超过合同总价款的20%。预付款的比例由发包人与设计人协商确定，一般不低于合同总价款的20%。</w:t>
      </w:r>
    </w:p>
    <w:p w14:paraId="46A9401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10.3.2 定金或预付款的支付</w:t>
      </w:r>
    </w:p>
    <w:p w14:paraId="3C0D635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定金或预付款的</w:t>
      </w:r>
      <w:r>
        <w:rPr>
          <w:rFonts w:ascii="宋体" w:hAnsi="宋体"/>
          <w:color w:val="000000" w:themeColor="text1"/>
          <w:sz w:val="21"/>
          <w:szCs w:val="21"/>
          <w:highlight w:val="none"/>
          <w14:textFill>
            <w14:solidFill>
              <w14:schemeClr w14:val="tx1"/>
            </w14:solidFill>
          </w14:textFill>
        </w:rPr>
        <w:t>支付按照专用合同条款约定执行，但</w:t>
      </w:r>
      <w:r>
        <w:rPr>
          <w:rFonts w:hint="eastAsia" w:ascii="宋体" w:hAnsi="宋体"/>
          <w:color w:val="000000" w:themeColor="text1"/>
          <w:sz w:val="21"/>
          <w:szCs w:val="21"/>
          <w:highlight w:val="none"/>
          <w14:textFill>
            <w14:solidFill>
              <w14:schemeClr w14:val="tx1"/>
            </w14:solidFill>
          </w14:textFill>
        </w:rPr>
        <w:t>最</w:t>
      </w:r>
      <w:r>
        <w:rPr>
          <w:rFonts w:ascii="宋体" w:hAnsi="宋体"/>
          <w:color w:val="000000" w:themeColor="text1"/>
          <w:sz w:val="21"/>
          <w:szCs w:val="21"/>
          <w:highlight w:val="none"/>
          <w14:textFill>
            <w14:solidFill>
              <w14:schemeClr w14:val="tx1"/>
            </w14:solidFill>
          </w14:textFill>
        </w:rPr>
        <w:t>迟应在</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通知载明的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日期前</w:t>
      </w:r>
      <w:r>
        <w:rPr>
          <w:rFonts w:hint="eastAsia" w:ascii="宋体" w:hAnsi="宋体"/>
          <w:color w:val="000000" w:themeColor="text1"/>
          <w:sz w:val="21"/>
          <w:szCs w:val="21"/>
          <w:highlight w:val="none"/>
          <w14:textFill>
            <w14:solidFill>
              <w14:schemeClr w14:val="tx1"/>
            </w14:solidFill>
          </w14:textFill>
        </w:rPr>
        <w:t>专用合同条款约定的期限内</w:t>
      </w:r>
      <w:r>
        <w:rPr>
          <w:rFonts w:ascii="宋体" w:hAnsi="宋体"/>
          <w:color w:val="000000" w:themeColor="text1"/>
          <w:sz w:val="21"/>
          <w:szCs w:val="21"/>
          <w:highlight w:val="none"/>
          <w14:textFill>
            <w14:solidFill>
              <w14:schemeClr w14:val="tx1"/>
            </w14:solidFill>
          </w14:textFill>
        </w:rPr>
        <w:t>支付。</w:t>
      </w:r>
    </w:p>
    <w:p w14:paraId="09DD244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发包人逾期支付</w:t>
      </w:r>
      <w:r>
        <w:rPr>
          <w:rFonts w:hint="eastAsia" w:ascii="宋体" w:hAnsi="宋体"/>
          <w:color w:val="000000" w:themeColor="text1"/>
          <w:sz w:val="21"/>
          <w:szCs w:val="21"/>
          <w:highlight w:val="none"/>
          <w14:textFill>
            <w14:solidFill>
              <w14:schemeClr w14:val="tx1"/>
            </w14:solidFill>
          </w14:textFill>
        </w:rPr>
        <w:t>定金或预付款</w:t>
      </w:r>
      <w:r>
        <w:rPr>
          <w:rFonts w:ascii="宋体" w:hAnsi="宋体"/>
          <w:color w:val="000000" w:themeColor="text1"/>
          <w:sz w:val="21"/>
          <w:szCs w:val="21"/>
          <w:highlight w:val="none"/>
          <w14:textFill>
            <w14:solidFill>
              <w14:schemeClr w14:val="tx1"/>
            </w14:solidFill>
          </w14:textFill>
        </w:rPr>
        <w:t>超过</w:t>
      </w:r>
      <w:r>
        <w:rPr>
          <w:rFonts w:hint="eastAsia" w:ascii="宋体" w:hAnsi="宋体"/>
          <w:color w:val="000000" w:themeColor="text1"/>
          <w:sz w:val="21"/>
          <w:szCs w:val="21"/>
          <w:highlight w:val="none"/>
          <w14:textFill>
            <w14:solidFill>
              <w14:schemeClr w14:val="tx1"/>
            </w14:solidFill>
          </w14:textFill>
        </w:rPr>
        <w:t>专用合同条款约定的期限</w:t>
      </w:r>
      <w:r>
        <w:rPr>
          <w:rFonts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人有权向发包人发出要求</w:t>
      </w:r>
      <w:r>
        <w:rPr>
          <w:rFonts w:hint="eastAsia" w:ascii="宋体" w:hAnsi="宋体"/>
          <w:color w:val="000000" w:themeColor="text1"/>
          <w:sz w:val="21"/>
          <w:szCs w:val="21"/>
          <w:highlight w:val="none"/>
          <w14:textFill>
            <w14:solidFill>
              <w14:schemeClr w14:val="tx1"/>
            </w14:solidFill>
          </w14:textFill>
        </w:rPr>
        <w:t>支付定金或预付款</w:t>
      </w:r>
      <w:r>
        <w:rPr>
          <w:rFonts w:ascii="宋体" w:hAnsi="宋体"/>
          <w:color w:val="000000" w:themeColor="text1"/>
          <w:sz w:val="21"/>
          <w:szCs w:val="21"/>
          <w:highlight w:val="none"/>
          <w14:textFill>
            <w14:solidFill>
              <w14:schemeClr w14:val="tx1"/>
            </w14:solidFill>
          </w14:textFill>
        </w:rPr>
        <w:t>的催告通知，发包人收到通知后7天内仍未支付的，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人有权</w:t>
      </w:r>
      <w:r>
        <w:rPr>
          <w:rFonts w:hint="eastAsia" w:ascii="宋体" w:hAnsi="宋体"/>
          <w:color w:val="000000" w:themeColor="text1"/>
          <w:sz w:val="21"/>
          <w:szCs w:val="21"/>
          <w:highlight w:val="none"/>
          <w14:textFill>
            <w14:solidFill>
              <w14:schemeClr w14:val="tx1"/>
            </w14:solidFill>
          </w14:textFill>
        </w:rPr>
        <w:t>不开始设计工作或</w:t>
      </w:r>
      <w:r>
        <w:rPr>
          <w:rFonts w:ascii="宋体" w:hAnsi="宋体"/>
          <w:color w:val="000000" w:themeColor="text1"/>
          <w:sz w:val="21"/>
          <w:szCs w:val="21"/>
          <w:highlight w:val="none"/>
          <w14:textFill>
            <w14:solidFill>
              <w14:schemeClr w14:val="tx1"/>
            </w14:solidFill>
          </w14:textFill>
        </w:rPr>
        <w:t>暂停</w:t>
      </w:r>
      <w:r>
        <w:rPr>
          <w:rFonts w:hint="eastAsia" w:ascii="宋体" w:hAnsi="宋体"/>
          <w:color w:val="000000" w:themeColor="text1"/>
          <w:sz w:val="21"/>
          <w:szCs w:val="21"/>
          <w:highlight w:val="none"/>
          <w14:textFill>
            <w14:solidFill>
              <w14:schemeClr w14:val="tx1"/>
            </w14:solidFill>
          </w14:textFill>
        </w:rPr>
        <w:t>设计工作</w:t>
      </w:r>
      <w:r>
        <w:rPr>
          <w:rFonts w:ascii="宋体" w:hAnsi="宋体"/>
          <w:color w:val="000000" w:themeColor="text1"/>
          <w:sz w:val="21"/>
          <w:szCs w:val="21"/>
          <w:highlight w:val="none"/>
          <w14:textFill>
            <w14:solidFill>
              <w14:schemeClr w14:val="tx1"/>
            </w14:solidFill>
          </w14:textFill>
        </w:rPr>
        <w:t>。</w:t>
      </w:r>
    </w:p>
    <w:p w14:paraId="227D2F93">
      <w:pPr>
        <w:pStyle w:val="6"/>
        <w:adjustRightInd/>
        <w:spacing w:before="0" w:after="0" w:line="360" w:lineRule="auto"/>
        <w:ind w:firstLine="420" w:firstLineChars="200"/>
        <w:jc w:val="left"/>
        <w:textAlignment w:val="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0</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 xml:space="preserve">4 </w:t>
      </w:r>
      <w:r>
        <w:rPr>
          <w:rFonts w:ascii="宋体" w:hAnsi="宋体"/>
          <w:b w:val="0"/>
          <w:color w:val="000000" w:themeColor="text1"/>
          <w:sz w:val="21"/>
          <w:szCs w:val="21"/>
          <w:highlight w:val="none"/>
          <w14:textFill>
            <w14:solidFill>
              <w14:schemeClr w14:val="tx1"/>
            </w14:solidFill>
          </w14:textFill>
        </w:rPr>
        <w:t>进度款支付</w:t>
      </w:r>
    </w:p>
    <w:p w14:paraId="0ED17425">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10.4.1 发包人应当按照专用合同条款附件6约定的付款条件及时向设计人支付进度款。</w:t>
      </w:r>
    </w:p>
    <w:p w14:paraId="562313FC">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10.4.2 </w:t>
      </w:r>
      <w:r>
        <w:rPr>
          <w:rFonts w:ascii="宋体" w:hAnsi="宋体"/>
          <w:color w:val="000000" w:themeColor="text1"/>
          <w:sz w:val="21"/>
          <w:szCs w:val="21"/>
          <w:highlight w:val="none"/>
          <w14:textFill>
            <w14:solidFill>
              <w14:schemeClr w14:val="tx1"/>
            </w14:solidFill>
          </w14:textFill>
        </w:rPr>
        <w:t>进度付款的修正</w:t>
      </w:r>
    </w:p>
    <w:p w14:paraId="27F3B40F">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在对已</w:t>
      </w:r>
      <w:r>
        <w:rPr>
          <w:rFonts w:hint="eastAsia" w:ascii="宋体" w:hAnsi="宋体"/>
          <w:color w:val="000000" w:themeColor="text1"/>
          <w:sz w:val="21"/>
          <w:szCs w:val="21"/>
          <w:highlight w:val="none"/>
          <w14:textFill>
            <w14:solidFill>
              <w14:schemeClr w14:val="tx1"/>
            </w14:solidFill>
          </w14:textFill>
        </w:rPr>
        <w:t>付</w:t>
      </w:r>
      <w:r>
        <w:rPr>
          <w:rFonts w:ascii="宋体" w:hAnsi="宋体"/>
          <w:color w:val="000000" w:themeColor="text1"/>
          <w:sz w:val="21"/>
          <w:szCs w:val="21"/>
          <w:highlight w:val="none"/>
          <w14:textFill>
            <w14:solidFill>
              <w14:schemeClr w14:val="tx1"/>
            </w14:solidFill>
          </w14:textFill>
        </w:rPr>
        <w:t>进度款进行汇总和复核中发现错误、遗漏或重复的，发包人和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人均有权提出修正申请。经发包人和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人同意的修正，应在下期进度付款中支付或扣除。</w:t>
      </w:r>
    </w:p>
    <w:p w14:paraId="10CE0446">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10.5 合同价款的结算与支付</w:t>
      </w:r>
    </w:p>
    <w:p w14:paraId="76EDA568">
      <w:pPr>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10.5.1 对于采取固定总价形式的合同，发包人应当按照专用合同条款附件6的约定及时支付尾款。</w:t>
      </w:r>
    </w:p>
    <w:p w14:paraId="7E2C9DC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10.5.2 对于采取固定单价形式的合同，发包人与设计人应当按照专用合同条款附件6约定的结算方式及时结清工程设计费，并将结清未支付的款项一次性支付给设计人。</w:t>
      </w:r>
    </w:p>
    <w:p w14:paraId="1F71ED2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10.5.3 对于采取其他价格形式的，也应按专用合同条款的约定及时结算和支付。</w:t>
      </w:r>
    </w:p>
    <w:p w14:paraId="3D1244CA">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0</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6支付账户</w:t>
      </w:r>
    </w:p>
    <w:p w14:paraId="6A4FDC2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发包人应将合同价款支付至合同协议书中约定的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人账户。</w:t>
      </w:r>
    </w:p>
    <w:p w14:paraId="29540CFE">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1</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工程设计</w:t>
      </w:r>
      <w:r>
        <w:rPr>
          <w:rFonts w:ascii="黑体" w:hAnsi="黑体" w:eastAsia="黑体" w:cs="Times New Roman"/>
          <w:b w:val="0"/>
          <w:color w:val="000000" w:themeColor="text1"/>
          <w:highlight w:val="none"/>
          <w14:textFill>
            <w14:solidFill>
              <w14:schemeClr w14:val="tx1"/>
            </w14:solidFill>
          </w14:textFill>
        </w:rPr>
        <w:t>变更</w:t>
      </w:r>
      <w:r>
        <w:rPr>
          <w:rFonts w:hint="eastAsia" w:ascii="黑体" w:hAnsi="黑体" w:eastAsia="黑体" w:cs="Times New Roman"/>
          <w:b w:val="0"/>
          <w:color w:val="000000" w:themeColor="text1"/>
          <w:highlight w:val="none"/>
          <w14:textFill>
            <w14:solidFill>
              <w14:schemeClr w14:val="tx1"/>
            </w14:solidFill>
          </w14:textFill>
        </w:rPr>
        <w:t>与索赔</w:t>
      </w:r>
    </w:p>
    <w:p w14:paraId="587D20C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11.1 发包人变更工程设计的内容、规模、功能、条件等，应当向设计人提供书面要求，设计人在不违反法律规定以及技术标准强制性规定的前提下应当按照发包人要求变更工程设计。</w:t>
      </w:r>
    </w:p>
    <w:p w14:paraId="66E2B92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11.2 </w:t>
      </w:r>
      <w:r>
        <w:rPr>
          <w:rFonts w:hint="eastAsia" w:ascii="宋体" w:hAnsi="宋体" w:cs="宋体"/>
          <w:color w:val="000000" w:themeColor="text1"/>
          <w:sz w:val="21"/>
          <w:szCs w:val="21"/>
          <w:highlight w:val="none"/>
          <w14:textFill>
            <w14:solidFill>
              <w14:schemeClr w14:val="tx1"/>
            </w14:solidFill>
          </w14:textFill>
        </w:rPr>
        <w:t>发包人变更工程设计的内容、规模、功能、条件或因提交的设计资料存在错误或作较大修改时，发包人应按设计人所耗工作量向设计人增付设计费，</w:t>
      </w:r>
      <w:r>
        <w:rPr>
          <w:rFonts w:hint="eastAsia" w:ascii="宋体" w:hAnsi="宋体"/>
          <w:color w:val="000000" w:themeColor="text1"/>
          <w:sz w:val="21"/>
          <w:szCs w:val="21"/>
          <w:highlight w:val="none"/>
          <w14:textFill>
            <w14:solidFill>
              <w14:schemeClr w14:val="tx1"/>
            </w14:solidFill>
          </w14:textFill>
        </w:rPr>
        <w:t>设计人可按本条约定和专用合同条款附件7的约定，与发包人协商对合同价格和/或完工时间做可共同接受的修改。</w:t>
      </w:r>
    </w:p>
    <w:p w14:paraId="4EDE4D09">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14:paraId="2DF33858">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11.4 基准日期后，与工程设计服务有关的法律、技术标准的强制性规定的颁布及修改，</w:t>
      </w:r>
      <w:r>
        <w:rPr>
          <w:rFonts w:ascii="宋体" w:hAnsi="宋体"/>
          <w:color w:val="000000" w:themeColor="text1"/>
          <w:sz w:val="21"/>
          <w:szCs w:val="21"/>
          <w:highlight w:val="none"/>
          <w14:textFill>
            <w14:solidFill>
              <w14:schemeClr w14:val="tx1"/>
            </w14:solidFill>
          </w14:textFill>
        </w:rPr>
        <w:t>由此增加的</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费用和（或）</w:t>
      </w:r>
      <w:r>
        <w:rPr>
          <w:rFonts w:hint="eastAsia" w:ascii="宋体" w:hAnsi="宋体"/>
          <w:color w:val="000000" w:themeColor="text1"/>
          <w:sz w:val="21"/>
          <w:szCs w:val="21"/>
          <w:highlight w:val="none"/>
          <w14:textFill>
            <w14:solidFill>
              <w14:schemeClr w14:val="tx1"/>
            </w14:solidFill>
          </w14:textFill>
        </w:rPr>
        <w:t>延长的设计周期</w:t>
      </w:r>
      <w:r>
        <w:rPr>
          <w:rFonts w:ascii="宋体" w:hAnsi="宋体"/>
          <w:color w:val="000000" w:themeColor="text1"/>
          <w:sz w:val="21"/>
          <w:szCs w:val="21"/>
          <w:highlight w:val="none"/>
          <w14:textFill>
            <w14:solidFill>
              <w14:schemeClr w14:val="tx1"/>
            </w14:solidFill>
          </w14:textFill>
        </w:rPr>
        <w:t>由发包人承担</w:t>
      </w:r>
      <w:r>
        <w:rPr>
          <w:rFonts w:hint="eastAsia" w:ascii="宋体" w:hAnsi="宋体"/>
          <w:color w:val="000000" w:themeColor="text1"/>
          <w:sz w:val="21"/>
          <w:szCs w:val="21"/>
          <w:highlight w:val="none"/>
          <w14:textFill>
            <w14:solidFill>
              <w14:schemeClr w14:val="tx1"/>
            </w14:solidFill>
          </w14:textFill>
        </w:rPr>
        <w:t>。</w:t>
      </w:r>
    </w:p>
    <w:p w14:paraId="296A3DA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11.5 如果发生设计人认为有理由提出增加合同价款或延长设计周期的要求事项，</w:t>
      </w: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olor w:val="000000" w:themeColor="text1"/>
          <w:sz w:val="21"/>
          <w:szCs w:val="21"/>
          <w:highlight w:val="none"/>
          <w14:textFill>
            <w14:solidFill>
              <w14:schemeClr w14:val="tx1"/>
            </w14:solidFill>
          </w14:textFill>
        </w:rPr>
        <w:t>设计人应于该事项发生后5天内书面通知发包人。</w:t>
      </w: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olor w:val="000000" w:themeColor="text1"/>
          <w:sz w:val="21"/>
          <w:szCs w:val="21"/>
          <w:highlight w:val="none"/>
          <w14:textFill>
            <w14:solidFill>
              <w14:schemeClr w14:val="tx1"/>
            </w14:solidFill>
          </w14:textFill>
        </w:rPr>
        <w:t>在该事项发生后10天内，设计人应向发包人提供证明设计人要求的书面声明，其中包括设计人关于因该事项引起的合同价款和设计周期的变化的详细计算。</w:t>
      </w:r>
      <w:r>
        <w:rPr>
          <w:rFonts w:ascii="宋体" w:hAnsi="宋体"/>
          <w:color w:val="000000" w:themeColor="text1"/>
          <w:sz w:val="21"/>
          <w:szCs w:val="21"/>
          <w:highlight w:val="none"/>
          <w14:textFill>
            <w14:solidFill>
              <w14:schemeClr w14:val="tx1"/>
            </w14:solidFill>
          </w14:textFill>
        </w:rPr>
        <w:t>除专用合同条款</w:t>
      </w:r>
      <w:r>
        <w:rPr>
          <w:rFonts w:hint="eastAsia" w:ascii="宋体" w:hAnsi="宋体"/>
          <w:color w:val="000000" w:themeColor="text1"/>
          <w:sz w:val="21"/>
          <w:szCs w:val="21"/>
          <w:highlight w:val="none"/>
          <w14:textFill>
            <w14:solidFill>
              <w14:schemeClr w14:val="tx1"/>
            </w14:solidFill>
          </w14:textFill>
        </w:rPr>
        <w:t>对期限</w:t>
      </w:r>
      <w:r>
        <w:rPr>
          <w:rFonts w:ascii="宋体" w:hAnsi="宋体"/>
          <w:color w:val="000000" w:themeColor="text1"/>
          <w:sz w:val="21"/>
          <w:szCs w:val="21"/>
          <w:highlight w:val="none"/>
          <w14:textFill>
            <w14:solidFill>
              <w14:schemeClr w14:val="tx1"/>
            </w14:solidFill>
          </w14:textFill>
        </w:rPr>
        <w:t>另有约定外，</w:t>
      </w:r>
      <w:r>
        <w:rPr>
          <w:rFonts w:hint="eastAsia" w:ascii="宋体" w:hAnsi="宋体"/>
          <w:color w:val="000000" w:themeColor="text1"/>
          <w:sz w:val="21"/>
          <w:szCs w:val="21"/>
          <w:highlight w:val="none"/>
          <w14:textFill>
            <w14:solidFill>
              <w14:schemeClr w14:val="tx1"/>
            </w14:solidFill>
          </w14:textFill>
        </w:rPr>
        <w:t>发包人应在接到设计人书面声明后的5天内，予以书面答复。逾期未答复的，视为发包人同意设计人关于增加合同价款或延长设计周期的要求。</w:t>
      </w:r>
    </w:p>
    <w:p w14:paraId="69EE6265">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2</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专业责任与保险</w:t>
      </w:r>
    </w:p>
    <w:p w14:paraId="22D476C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12.1 设计人应运用一切合理的专业技术和经验知识，按照公认的职业标准尽其全部职责和谨慎、勤勉地履行其在本合同项下的责任和义务。</w:t>
      </w:r>
    </w:p>
    <w:p w14:paraId="42DB907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12.2 除专用合同条款另有约定外，设计人应具有发包人认可的、履行本合同所需要的工程设计责任保险并使其于合同责任期内保持有效。</w:t>
      </w:r>
    </w:p>
    <w:p w14:paraId="7B58D1D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12.3 工程设计责任保险应承担由于设计人的疏忽或过失而引发的工程质量事故所造成的建设工程本身的物质损失以及第三者人身伤亡、财产损失或费用的赔偿责任。</w:t>
      </w:r>
    </w:p>
    <w:p w14:paraId="0D04C21F">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3</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知识产权</w:t>
      </w:r>
    </w:p>
    <w:p w14:paraId="67AB81B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.1 除专用合同条款另有约定外，发包人提供给</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人的图纸、发包人为实施工程自行编制或委托编制的技术</w:t>
      </w:r>
      <w:r>
        <w:rPr>
          <w:rFonts w:hint="eastAsia" w:ascii="宋体" w:hAnsi="宋体"/>
          <w:color w:val="000000" w:themeColor="text1"/>
          <w:sz w:val="21"/>
          <w:szCs w:val="21"/>
          <w:highlight w:val="none"/>
          <w14:textFill>
            <w14:solidFill>
              <w14:schemeClr w14:val="tx1"/>
            </w14:solidFill>
          </w14:textFill>
        </w:rPr>
        <w:t>规格书</w:t>
      </w:r>
      <w:r>
        <w:rPr>
          <w:rFonts w:ascii="宋体" w:hAnsi="宋体"/>
          <w:color w:val="000000" w:themeColor="text1"/>
          <w:sz w:val="21"/>
          <w:szCs w:val="21"/>
          <w:highlight w:val="none"/>
          <w14:textFill>
            <w14:solidFill>
              <w14:schemeClr w14:val="tx1"/>
            </w14:solidFill>
          </w14:textFill>
        </w:rPr>
        <w:t>以及反映发包人要求的或其他类似性质的文件的著作权属于发包人，</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人可以为实现合同目的而复制、使用此类文件，但不能用于与合同无关的其他事项。未经发包人书面同意，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人不得为了合同以外的目的而复制、使用上述文件或将之提供给任何第三方。</w:t>
      </w:r>
    </w:p>
    <w:p w14:paraId="4206DEA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.2 除专用合同条款另有约定外，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人为实施工程所编制的文件的著作权属于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人可因实施工程的运行、调试、维修、改造等目的而复制、使用此类文件，但不能</w:t>
      </w:r>
      <w:r>
        <w:rPr>
          <w:rFonts w:hint="eastAsia" w:ascii="宋体" w:hAnsi="宋体"/>
          <w:color w:val="000000" w:themeColor="text1"/>
          <w:sz w:val="21"/>
          <w:szCs w:val="21"/>
          <w:highlight w:val="none"/>
          <w14:textFill>
            <w14:solidFill>
              <w14:schemeClr w14:val="tx1"/>
            </w14:solidFill>
          </w14:textFill>
        </w:rPr>
        <w:t>擅自修改或</w:t>
      </w:r>
      <w:r>
        <w:rPr>
          <w:rFonts w:ascii="宋体" w:hAnsi="宋体"/>
          <w:color w:val="000000" w:themeColor="text1"/>
          <w:sz w:val="21"/>
          <w:szCs w:val="21"/>
          <w:highlight w:val="none"/>
          <w14:textFill>
            <w14:solidFill>
              <w14:schemeClr w14:val="tx1"/>
            </w14:solidFill>
          </w14:textFill>
        </w:rPr>
        <w:t>用于与合同无关的其他事项。未经</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人书面同意，</w:t>
      </w: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人不得为了合同以外的目的而复制、使用上述文件或将之提供给任何第三方。</w:t>
      </w:r>
    </w:p>
    <w:p w14:paraId="07760C6A">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.3 合同当事人保证在履行合同过程中不侵犯对方及第三方的知识产权。</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人在</w:t>
      </w:r>
      <w:r>
        <w:rPr>
          <w:rFonts w:hint="eastAsia" w:ascii="宋体" w:hAnsi="宋体"/>
          <w:color w:val="000000" w:themeColor="text1"/>
          <w:sz w:val="21"/>
          <w:szCs w:val="21"/>
          <w:highlight w:val="none"/>
          <w14:textFill>
            <w14:solidFill>
              <w14:schemeClr w14:val="tx1"/>
            </w14:solidFill>
          </w14:textFill>
        </w:rPr>
        <w:t>工程设计</w:t>
      </w:r>
      <w:r>
        <w:rPr>
          <w:rFonts w:ascii="宋体" w:hAnsi="宋体"/>
          <w:color w:val="000000" w:themeColor="text1"/>
          <w:sz w:val="21"/>
          <w:szCs w:val="21"/>
          <w:highlight w:val="none"/>
          <w14:textFill>
            <w14:solidFill>
              <w14:schemeClr w14:val="tx1"/>
            </w14:solidFill>
          </w14:textFill>
        </w:rPr>
        <w:t>时，因侵犯他人的专利权或其他知识产权所引起的责任，由</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人承担；因发包人提供的</w:t>
      </w:r>
      <w:r>
        <w:rPr>
          <w:rFonts w:hint="eastAsia" w:ascii="宋体" w:hAnsi="宋体"/>
          <w:color w:val="000000" w:themeColor="text1"/>
          <w:sz w:val="21"/>
          <w:szCs w:val="21"/>
          <w:highlight w:val="none"/>
          <w14:textFill>
            <w14:solidFill>
              <w14:schemeClr w14:val="tx1"/>
            </w14:solidFill>
          </w14:textFill>
        </w:rPr>
        <w:t>基础资料</w:t>
      </w:r>
      <w:r>
        <w:rPr>
          <w:rFonts w:ascii="宋体" w:hAnsi="宋体"/>
          <w:color w:val="000000" w:themeColor="text1"/>
          <w:sz w:val="21"/>
          <w:szCs w:val="21"/>
          <w:highlight w:val="none"/>
          <w14:textFill>
            <w14:solidFill>
              <w14:schemeClr w14:val="tx1"/>
            </w14:solidFill>
          </w14:textFill>
        </w:rPr>
        <w:t>导致侵权的，由发包人承担责任。</w:t>
      </w:r>
    </w:p>
    <w:p w14:paraId="7CB0F12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 xml:space="preserve"> 合同当事人双方均有权在不损害对方利益和保密约定的前提下，在自己宣传用的印刷品或其他出版物上，或申报奖项时等情形下公布有关项目的文字和图片材料。</w:t>
      </w:r>
    </w:p>
    <w:p w14:paraId="37773BD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13.5 </w:t>
      </w:r>
      <w:r>
        <w:rPr>
          <w:rFonts w:ascii="宋体" w:hAnsi="宋体"/>
          <w:color w:val="000000" w:themeColor="text1"/>
          <w:sz w:val="21"/>
          <w:szCs w:val="21"/>
          <w:highlight w:val="none"/>
          <w14:textFill>
            <w14:solidFill>
              <w14:schemeClr w14:val="tx1"/>
            </w14:solidFill>
          </w14:textFill>
        </w:rPr>
        <w:t>除专用合同条款另有约定外，</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人在合同签订前和签订时已确定采用的专利、专有技术的使用费</w:t>
      </w:r>
      <w:r>
        <w:rPr>
          <w:rFonts w:hint="eastAsia" w:ascii="宋体" w:hAnsi="宋体"/>
          <w:color w:val="000000" w:themeColor="text1"/>
          <w:sz w:val="21"/>
          <w:szCs w:val="21"/>
          <w:highlight w:val="none"/>
          <w14:textFill>
            <w14:solidFill>
              <w14:schemeClr w14:val="tx1"/>
            </w14:solidFill>
          </w14:textFill>
        </w:rPr>
        <w:t>应</w:t>
      </w:r>
      <w:r>
        <w:rPr>
          <w:rFonts w:ascii="宋体" w:hAnsi="宋体"/>
          <w:color w:val="000000" w:themeColor="text1"/>
          <w:sz w:val="21"/>
          <w:szCs w:val="21"/>
          <w:highlight w:val="none"/>
          <w14:textFill>
            <w14:solidFill>
              <w14:schemeClr w14:val="tx1"/>
            </w14:solidFill>
          </w14:textFill>
        </w:rPr>
        <w:t>包含在签约合同价中。</w:t>
      </w:r>
    </w:p>
    <w:p w14:paraId="599A77D7">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4</w:t>
      </w:r>
      <w:r>
        <w:rPr>
          <w:rFonts w:ascii="黑体" w:hAnsi="黑体" w:eastAsia="黑体" w:cs="Times New Roman"/>
          <w:b w:val="0"/>
          <w:color w:val="000000" w:themeColor="text1"/>
          <w:highlight w:val="none"/>
          <w14:textFill>
            <w14:solidFill>
              <w14:schemeClr w14:val="tx1"/>
            </w14:solidFill>
          </w14:textFill>
        </w:rPr>
        <w:t>.违约</w:t>
      </w:r>
      <w:r>
        <w:rPr>
          <w:rFonts w:hint="eastAsia" w:ascii="黑体" w:hAnsi="黑体" w:eastAsia="黑体" w:cs="Times New Roman"/>
          <w:b w:val="0"/>
          <w:color w:val="000000" w:themeColor="text1"/>
          <w:highlight w:val="none"/>
          <w14:textFill>
            <w14:solidFill>
              <w14:schemeClr w14:val="tx1"/>
            </w14:solidFill>
          </w14:textFill>
        </w:rPr>
        <w:t>责任</w:t>
      </w:r>
    </w:p>
    <w:p w14:paraId="03A7858A">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发包人违约责任</w:t>
      </w:r>
    </w:p>
    <w:p w14:paraId="3330369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0AE95BA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14.1.2 </w:t>
      </w:r>
      <w:r>
        <w:rPr>
          <w:rFonts w:hint="eastAsia" w:ascii="宋体" w:hAnsi="宋体"/>
          <w:color w:val="000000" w:themeColor="text1"/>
          <w:sz w:val="21"/>
          <w:szCs w:val="21"/>
          <w:highlight w:val="none"/>
          <w14:textFill>
            <w14:solidFill>
              <w14:schemeClr w14:val="tx1"/>
            </w14:solidFill>
          </w14:textFill>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26E3338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14.1.3 发包人的上级或设计审批部门对设计文件不进行审批或本合同工程停建、缓建，发包人应在事件发生之日起15天内按本合同第16条〔合同解除〕的约定向设计人结算并支付设计费。</w:t>
      </w:r>
    </w:p>
    <w:p w14:paraId="4E20FE8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14.1.4 发包人</w:t>
      </w:r>
      <w:r>
        <w:rPr>
          <w:rFonts w:ascii="宋体" w:hAnsi="宋体"/>
          <w:color w:val="000000" w:themeColor="text1"/>
          <w:sz w:val="21"/>
          <w:szCs w:val="21"/>
          <w:highlight w:val="none"/>
          <w14:textFill>
            <w14:solidFill>
              <w14:schemeClr w14:val="tx1"/>
            </w14:solidFill>
          </w14:textFill>
        </w:rPr>
        <w:t>擅自将</w:t>
      </w:r>
      <w:r>
        <w:rPr>
          <w:rFonts w:hint="eastAsia" w:ascii="宋体" w:hAnsi="宋体"/>
          <w:color w:val="000000" w:themeColor="text1"/>
          <w:sz w:val="21"/>
          <w:szCs w:val="21"/>
          <w:highlight w:val="none"/>
          <w14:textFill>
            <w14:solidFill>
              <w14:schemeClr w14:val="tx1"/>
            </w14:solidFill>
          </w14:textFill>
        </w:rPr>
        <w:t>设计人</w:t>
      </w:r>
      <w:r>
        <w:rPr>
          <w:rFonts w:ascii="宋体" w:hAnsi="宋体"/>
          <w:color w:val="000000" w:themeColor="text1"/>
          <w:sz w:val="21"/>
          <w:szCs w:val="21"/>
          <w:highlight w:val="none"/>
          <w14:textFill>
            <w14:solidFill>
              <w14:schemeClr w14:val="tx1"/>
            </w14:solidFill>
          </w14:textFill>
        </w:rPr>
        <w:t>的设计文件</w:t>
      </w:r>
      <w:r>
        <w:rPr>
          <w:rFonts w:hint="eastAsia" w:ascii="宋体" w:hAnsi="宋体"/>
          <w:color w:val="000000" w:themeColor="text1"/>
          <w:sz w:val="21"/>
          <w:szCs w:val="21"/>
          <w:highlight w:val="none"/>
          <w14:textFill>
            <w14:solidFill>
              <w14:schemeClr w14:val="tx1"/>
            </w14:solidFill>
          </w14:textFill>
        </w:rPr>
        <w:t>用于</w:t>
      </w:r>
      <w:r>
        <w:rPr>
          <w:rFonts w:ascii="宋体" w:hAnsi="宋体"/>
          <w:color w:val="000000" w:themeColor="text1"/>
          <w:sz w:val="21"/>
          <w:szCs w:val="21"/>
          <w:highlight w:val="none"/>
          <w14:textFill>
            <w14:solidFill>
              <w14:schemeClr w14:val="tx1"/>
            </w14:solidFill>
          </w14:textFill>
        </w:rPr>
        <w:t>本工程以外的</w:t>
      </w:r>
      <w:r>
        <w:rPr>
          <w:rFonts w:hint="eastAsia" w:ascii="宋体" w:hAnsi="宋体"/>
          <w:color w:val="000000" w:themeColor="text1"/>
          <w:sz w:val="21"/>
          <w:szCs w:val="21"/>
          <w:highlight w:val="none"/>
          <w14:textFill>
            <w14:solidFill>
              <w14:schemeClr w14:val="tx1"/>
            </w14:solidFill>
          </w14:textFill>
        </w:rPr>
        <w:t>工程或交</w:t>
      </w:r>
      <w:r>
        <w:rPr>
          <w:rFonts w:ascii="宋体" w:hAnsi="宋体"/>
          <w:color w:val="000000" w:themeColor="text1"/>
          <w:sz w:val="21"/>
          <w:szCs w:val="21"/>
          <w:highlight w:val="none"/>
          <w14:textFill>
            <w14:solidFill>
              <w14:schemeClr w14:val="tx1"/>
            </w14:solidFill>
          </w14:textFill>
        </w:rPr>
        <w:t>第三方使用时，应承担</w:t>
      </w:r>
      <w:r>
        <w:rPr>
          <w:rFonts w:hint="eastAsia" w:ascii="宋体" w:hAnsi="宋体"/>
          <w:color w:val="000000" w:themeColor="text1"/>
          <w:sz w:val="21"/>
          <w:szCs w:val="21"/>
          <w:highlight w:val="none"/>
          <w14:textFill>
            <w14:solidFill>
              <w14:schemeClr w14:val="tx1"/>
            </w14:solidFill>
          </w14:textFill>
        </w:rPr>
        <w:t>相应法律</w:t>
      </w:r>
      <w:r>
        <w:rPr>
          <w:rFonts w:ascii="宋体" w:hAnsi="宋体"/>
          <w:color w:val="000000" w:themeColor="text1"/>
          <w:sz w:val="21"/>
          <w:szCs w:val="21"/>
          <w:highlight w:val="none"/>
          <w14:textFill>
            <w14:solidFill>
              <w14:schemeClr w14:val="tx1"/>
            </w14:solidFill>
          </w14:textFill>
        </w:rPr>
        <w:t>责任</w:t>
      </w:r>
      <w:r>
        <w:rPr>
          <w:rFonts w:hint="eastAsia" w:ascii="宋体" w:hAnsi="宋体"/>
          <w:color w:val="000000" w:themeColor="text1"/>
          <w:sz w:val="21"/>
          <w:szCs w:val="21"/>
          <w:highlight w:val="none"/>
          <w14:textFill>
            <w14:solidFill>
              <w14:schemeClr w14:val="tx1"/>
            </w14:solidFill>
          </w14:textFill>
        </w:rPr>
        <w:t>，并应赔偿设计人因此遭受的损失</w:t>
      </w:r>
      <w:r>
        <w:rPr>
          <w:rFonts w:ascii="宋体" w:hAnsi="宋体"/>
          <w:color w:val="000000" w:themeColor="text1"/>
          <w:sz w:val="21"/>
          <w:szCs w:val="21"/>
          <w:highlight w:val="none"/>
          <w14:textFill>
            <w14:solidFill>
              <w14:schemeClr w14:val="tx1"/>
            </w14:solidFill>
          </w14:textFill>
        </w:rPr>
        <w:t>。</w:t>
      </w:r>
    </w:p>
    <w:p w14:paraId="571EE91E">
      <w:pPr>
        <w:pStyle w:val="6"/>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1</w:t>
      </w:r>
      <w:r>
        <w:rPr>
          <w:rFonts w:hint="eastAsia" w:ascii="宋体" w:hAnsi="宋体"/>
          <w:b w:val="0"/>
          <w:bCs w:val="0"/>
          <w:color w:val="000000" w:themeColor="text1"/>
          <w:sz w:val="21"/>
          <w:szCs w:val="21"/>
          <w:highlight w:val="none"/>
          <w14:textFill>
            <w14:solidFill>
              <w14:schemeClr w14:val="tx1"/>
            </w14:solidFill>
          </w14:textFill>
        </w:rPr>
        <w:t>4</w:t>
      </w:r>
      <w:r>
        <w:rPr>
          <w:rFonts w:ascii="宋体" w:hAnsi="宋体"/>
          <w:b w:val="0"/>
          <w:bCs w:val="0"/>
          <w:color w:val="000000" w:themeColor="text1"/>
          <w:sz w:val="21"/>
          <w:szCs w:val="21"/>
          <w:highlight w:val="none"/>
          <w14:textFill>
            <w14:solidFill>
              <w14:schemeClr w14:val="tx1"/>
            </w14:solidFill>
          </w14:textFill>
        </w:rPr>
        <w:t xml:space="preserve">.2 </w:t>
      </w:r>
      <w:r>
        <w:rPr>
          <w:rFonts w:hint="eastAsia" w:ascii="宋体" w:hAnsi="宋体"/>
          <w:b w:val="0"/>
          <w:bCs w:val="0"/>
          <w:color w:val="000000" w:themeColor="text1"/>
          <w:sz w:val="21"/>
          <w:szCs w:val="21"/>
          <w:highlight w:val="none"/>
          <w14:textFill>
            <w14:solidFill>
              <w14:schemeClr w14:val="tx1"/>
            </w14:solidFill>
          </w14:textFill>
        </w:rPr>
        <w:t>设计人违约责任</w:t>
      </w:r>
    </w:p>
    <w:p w14:paraId="0BAFF75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14.2.1 合同生效后，设计人因自身原因要求终止或解除合同，设计人应按发包人已支付的定金金额双倍返还给发包人或设计人按照专用合同条款的约定向发包人支付违约金。</w:t>
      </w:r>
    </w:p>
    <w:p w14:paraId="2A2A3614">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14.2.2 由于设计人原因，未按专用合同条款附件3约定的时间交付工程设计文件的，应按专用合同条款的约定向发包人支付违约金，前述违约金经双方确认后可在发包人应付设计费中扣减。</w:t>
      </w:r>
    </w:p>
    <w:p w14:paraId="26DF52D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252898E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14.2.4 设计人未经发包人同意擅自对工程设计进行分包的，发包人有权要求设计人解除未经发包人同意的设计分包合同，设计人应当按照专用合同条款的约定承担违约责任。</w:t>
      </w:r>
    </w:p>
    <w:p w14:paraId="32B89B22">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5</w:t>
      </w:r>
      <w:r>
        <w:rPr>
          <w:rFonts w:ascii="黑体" w:hAnsi="黑体" w:eastAsia="黑体" w:cs="Times New Roman"/>
          <w:b w:val="0"/>
          <w:color w:val="000000" w:themeColor="text1"/>
          <w:highlight w:val="none"/>
          <w14:textFill>
            <w14:solidFill>
              <w14:schemeClr w14:val="tx1"/>
            </w14:solidFill>
          </w14:textFill>
        </w:rPr>
        <w:t xml:space="preserve">.不可抗力 </w:t>
      </w:r>
    </w:p>
    <w:p w14:paraId="18F1FBD4">
      <w:pPr>
        <w:pStyle w:val="6"/>
        <w:adjustRightInd/>
        <w:spacing w:before="0" w:after="0" w:line="360" w:lineRule="auto"/>
        <w:ind w:firstLine="420" w:firstLineChars="200"/>
        <w:jc w:val="left"/>
        <w:textAlignment w:val="auto"/>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1</w:t>
      </w:r>
      <w:r>
        <w:rPr>
          <w:rFonts w:hint="eastAsia" w:ascii="宋体" w:hAnsi="宋体"/>
          <w:b w:val="0"/>
          <w:bCs w:val="0"/>
          <w:color w:val="000000" w:themeColor="text1"/>
          <w:sz w:val="21"/>
          <w:szCs w:val="21"/>
          <w:highlight w:val="none"/>
          <w14:textFill>
            <w14:solidFill>
              <w14:schemeClr w14:val="tx1"/>
            </w14:solidFill>
          </w14:textFill>
        </w:rPr>
        <w:t>5</w:t>
      </w:r>
      <w:r>
        <w:rPr>
          <w:rFonts w:ascii="宋体" w:hAnsi="宋体"/>
          <w:b w:val="0"/>
          <w:bCs w:val="0"/>
          <w:color w:val="000000" w:themeColor="text1"/>
          <w:sz w:val="21"/>
          <w:szCs w:val="21"/>
          <w:highlight w:val="none"/>
          <w14:textFill>
            <w14:solidFill>
              <w14:schemeClr w14:val="tx1"/>
            </w14:solidFill>
          </w14:textFill>
        </w:rPr>
        <w:t xml:space="preserve">.1 </w:t>
      </w:r>
      <w:r>
        <w:rPr>
          <w:rFonts w:hint="eastAsia" w:ascii="宋体" w:hAnsi="宋体"/>
          <w:b w:val="0"/>
          <w:bCs w:val="0"/>
          <w:color w:val="000000" w:themeColor="text1"/>
          <w:sz w:val="21"/>
          <w:szCs w:val="21"/>
          <w:highlight w:val="none"/>
          <w14:textFill>
            <w14:solidFill>
              <w14:schemeClr w14:val="tx1"/>
            </w14:solidFill>
          </w14:textFill>
        </w:rPr>
        <w:t>不可抗力的确认</w:t>
      </w:r>
    </w:p>
    <w:p w14:paraId="208CCC0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255D3102">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不可抗力发生后，发包人和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人应收集证明不可抗力发生及不可抗力造成损失的证据，并及时认真统计所造成的损失。合同当事人对是否属于不可抗力或其损失发生争议时，按第</w:t>
      </w: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条</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争议解决</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的约定处理。</w:t>
      </w:r>
    </w:p>
    <w:p w14:paraId="7E27001D">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1</w:t>
      </w:r>
      <w:r>
        <w:rPr>
          <w:rFonts w:hint="eastAsia" w:ascii="宋体" w:hAnsi="宋体"/>
          <w:b w:val="0"/>
          <w:bCs w:val="0"/>
          <w:color w:val="000000" w:themeColor="text1"/>
          <w:sz w:val="21"/>
          <w:szCs w:val="21"/>
          <w:highlight w:val="none"/>
          <w14:textFill>
            <w14:solidFill>
              <w14:schemeClr w14:val="tx1"/>
            </w14:solidFill>
          </w14:textFill>
        </w:rPr>
        <w:t>5</w:t>
      </w:r>
      <w:r>
        <w:rPr>
          <w:rFonts w:ascii="宋体" w:hAnsi="宋体"/>
          <w:b w:val="0"/>
          <w:bCs w:val="0"/>
          <w:color w:val="000000" w:themeColor="text1"/>
          <w:sz w:val="21"/>
          <w:szCs w:val="21"/>
          <w:highlight w:val="none"/>
          <w14:textFill>
            <w14:solidFill>
              <w14:schemeClr w14:val="tx1"/>
            </w14:solidFill>
          </w14:textFill>
        </w:rPr>
        <w:t xml:space="preserve">.2 </w:t>
      </w:r>
      <w:r>
        <w:rPr>
          <w:rFonts w:hint="eastAsia" w:ascii="宋体" w:hAnsi="宋体"/>
          <w:b w:val="0"/>
          <w:bCs w:val="0"/>
          <w:color w:val="000000" w:themeColor="text1"/>
          <w:sz w:val="21"/>
          <w:szCs w:val="21"/>
          <w:highlight w:val="none"/>
          <w14:textFill>
            <w14:solidFill>
              <w14:schemeClr w14:val="tx1"/>
            </w14:solidFill>
          </w14:textFill>
        </w:rPr>
        <w:t>不可抗力的通知</w:t>
      </w:r>
    </w:p>
    <w:p w14:paraId="00D63B3F">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w:t>
      </w:r>
      <w:r>
        <w:rPr>
          <w:rFonts w:ascii="宋体" w:hAnsi="宋体"/>
          <w:color w:val="000000" w:themeColor="text1"/>
          <w:sz w:val="21"/>
          <w:szCs w:val="21"/>
          <w:highlight w:val="none"/>
          <w14:textFill>
            <w14:solidFill>
              <w14:schemeClr w14:val="tx1"/>
            </w14:solidFill>
          </w14:textFill>
        </w:rPr>
        <w:t>一方当事人遇到不可抗力事件，使其履行合同义务受到阻碍时，应立即通知合同另一方当事人，书面说明不可抗力和受阻碍的详细情况，并</w:t>
      </w:r>
      <w:r>
        <w:rPr>
          <w:rFonts w:hint="eastAsia" w:ascii="宋体" w:hAnsi="宋体"/>
          <w:color w:val="000000" w:themeColor="text1"/>
          <w:sz w:val="21"/>
          <w:szCs w:val="21"/>
          <w:highlight w:val="none"/>
          <w14:textFill>
            <w14:solidFill>
              <w14:schemeClr w14:val="tx1"/>
            </w14:solidFill>
          </w14:textFill>
        </w:rPr>
        <w:t>在合理期限内</w:t>
      </w:r>
      <w:r>
        <w:rPr>
          <w:rFonts w:ascii="宋体" w:hAnsi="宋体"/>
          <w:color w:val="000000" w:themeColor="text1"/>
          <w:sz w:val="21"/>
          <w:szCs w:val="21"/>
          <w:highlight w:val="none"/>
          <w14:textFill>
            <w14:solidFill>
              <w14:schemeClr w14:val="tx1"/>
            </w14:solidFill>
          </w14:textFill>
        </w:rPr>
        <w:t>提供必要的证明。</w:t>
      </w:r>
    </w:p>
    <w:p w14:paraId="51D8D7E2">
      <w:pPr>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不可抗力持续发生的，合同一方当事人应及时向合同另一方当事人提交中间报告，说明不可抗力和履行合同受阻的情况，并于不可抗力事件结束后28天内提交最终报告及有关资料。</w:t>
      </w:r>
    </w:p>
    <w:p w14:paraId="3050A037">
      <w:pPr>
        <w:pStyle w:val="6"/>
        <w:spacing w:before="0" w:after="0" w:line="360" w:lineRule="auto"/>
        <w:ind w:firstLine="420" w:firstLineChars="200"/>
        <w:jc w:val="left"/>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1</w:t>
      </w:r>
      <w:r>
        <w:rPr>
          <w:rFonts w:hint="eastAsia" w:ascii="宋体" w:hAnsi="宋体"/>
          <w:b w:val="0"/>
          <w:bCs w:val="0"/>
          <w:color w:val="000000" w:themeColor="text1"/>
          <w:sz w:val="21"/>
          <w:szCs w:val="21"/>
          <w:highlight w:val="none"/>
          <w14:textFill>
            <w14:solidFill>
              <w14:schemeClr w14:val="tx1"/>
            </w14:solidFill>
          </w14:textFill>
        </w:rPr>
        <w:t>5</w:t>
      </w:r>
      <w:r>
        <w:rPr>
          <w:rFonts w:ascii="宋体" w:hAnsi="宋体"/>
          <w:b w:val="0"/>
          <w:bCs w:val="0"/>
          <w:color w:val="000000" w:themeColor="text1"/>
          <w:sz w:val="21"/>
          <w:szCs w:val="21"/>
          <w:highlight w:val="none"/>
          <w14:textFill>
            <w14:solidFill>
              <w14:schemeClr w14:val="tx1"/>
            </w14:solidFill>
          </w14:textFill>
        </w:rPr>
        <w:t xml:space="preserve">.3 </w:t>
      </w:r>
      <w:r>
        <w:rPr>
          <w:rFonts w:hint="eastAsia" w:ascii="宋体" w:hAnsi="宋体"/>
          <w:b w:val="0"/>
          <w:bCs w:val="0"/>
          <w:color w:val="000000" w:themeColor="text1"/>
          <w:sz w:val="21"/>
          <w:szCs w:val="21"/>
          <w:highlight w:val="none"/>
          <w14:textFill>
            <w14:solidFill>
              <w14:schemeClr w14:val="tx1"/>
            </w14:solidFill>
          </w14:textFill>
        </w:rPr>
        <w:t>不可抗力后果的承担</w:t>
      </w:r>
    </w:p>
    <w:p w14:paraId="5E27782B">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不可抗力引起的后果及造成的损失由合同当事人按照法律规定及合同约定各自承担。</w:t>
      </w:r>
      <w:r>
        <w:rPr>
          <w:rFonts w:ascii="宋体" w:hAnsi="宋体"/>
          <w:color w:val="000000" w:themeColor="text1"/>
          <w:sz w:val="21"/>
          <w:szCs w:val="21"/>
          <w:highlight w:val="none"/>
          <w14:textFill>
            <w14:solidFill>
              <w14:schemeClr w14:val="tx1"/>
            </w14:solidFill>
          </w14:textFill>
        </w:rPr>
        <w:t>不可抗力发生前已完</w:t>
      </w:r>
      <w:r>
        <w:rPr>
          <w:rFonts w:hint="eastAsia" w:ascii="宋体" w:hAnsi="宋体"/>
          <w:color w:val="000000" w:themeColor="text1"/>
          <w:sz w:val="21"/>
          <w:szCs w:val="21"/>
          <w:highlight w:val="none"/>
          <w14:textFill>
            <w14:solidFill>
              <w14:schemeClr w14:val="tx1"/>
            </w14:solidFill>
          </w14:textFill>
        </w:rPr>
        <w:t>成的</w:t>
      </w:r>
      <w:r>
        <w:rPr>
          <w:rFonts w:ascii="宋体" w:hAnsi="宋体"/>
          <w:color w:val="000000" w:themeColor="text1"/>
          <w:sz w:val="21"/>
          <w:szCs w:val="21"/>
          <w:highlight w:val="none"/>
          <w14:textFill>
            <w14:solidFill>
              <w14:schemeClr w14:val="tx1"/>
            </w14:solidFill>
          </w14:textFill>
        </w:rPr>
        <w:t>工程</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应当按照合同约定进行</w:t>
      </w:r>
      <w:r>
        <w:rPr>
          <w:rFonts w:hint="eastAsia" w:ascii="宋体" w:hAnsi="宋体"/>
          <w:color w:val="000000" w:themeColor="text1"/>
          <w:sz w:val="21"/>
          <w:szCs w:val="21"/>
          <w:highlight w:val="none"/>
          <w14:textFill>
            <w14:solidFill>
              <w14:schemeClr w14:val="tx1"/>
            </w14:solidFill>
          </w14:textFill>
        </w:rPr>
        <w:t>支付</w:t>
      </w:r>
      <w:r>
        <w:rPr>
          <w:rFonts w:ascii="宋体" w:hAnsi="宋体"/>
          <w:color w:val="000000" w:themeColor="text1"/>
          <w:sz w:val="21"/>
          <w:szCs w:val="21"/>
          <w:highlight w:val="none"/>
          <w14:textFill>
            <w14:solidFill>
              <w14:schemeClr w14:val="tx1"/>
            </w14:solidFill>
          </w14:textFill>
        </w:rPr>
        <w:t>。</w:t>
      </w:r>
    </w:p>
    <w:p w14:paraId="68CF865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3EB8720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因合同一方迟延履行合同义务，在迟延履行期间遭遇不可抗力的，不免除其违约责任。</w:t>
      </w:r>
    </w:p>
    <w:p w14:paraId="4893CE07">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16</w:t>
      </w:r>
      <w:r>
        <w:rPr>
          <w:rFonts w:ascii="黑体" w:hAnsi="黑体" w:eastAsia="黑体" w:cs="Times New Roman"/>
          <w:b w:val="0"/>
          <w:color w:val="000000" w:themeColor="text1"/>
          <w:highlight w:val="none"/>
          <w14:textFill>
            <w14:solidFill>
              <w14:schemeClr w14:val="tx1"/>
            </w14:solidFill>
          </w14:textFill>
        </w:rPr>
        <w:t>.</w:t>
      </w:r>
      <w:r>
        <w:rPr>
          <w:rFonts w:hint="eastAsia" w:ascii="黑体" w:hAnsi="黑体" w:eastAsia="黑体" w:cs="Times New Roman"/>
          <w:b w:val="0"/>
          <w:color w:val="000000" w:themeColor="text1"/>
          <w:highlight w:val="none"/>
          <w14:textFill>
            <w14:solidFill>
              <w14:schemeClr w14:val="tx1"/>
            </w14:solidFill>
          </w14:textFill>
        </w:rPr>
        <w:t>合同解除</w:t>
      </w:r>
    </w:p>
    <w:p w14:paraId="45A2B2EB">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6</w:t>
      </w: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 xml:space="preserve"> 发包人与设计人协商一致，可以解除合同。</w:t>
      </w:r>
    </w:p>
    <w:p w14:paraId="114A5039">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6</w:t>
      </w:r>
      <w:r>
        <w:rPr>
          <w:rFonts w:ascii="宋体" w:hAnsi="宋体" w:cs="Courier New"/>
          <w:color w:val="000000" w:themeColor="text1"/>
          <w:sz w:val="21"/>
          <w:szCs w:val="21"/>
          <w:highlight w:val="none"/>
          <w14:textFill>
            <w14:solidFill>
              <w14:schemeClr w14:val="tx1"/>
            </w14:solidFill>
          </w14:textFill>
        </w:rPr>
        <w:t>.2</w:t>
      </w:r>
      <w:r>
        <w:rPr>
          <w:rFonts w:hint="eastAsia" w:ascii="宋体" w:hAnsi="宋体" w:cs="Courier New"/>
          <w:color w:val="000000" w:themeColor="text1"/>
          <w:sz w:val="21"/>
          <w:szCs w:val="21"/>
          <w:highlight w:val="none"/>
          <w14:textFill>
            <w14:solidFill>
              <w14:schemeClr w14:val="tx1"/>
            </w14:solidFill>
          </w14:textFill>
        </w:rPr>
        <w:t xml:space="preserve"> 有下列情形之一的，合同当事人一方或双方可以解除合同：</w:t>
      </w:r>
    </w:p>
    <w:p w14:paraId="69A41930">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（1）设计人工程设计文件存在重大质量问题，经发包人催告后，在合理期限内修改后仍不能满足国家现行深度要求或不能达到合同约定的设计质量要求的，发包人可以解除合同；</w:t>
      </w:r>
    </w:p>
    <w:p w14:paraId="3CDD7819">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（2）发包人未按合同约定支付设计费用，经设计人催告后，在</w:t>
      </w:r>
      <w:r>
        <w:rPr>
          <w:rFonts w:ascii="宋体" w:hAnsi="宋体"/>
          <w:color w:val="000000" w:themeColor="text1"/>
          <w:sz w:val="21"/>
          <w:szCs w:val="21"/>
          <w:highlight w:val="none"/>
          <w14:textFill>
            <w14:solidFill>
              <w14:schemeClr w14:val="tx1"/>
            </w14:solidFill>
          </w14:textFill>
        </w:rPr>
        <w:t>30</w:t>
      </w:r>
      <w:r>
        <w:rPr>
          <w:rFonts w:hint="eastAsia" w:ascii="宋体" w:hAnsi="宋体" w:cs="Courier New"/>
          <w:color w:val="000000" w:themeColor="text1"/>
          <w:sz w:val="21"/>
          <w:szCs w:val="21"/>
          <w:highlight w:val="none"/>
          <w14:textFill>
            <w14:solidFill>
              <w14:schemeClr w14:val="tx1"/>
            </w14:solidFill>
          </w14:textFill>
        </w:rPr>
        <w:t>天内仍未支付的，设计人可以解除合同；</w:t>
      </w:r>
    </w:p>
    <w:p w14:paraId="051D738A">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（3）暂停设计期限已连续超过180天，专用合同条款另有约定的除外；</w:t>
      </w:r>
    </w:p>
    <w:p w14:paraId="1E81B72B">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（4）因不可抗力致使合同无法履行；</w:t>
      </w:r>
    </w:p>
    <w:p w14:paraId="39422112">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（5）因一方违约致使合同无法实际履行或实际履行已无必要；</w:t>
      </w:r>
    </w:p>
    <w:p w14:paraId="35F33CA3">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（6）因本工程项目条件发生重大变化，使合同无法继续履行。</w:t>
      </w:r>
    </w:p>
    <w:p w14:paraId="1862F147">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6</w:t>
      </w:r>
      <w:r>
        <w:rPr>
          <w:rFonts w:ascii="宋体" w:hAnsi="宋体" w:cs="Courier New"/>
          <w:color w:val="000000" w:themeColor="text1"/>
          <w:sz w:val="21"/>
          <w:szCs w:val="21"/>
          <w:highlight w:val="none"/>
          <w14:textFill>
            <w14:solidFill>
              <w14:schemeClr w14:val="tx1"/>
            </w14:solidFill>
          </w14:textFill>
        </w:rPr>
        <w:t>.</w:t>
      </w:r>
      <w:r>
        <w:rPr>
          <w:rFonts w:hint="eastAsia" w:ascii="宋体" w:hAnsi="宋体" w:cs="Courier New"/>
          <w:color w:val="000000" w:themeColor="text1"/>
          <w:sz w:val="21"/>
          <w:szCs w:val="21"/>
          <w:highlight w:val="none"/>
          <w14:textFill>
            <w14:solidFill>
              <w14:schemeClr w14:val="tx1"/>
            </w14:solidFill>
          </w14:textFill>
        </w:rPr>
        <w:t>3 任何一方因故需解除合同时，应提前30天书面通知对方，对合同中的遗留问题应取得一致意见并形成书面协议。</w:t>
      </w:r>
    </w:p>
    <w:p w14:paraId="030BCCD3">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ascii="宋体" w:hAnsi="宋体" w:cs="Courier New"/>
          <w:color w:val="000000" w:themeColor="text1"/>
          <w:sz w:val="21"/>
          <w:szCs w:val="21"/>
          <w:highlight w:val="none"/>
          <w14:textFill>
            <w14:solidFill>
              <w14:schemeClr w14:val="tx1"/>
            </w14:solidFill>
          </w14:textFill>
        </w:rPr>
        <w:t>1</w:t>
      </w:r>
      <w:r>
        <w:rPr>
          <w:rFonts w:hint="eastAsia" w:ascii="宋体" w:hAnsi="宋体" w:cs="Courier New"/>
          <w:color w:val="000000" w:themeColor="text1"/>
          <w:sz w:val="21"/>
          <w:szCs w:val="21"/>
          <w:highlight w:val="none"/>
          <w14:textFill>
            <w14:solidFill>
              <w14:schemeClr w14:val="tx1"/>
            </w14:solidFill>
          </w14:textFill>
        </w:rPr>
        <w:t>6</w:t>
      </w:r>
      <w:r>
        <w:rPr>
          <w:rFonts w:ascii="宋体" w:hAnsi="宋体" w:cs="Courier New"/>
          <w:color w:val="000000" w:themeColor="text1"/>
          <w:sz w:val="21"/>
          <w:szCs w:val="21"/>
          <w:highlight w:val="none"/>
          <w14:textFill>
            <w14:solidFill>
              <w14:schemeClr w14:val="tx1"/>
            </w14:solidFill>
          </w14:textFill>
        </w:rPr>
        <w:t>.</w:t>
      </w:r>
      <w:r>
        <w:rPr>
          <w:rFonts w:hint="eastAsia" w:ascii="宋体" w:hAnsi="宋体" w:cs="Courier New"/>
          <w:color w:val="000000" w:themeColor="text1"/>
          <w:sz w:val="21"/>
          <w:szCs w:val="21"/>
          <w:highlight w:val="none"/>
          <w14:textFill>
            <w14:solidFill>
              <w14:schemeClr w14:val="tx1"/>
            </w14:solidFill>
          </w14:textFill>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1C5EC532">
      <w:pPr>
        <w:pStyle w:val="5"/>
        <w:adjustRightInd/>
        <w:spacing w:before="0" w:after="0" w:line="360" w:lineRule="auto"/>
        <w:jc w:val="left"/>
        <w:textAlignment w:val="auto"/>
        <w:rPr>
          <w:rFonts w:ascii="黑体" w:hAnsi="黑体" w:eastAsia="黑体" w:cs="Times New Roman"/>
          <w:b w:val="0"/>
          <w:color w:val="000000" w:themeColor="text1"/>
          <w:highlight w:val="none"/>
          <w14:textFill>
            <w14:solidFill>
              <w14:schemeClr w14:val="tx1"/>
            </w14:solidFill>
          </w14:textFill>
        </w:rPr>
      </w:pPr>
      <w:r>
        <w:rPr>
          <w:rFonts w:hint="eastAsia" w:ascii="黑体" w:hAnsi="黑体" w:eastAsia="黑体" w:cs="Times New Roman"/>
          <w:b w:val="0"/>
          <w:color w:val="000000" w:themeColor="text1"/>
          <w:highlight w:val="none"/>
          <w14:textFill>
            <w14:solidFill>
              <w14:schemeClr w14:val="tx1"/>
            </w14:solidFill>
          </w14:textFill>
        </w:rPr>
        <w:t>17</w:t>
      </w:r>
      <w:r>
        <w:rPr>
          <w:rFonts w:ascii="黑体" w:hAnsi="黑体" w:eastAsia="黑体" w:cs="Times New Roman"/>
          <w:b w:val="0"/>
          <w:color w:val="000000" w:themeColor="text1"/>
          <w:highlight w:val="none"/>
          <w14:textFill>
            <w14:solidFill>
              <w14:schemeClr w14:val="tx1"/>
            </w14:solidFill>
          </w14:textFill>
        </w:rPr>
        <w:t>.争议解决</w:t>
      </w:r>
    </w:p>
    <w:p w14:paraId="53A82531">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和解</w:t>
      </w:r>
    </w:p>
    <w:p w14:paraId="2D12CEF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合同当事人可以就争议自行和解，自行和解达成协议的经双方签字并盖章后作为合同补充文件，双方均应遵照执行。</w:t>
      </w:r>
    </w:p>
    <w:p w14:paraId="7E18CBB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 xml:space="preserve"> 调解</w:t>
      </w:r>
    </w:p>
    <w:p w14:paraId="0BCF86C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合同当事人可以就争议请求</w:t>
      </w:r>
      <w:r>
        <w:rPr>
          <w:rFonts w:hint="eastAsia" w:ascii="宋体" w:hAnsi="宋体"/>
          <w:color w:val="000000" w:themeColor="text1"/>
          <w:sz w:val="21"/>
          <w:szCs w:val="21"/>
          <w:highlight w:val="none"/>
          <w14:textFill>
            <w14:solidFill>
              <w14:schemeClr w14:val="tx1"/>
            </w14:solidFill>
          </w14:textFill>
        </w:rPr>
        <w:t>相关</w:t>
      </w:r>
      <w:r>
        <w:rPr>
          <w:rFonts w:ascii="宋体" w:hAnsi="宋体"/>
          <w:color w:val="000000" w:themeColor="text1"/>
          <w:sz w:val="21"/>
          <w:szCs w:val="21"/>
          <w:highlight w:val="none"/>
          <w14:textFill>
            <w14:solidFill>
              <w14:schemeClr w14:val="tx1"/>
            </w14:solidFill>
          </w14:textFill>
        </w:rPr>
        <w:t>行政主管部门</w:t>
      </w:r>
      <w:r>
        <w:rPr>
          <w:rFonts w:hint="eastAsia" w:ascii="宋体" w:hAnsi="宋体"/>
          <w:color w:val="000000" w:themeColor="text1"/>
          <w:sz w:val="21"/>
          <w:szCs w:val="21"/>
          <w:highlight w:val="none"/>
          <w14:textFill>
            <w14:solidFill>
              <w14:schemeClr w14:val="tx1"/>
            </w14:solidFill>
          </w14:textFill>
        </w:rPr>
        <w:t>、行业协会</w:t>
      </w:r>
      <w:r>
        <w:rPr>
          <w:rFonts w:ascii="宋体" w:hAnsi="宋体"/>
          <w:color w:val="000000" w:themeColor="text1"/>
          <w:sz w:val="21"/>
          <w:szCs w:val="21"/>
          <w:highlight w:val="none"/>
          <w14:textFill>
            <w14:solidFill>
              <w14:schemeClr w14:val="tx1"/>
            </w14:solidFill>
          </w14:textFill>
        </w:rPr>
        <w:t>或</w:t>
      </w:r>
      <w:r>
        <w:rPr>
          <w:rFonts w:hint="eastAsia" w:ascii="宋体" w:hAnsi="宋体"/>
          <w:color w:val="000000" w:themeColor="text1"/>
          <w:sz w:val="21"/>
          <w:szCs w:val="21"/>
          <w:highlight w:val="none"/>
          <w14:textFill>
            <w14:solidFill>
              <w14:schemeClr w14:val="tx1"/>
            </w14:solidFill>
          </w14:textFill>
        </w:rPr>
        <w:t>其他</w:t>
      </w:r>
      <w:r>
        <w:rPr>
          <w:rFonts w:ascii="宋体" w:hAnsi="宋体"/>
          <w:color w:val="000000" w:themeColor="text1"/>
          <w:sz w:val="21"/>
          <w:szCs w:val="21"/>
          <w:highlight w:val="none"/>
          <w14:textFill>
            <w14:solidFill>
              <w14:schemeClr w14:val="tx1"/>
            </w14:solidFill>
          </w14:textFill>
        </w:rPr>
        <w:t>第三方进行调解，调解达成协议的，经双方签字并盖章后作为合同补充文件，双方均应遵照执行。</w:t>
      </w:r>
    </w:p>
    <w:p w14:paraId="3B682EA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 xml:space="preserve"> 争议评审</w:t>
      </w:r>
    </w:p>
    <w:p w14:paraId="2819F17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合同当事人在专用合同条款中约定采取争议评审方式解决争议</w:t>
      </w:r>
      <w:r>
        <w:rPr>
          <w:rFonts w:hint="eastAsia" w:ascii="宋体" w:hAnsi="宋体"/>
          <w:color w:val="000000" w:themeColor="text1"/>
          <w:sz w:val="21"/>
          <w:szCs w:val="21"/>
          <w:highlight w:val="none"/>
          <w14:textFill>
            <w14:solidFill>
              <w14:schemeClr w14:val="tx1"/>
            </w14:solidFill>
          </w14:textFill>
        </w:rPr>
        <w:t>以及评审规则，并</w:t>
      </w:r>
      <w:r>
        <w:rPr>
          <w:rFonts w:ascii="宋体" w:hAnsi="宋体"/>
          <w:color w:val="000000" w:themeColor="text1"/>
          <w:sz w:val="21"/>
          <w:szCs w:val="21"/>
          <w:highlight w:val="none"/>
          <w14:textFill>
            <w14:solidFill>
              <w14:schemeClr w14:val="tx1"/>
            </w14:solidFill>
          </w14:textFill>
        </w:rPr>
        <w:t xml:space="preserve">按下列约定执行： </w:t>
      </w:r>
    </w:p>
    <w:p w14:paraId="39B59A8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.3.1 争议评审小组的确定</w:t>
      </w:r>
    </w:p>
    <w:p w14:paraId="6B27CBF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14:paraId="03817BF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themeColor="text1"/>
          <w:sz w:val="21"/>
          <w:szCs w:val="21"/>
          <w:highlight w:val="none"/>
          <w14:textFill>
            <w14:solidFill>
              <w14:schemeClr w14:val="tx1"/>
            </w14:solidFill>
          </w14:textFill>
        </w:rPr>
        <w:t>评审</w:t>
      </w:r>
      <w:r>
        <w:rPr>
          <w:rFonts w:ascii="宋体" w:hAnsi="宋体"/>
          <w:color w:val="000000" w:themeColor="text1"/>
          <w:sz w:val="21"/>
          <w:szCs w:val="21"/>
          <w:highlight w:val="none"/>
          <w14:textFill>
            <w14:solidFill>
              <w14:schemeClr w14:val="tx1"/>
            </w14:solidFill>
          </w14:textFill>
        </w:rPr>
        <w:t xml:space="preserve">机构指定第三名首席争议评审员。 </w:t>
      </w:r>
    </w:p>
    <w:p w14:paraId="0608F62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除专用合同条款另有约定外，评审</w:t>
      </w:r>
      <w:r>
        <w:rPr>
          <w:rFonts w:hint="eastAsia" w:ascii="宋体" w:hAnsi="宋体"/>
          <w:color w:val="000000" w:themeColor="text1"/>
          <w:sz w:val="21"/>
          <w:szCs w:val="21"/>
          <w:highlight w:val="none"/>
          <w14:textFill>
            <w14:solidFill>
              <w14:schemeClr w14:val="tx1"/>
            </w14:solidFill>
          </w14:textFill>
        </w:rPr>
        <w:t>所发生的费用</w:t>
      </w:r>
      <w:r>
        <w:rPr>
          <w:rFonts w:ascii="宋体" w:hAnsi="宋体"/>
          <w:color w:val="000000" w:themeColor="text1"/>
          <w:sz w:val="21"/>
          <w:szCs w:val="21"/>
          <w:highlight w:val="none"/>
          <w14:textFill>
            <w14:solidFill>
              <w14:schemeClr w14:val="tx1"/>
            </w14:solidFill>
          </w14:textFill>
        </w:rPr>
        <w:t>由发包人和</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人各承担一半。</w:t>
      </w:r>
    </w:p>
    <w:p w14:paraId="3C201D0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.3.2 争议评审小组的决定</w:t>
      </w:r>
    </w:p>
    <w:p w14:paraId="04A8B0F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w:t>
      </w:r>
      <w:r>
        <w:rPr>
          <w:rFonts w:hint="eastAsia" w:ascii="宋体" w:hAnsi="宋体"/>
          <w:color w:val="000000" w:themeColor="text1"/>
          <w:sz w:val="21"/>
          <w:szCs w:val="21"/>
          <w:highlight w:val="none"/>
          <w14:textFill>
            <w14:solidFill>
              <w14:schemeClr w14:val="tx1"/>
            </w14:solidFill>
          </w14:textFill>
        </w:rPr>
        <w:t>行业</w:t>
      </w:r>
      <w:r>
        <w:rPr>
          <w:rFonts w:ascii="宋体" w:hAnsi="宋体"/>
          <w:color w:val="000000" w:themeColor="text1"/>
          <w:sz w:val="21"/>
          <w:szCs w:val="21"/>
          <w:highlight w:val="none"/>
          <w14:textFill>
            <w14:solidFill>
              <w14:schemeClr w14:val="tx1"/>
            </w14:solidFill>
          </w14:textFill>
        </w:rPr>
        <w:t>惯例等，自收到争议评审申请报告后14天内作出书面决定，并说明理由。合同当事人可以在专用合同条款中对本事项另行约定。</w:t>
      </w:r>
    </w:p>
    <w:p w14:paraId="02D2AA1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.3.3 争议评审小组决定的效力</w:t>
      </w:r>
    </w:p>
    <w:p w14:paraId="01E9CF9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争议评审小组作出的书面决定经合同当事人签字确认后，对双方具有约束力，双方应遵照执行。</w:t>
      </w:r>
    </w:p>
    <w:p w14:paraId="55DEBE0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任何一方当事人不接受争议评审小组决定</w:t>
      </w:r>
      <w:r>
        <w:rPr>
          <w:rFonts w:hint="eastAsia" w:ascii="宋体" w:hAnsi="宋体"/>
          <w:color w:val="000000" w:themeColor="text1"/>
          <w:sz w:val="21"/>
          <w:szCs w:val="21"/>
          <w:highlight w:val="none"/>
          <w14:textFill>
            <w14:solidFill>
              <w14:schemeClr w14:val="tx1"/>
            </w14:solidFill>
          </w14:textFill>
        </w:rPr>
        <w:t>或不履行争议评审小组决定的</w:t>
      </w:r>
      <w:r>
        <w:rPr>
          <w:rFonts w:ascii="宋体" w:hAnsi="宋体"/>
          <w:color w:val="000000" w:themeColor="text1"/>
          <w:sz w:val="21"/>
          <w:szCs w:val="21"/>
          <w:highlight w:val="none"/>
          <w14:textFill>
            <w14:solidFill>
              <w14:schemeClr w14:val="tx1"/>
            </w14:solidFill>
          </w14:textFill>
        </w:rPr>
        <w:t>，双方可选择采用其他争议解决方式。</w:t>
      </w:r>
    </w:p>
    <w:p w14:paraId="2FD0250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 xml:space="preserve"> 仲裁或诉讼</w:t>
      </w:r>
    </w:p>
    <w:p w14:paraId="3B864E6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因合同及合同有关事项产生的争议，合同当事人可以在专用合同条款中约定以下一种方式解决争议：</w:t>
      </w:r>
    </w:p>
    <w:p w14:paraId="4CD7E85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（1）向约定的仲裁委员会申请仲裁；</w:t>
      </w:r>
    </w:p>
    <w:p w14:paraId="191D0D0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（2）向有管辖权的人民法院起诉。</w:t>
      </w:r>
    </w:p>
    <w:p w14:paraId="6A02699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 xml:space="preserve"> 争议解决条款效力</w:t>
      </w:r>
    </w:p>
    <w:p w14:paraId="189A8FCD">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合同有关争议解决的条款独立存在，合同的变更、解除、终止、无效或者被撤销均不影响其效力</w:t>
      </w:r>
      <w:r>
        <w:rPr>
          <w:rFonts w:hint="eastAsia" w:ascii="宋体" w:hAnsi="宋体"/>
          <w:color w:val="000000" w:themeColor="text1"/>
          <w:sz w:val="21"/>
          <w:szCs w:val="21"/>
          <w:highlight w:val="none"/>
          <w14:textFill>
            <w14:solidFill>
              <w14:schemeClr w14:val="tx1"/>
            </w14:solidFill>
          </w14:textFill>
        </w:rPr>
        <w:t>。</w:t>
      </w:r>
    </w:p>
    <w:p w14:paraId="5E01B28B">
      <w:pPr>
        <w:rPr>
          <w:rFonts w:ascii="宋体" w:hAnsi="宋体"/>
          <w:color w:val="000000" w:themeColor="text1"/>
          <w:highlight w:val="none"/>
          <w14:textFill>
            <w14:solidFill>
              <w14:schemeClr w14:val="tx1"/>
            </w14:solidFill>
          </w14:textFill>
        </w:rPr>
      </w:pPr>
    </w:p>
    <w:p w14:paraId="40F247D2">
      <w:pPr>
        <w:rPr>
          <w:rFonts w:ascii="宋体" w:hAnsi="宋体"/>
          <w:color w:val="000000" w:themeColor="text1"/>
          <w:highlight w:val="none"/>
          <w14:textFill>
            <w14:solidFill>
              <w14:schemeClr w14:val="tx1"/>
            </w14:solidFill>
          </w14:textFill>
        </w:rPr>
      </w:pPr>
    </w:p>
    <w:p w14:paraId="619BADCE">
      <w:pPr>
        <w:rPr>
          <w:rFonts w:ascii="宋体" w:hAnsi="宋体"/>
          <w:color w:val="000000" w:themeColor="text1"/>
          <w:highlight w:val="none"/>
          <w14:textFill>
            <w14:solidFill>
              <w14:schemeClr w14:val="tx1"/>
            </w14:solidFill>
          </w14:textFill>
        </w:rPr>
      </w:pPr>
    </w:p>
    <w:p w14:paraId="47BC29D4">
      <w:pPr>
        <w:rPr>
          <w:rFonts w:ascii="宋体" w:hAnsi="宋体"/>
          <w:color w:val="000000" w:themeColor="text1"/>
          <w:highlight w:val="none"/>
          <w14:textFill>
            <w14:solidFill>
              <w14:schemeClr w14:val="tx1"/>
            </w14:solidFill>
          </w14:textFill>
        </w:rPr>
      </w:pPr>
    </w:p>
    <w:p w14:paraId="4BB7CDB5">
      <w:pPr>
        <w:rPr>
          <w:rFonts w:ascii="宋体" w:hAnsi="宋体"/>
          <w:color w:val="000000" w:themeColor="text1"/>
          <w:highlight w:val="none"/>
          <w14:textFill>
            <w14:solidFill>
              <w14:schemeClr w14:val="tx1"/>
            </w14:solidFill>
          </w14:textFill>
        </w:rPr>
      </w:pPr>
    </w:p>
    <w:p w14:paraId="1B5ADBD1">
      <w:pPr>
        <w:rPr>
          <w:rFonts w:ascii="宋体" w:hAnsi="宋体"/>
          <w:color w:val="000000" w:themeColor="text1"/>
          <w:highlight w:val="none"/>
          <w14:textFill>
            <w14:solidFill>
              <w14:schemeClr w14:val="tx1"/>
            </w14:solidFill>
          </w14:textFill>
        </w:rPr>
      </w:pPr>
    </w:p>
    <w:p w14:paraId="79043C53">
      <w:pPr>
        <w:rPr>
          <w:rFonts w:ascii="宋体" w:hAnsi="宋体"/>
          <w:color w:val="000000" w:themeColor="text1"/>
          <w:highlight w:val="none"/>
          <w14:textFill>
            <w14:solidFill>
              <w14:schemeClr w14:val="tx1"/>
            </w14:solidFill>
          </w14:textFill>
        </w:rPr>
      </w:pPr>
    </w:p>
    <w:p w14:paraId="2369C6D0">
      <w:pPr>
        <w:rPr>
          <w:rFonts w:ascii="宋体" w:hAnsi="宋体"/>
          <w:color w:val="000000" w:themeColor="text1"/>
          <w:highlight w:val="none"/>
          <w14:textFill>
            <w14:solidFill>
              <w14:schemeClr w14:val="tx1"/>
            </w14:solidFill>
          </w14:textFill>
        </w:rPr>
      </w:pPr>
    </w:p>
    <w:p w14:paraId="2DE4DB3F">
      <w:pPr>
        <w:rPr>
          <w:rFonts w:ascii="宋体" w:hAnsi="宋体"/>
          <w:color w:val="000000" w:themeColor="text1"/>
          <w:highlight w:val="none"/>
          <w14:textFill>
            <w14:solidFill>
              <w14:schemeClr w14:val="tx1"/>
            </w14:solidFill>
          </w14:textFill>
        </w:rPr>
      </w:pPr>
    </w:p>
    <w:p w14:paraId="55BC7D44">
      <w:pPr>
        <w:rPr>
          <w:rFonts w:ascii="宋体" w:hAnsi="宋体"/>
          <w:color w:val="000000" w:themeColor="text1"/>
          <w:highlight w:val="none"/>
          <w14:textFill>
            <w14:solidFill>
              <w14:schemeClr w14:val="tx1"/>
            </w14:solidFill>
          </w14:textFill>
        </w:rPr>
      </w:pPr>
    </w:p>
    <w:p w14:paraId="01A20347">
      <w:pPr>
        <w:rPr>
          <w:rFonts w:ascii="宋体" w:hAnsi="宋体"/>
          <w:color w:val="000000" w:themeColor="text1"/>
          <w:highlight w:val="none"/>
          <w14:textFill>
            <w14:solidFill>
              <w14:schemeClr w14:val="tx1"/>
            </w14:solidFill>
          </w14:textFill>
        </w:rPr>
      </w:pPr>
    </w:p>
    <w:p w14:paraId="44023C55">
      <w:pPr>
        <w:rPr>
          <w:rFonts w:ascii="宋体" w:hAnsi="宋体"/>
          <w:color w:val="000000" w:themeColor="text1"/>
          <w:highlight w:val="none"/>
          <w14:textFill>
            <w14:solidFill>
              <w14:schemeClr w14:val="tx1"/>
            </w14:solidFill>
          </w14:textFill>
        </w:rPr>
      </w:pPr>
    </w:p>
    <w:p w14:paraId="7B2DBA88">
      <w:pPr>
        <w:rPr>
          <w:rFonts w:ascii="宋体" w:hAnsi="宋体"/>
          <w:color w:val="000000" w:themeColor="text1"/>
          <w:highlight w:val="none"/>
          <w14:textFill>
            <w14:solidFill>
              <w14:schemeClr w14:val="tx1"/>
            </w14:solidFill>
          </w14:textFill>
        </w:rPr>
      </w:pPr>
    </w:p>
    <w:p w14:paraId="59C8937E">
      <w:pPr>
        <w:rPr>
          <w:rFonts w:ascii="宋体" w:hAnsi="宋体"/>
          <w:color w:val="000000" w:themeColor="text1"/>
          <w:highlight w:val="none"/>
          <w14:textFill>
            <w14:solidFill>
              <w14:schemeClr w14:val="tx1"/>
            </w14:solidFill>
          </w14:textFill>
        </w:rPr>
      </w:pPr>
    </w:p>
    <w:p w14:paraId="275FFA56">
      <w:pPr>
        <w:rPr>
          <w:rFonts w:ascii="宋体" w:hAnsi="宋体"/>
          <w:color w:val="000000" w:themeColor="text1"/>
          <w:highlight w:val="none"/>
          <w14:textFill>
            <w14:solidFill>
              <w14:schemeClr w14:val="tx1"/>
            </w14:solidFill>
          </w14:textFill>
        </w:rPr>
      </w:pPr>
    </w:p>
    <w:p w14:paraId="718E1E02">
      <w:pPr>
        <w:rPr>
          <w:rFonts w:ascii="宋体" w:hAnsi="宋体"/>
          <w:color w:val="000000" w:themeColor="text1"/>
          <w:highlight w:val="none"/>
          <w14:textFill>
            <w14:solidFill>
              <w14:schemeClr w14:val="tx1"/>
            </w14:solidFill>
          </w14:textFill>
        </w:rPr>
      </w:pPr>
    </w:p>
    <w:p w14:paraId="2E257D0D">
      <w:pPr>
        <w:rPr>
          <w:rFonts w:ascii="宋体" w:hAnsi="宋体"/>
          <w:color w:val="000000" w:themeColor="text1"/>
          <w:highlight w:val="none"/>
          <w14:textFill>
            <w14:solidFill>
              <w14:schemeClr w14:val="tx1"/>
            </w14:solidFill>
          </w14:textFill>
        </w:rPr>
      </w:pPr>
    </w:p>
    <w:p w14:paraId="58B6B0F2">
      <w:pPr>
        <w:rPr>
          <w:rFonts w:ascii="宋体" w:hAnsi="宋体"/>
          <w:color w:val="000000" w:themeColor="text1"/>
          <w:highlight w:val="none"/>
          <w14:textFill>
            <w14:solidFill>
              <w14:schemeClr w14:val="tx1"/>
            </w14:solidFill>
          </w14:textFill>
        </w:rPr>
      </w:pPr>
    </w:p>
    <w:p w14:paraId="4C1C8749">
      <w:pPr>
        <w:rPr>
          <w:rFonts w:ascii="宋体" w:hAnsi="宋体"/>
          <w:color w:val="000000" w:themeColor="text1"/>
          <w:highlight w:val="none"/>
          <w14:textFill>
            <w14:solidFill>
              <w14:schemeClr w14:val="tx1"/>
            </w14:solidFill>
          </w14:textFill>
        </w:rPr>
      </w:pPr>
    </w:p>
    <w:p w14:paraId="055DD044">
      <w:pPr>
        <w:rPr>
          <w:rFonts w:ascii="宋体" w:hAnsi="宋体"/>
          <w:color w:val="000000" w:themeColor="text1"/>
          <w:highlight w:val="none"/>
          <w14:textFill>
            <w14:solidFill>
              <w14:schemeClr w14:val="tx1"/>
            </w14:solidFill>
          </w14:textFill>
        </w:rPr>
      </w:pPr>
    </w:p>
    <w:p w14:paraId="7F010E46">
      <w:pPr>
        <w:rPr>
          <w:rFonts w:ascii="宋体" w:hAnsi="宋体"/>
          <w:color w:val="000000" w:themeColor="text1"/>
          <w:highlight w:val="none"/>
          <w14:textFill>
            <w14:solidFill>
              <w14:schemeClr w14:val="tx1"/>
            </w14:solidFill>
          </w14:textFill>
        </w:rPr>
      </w:pPr>
    </w:p>
    <w:p w14:paraId="4460C1FB">
      <w:pPr>
        <w:rPr>
          <w:rFonts w:ascii="宋体" w:hAnsi="宋体"/>
          <w:color w:val="000000" w:themeColor="text1"/>
          <w:highlight w:val="none"/>
          <w14:textFill>
            <w14:solidFill>
              <w14:schemeClr w14:val="tx1"/>
            </w14:solidFill>
          </w14:textFill>
        </w:rPr>
      </w:pPr>
    </w:p>
    <w:p w14:paraId="6A67E1A5">
      <w:pPr>
        <w:rPr>
          <w:rFonts w:ascii="宋体" w:hAnsi="宋体"/>
          <w:color w:val="000000" w:themeColor="text1"/>
          <w:highlight w:val="none"/>
          <w14:textFill>
            <w14:solidFill>
              <w14:schemeClr w14:val="tx1"/>
            </w14:solidFill>
          </w14:textFill>
        </w:rPr>
      </w:pPr>
    </w:p>
    <w:p w14:paraId="12C27CB1">
      <w:pPr>
        <w:rPr>
          <w:rFonts w:ascii="宋体" w:hAnsi="宋体"/>
          <w:color w:val="000000" w:themeColor="text1"/>
          <w:highlight w:val="none"/>
          <w14:textFill>
            <w14:solidFill>
              <w14:schemeClr w14:val="tx1"/>
            </w14:solidFill>
          </w14:textFill>
        </w:rPr>
      </w:pPr>
    </w:p>
    <w:p w14:paraId="396072E3">
      <w:pPr>
        <w:pStyle w:val="4"/>
        <w:jc w:val="center"/>
        <w:rPr>
          <w:rFonts w:ascii="黑体" w:hAnsi="黑体" w:eastAsia="黑体"/>
          <w:b w:val="0"/>
          <w:color w:val="000000" w:themeColor="text1"/>
          <w:sz w:val="28"/>
          <w:szCs w:val="28"/>
          <w:highlight w:val="none"/>
          <w14:textFill>
            <w14:solidFill>
              <w14:schemeClr w14:val="tx1"/>
            </w14:solidFill>
          </w14:textFill>
        </w:rPr>
      </w:pPr>
      <w:bookmarkStart w:id="777" w:name="_Toc22470"/>
      <w:bookmarkStart w:id="778" w:name="_Toc1492"/>
      <w:bookmarkStart w:id="779" w:name="_Toc22069"/>
      <w:r>
        <w:rPr>
          <w:rFonts w:hint="eastAsia" w:ascii="黑体" w:hAnsi="黑体" w:eastAsia="黑体"/>
          <w:b w:val="0"/>
          <w:color w:val="000000" w:themeColor="text1"/>
          <w:sz w:val="28"/>
          <w:szCs w:val="28"/>
          <w:highlight w:val="none"/>
          <w14:textFill>
            <w14:solidFill>
              <w14:schemeClr w14:val="tx1"/>
            </w14:solidFill>
          </w14:textFill>
        </w:rPr>
        <w:t>专用合同条款（适用</w:t>
      </w:r>
      <w:r>
        <w:rPr>
          <w:rFonts w:hint="eastAsia" w:ascii="黑体" w:hAnsi="黑体" w:eastAsia="黑体"/>
          <w:b w:val="0"/>
          <w:color w:val="000000" w:themeColor="text1"/>
          <w:sz w:val="28"/>
          <w:szCs w:val="28"/>
          <w:highlight w:val="none"/>
          <w:lang w:val="en-US" w:eastAsia="zh-CN"/>
          <w14:textFill>
            <w14:solidFill>
              <w14:schemeClr w14:val="tx1"/>
            </w14:solidFill>
          </w14:textFill>
        </w:rPr>
        <w:t>于</w:t>
      </w:r>
      <w:r>
        <w:rPr>
          <w:rFonts w:hint="eastAsia" w:ascii="黑体" w:hAnsi="黑体" w:eastAsia="黑体"/>
          <w:b w:val="0"/>
          <w:color w:val="000000" w:themeColor="text1"/>
          <w:sz w:val="28"/>
          <w:szCs w:val="28"/>
          <w:highlight w:val="none"/>
          <w14:textFill>
            <w14:solidFill>
              <w14:schemeClr w14:val="tx1"/>
            </w14:solidFill>
          </w14:textFill>
        </w:rPr>
        <w:t>房屋建筑工程）</w:t>
      </w:r>
      <w:bookmarkEnd w:id="777"/>
      <w:bookmarkEnd w:id="778"/>
      <w:bookmarkEnd w:id="779"/>
    </w:p>
    <w:p w14:paraId="665C5684">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80" w:name="_Toc11828"/>
      <w:bookmarkStart w:id="781" w:name="_Toc19045"/>
      <w:bookmarkStart w:id="782" w:name="_Toc20560"/>
      <w:r>
        <w:rPr>
          <w:rFonts w:ascii="黑体" w:hAnsi="黑体" w:eastAsia="黑体"/>
          <w:b w:val="0"/>
          <w:color w:val="000000" w:themeColor="text1"/>
          <w:sz w:val="28"/>
          <w:szCs w:val="28"/>
          <w:highlight w:val="none"/>
          <w14:textFill>
            <w14:solidFill>
              <w14:schemeClr w14:val="tx1"/>
            </w14:solidFill>
          </w14:textFill>
        </w:rPr>
        <w:t>1.一般约定</w:t>
      </w:r>
      <w:bookmarkEnd w:id="780"/>
      <w:bookmarkEnd w:id="781"/>
      <w:bookmarkEnd w:id="782"/>
    </w:p>
    <w:p w14:paraId="0A0D0043">
      <w:pPr>
        <w:tabs>
          <w:tab w:val="center" w:pos="4710"/>
        </w:tabs>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 词语定义</w:t>
      </w:r>
      <w:r>
        <w:rPr>
          <w:rFonts w:hint="eastAsia" w:ascii="宋体" w:hAnsi="宋体"/>
          <w:color w:val="000000" w:themeColor="text1"/>
          <w:sz w:val="21"/>
          <w:szCs w:val="21"/>
          <w:highlight w:val="none"/>
          <w14:textFill>
            <w14:solidFill>
              <w14:schemeClr w14:val="tx1"/>
            </w14:solidFill>
          </w14:textFill>
        </w:rPr>
        <w:t>与解释</w:t>
      </w:r>
    </w:p>
    <w:p w14:paraId="49769E9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合同</w:t>
      </w:r>
    </w:p>
    <w:p w14:paraId="63BE07D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8 </w:t>
      </w:r>
      <w:r>
        <w:rPr>
          <w:rFonts w:ascii="宋体" w:hAnsi="宋体"/>
          <w:color w:val="000000" w:themeColor="text1"/>
          <w:sz w:val="21"/>
          <w:szCs w:val="21"/>
          <w:highlight w:val="none"/>
          <w14:textFill>
            <w14:solidFill>
              <w14:schemeClr w14:val="tx1"/>
            </w14:solidFill>
          </w14:textFill>
        </w:rPr>
        <w:t>其他合同文件包括：</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503817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1.3</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法律 </w:t>
      </w:r>
    </w:p>
    <w:p w14:paraId="33061298">
      <w:pPr>
        <w:autoSpaceDE w:val="0"/>
        <w:autoSpaceDN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适用于合同的其他规范性文件：</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3F1C75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1.4 </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w:t>
      </w:r>
    </w:p>
    <w:p w14:paraId="4CE1CE0A">
      <w:pPr>
        <w:spacing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适用于工程的</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标准包括：</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p>
    <w:p w14:paraId="78F11C3D">
      <w:pPr>
        <w:spacing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1.4.2 </w:t>
      </w:r>
      <w:r>
        <w:rPr>
          <w:rFonts w:hint="eastAsia" w:ascii="宋体" w:hAnsi="宋体"/>
          <w:color w:val="000000" w:themeColor="text1"/>
          <w:sz w:val="21"/>
          <w:szCs w:val="21"/>
          <w:highlight w:val="none"/>
          <w14:textFill>
            <w14:solidFill>
              <w14:schemeClr w14:val="tx1"/>
            </w14:solidFill>
          </w14:textFill>
        </w:rPr>
        <w:t>国外技术标准原文版本和中文译本的提供方：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CC633FB">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提供国外</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标准的名称：</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167AEF6">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提供国外</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标准的份数：</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AD57FB4">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提供国外</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标准的</w:t>
      </w:r>
      <w:r>
        <w:rPr>
          <w:rFonts w:hint="eastAsia" w:ascii="宋体" w:hAnsi="宋体"/>
          <w:color w:val="000000" w:themeColor="text1"/>
          <w:sz w:val="21"/>
          <w:szCs w:val="21"/>
          <w:highlight w:val="none"/>
          <w14:textFill>
            <w14:solidFill>
              <w14:schemeClr w14:val="tx1"/>
            </w14:solidFill>
          </w14:textFill>
        </w:rPr>
        <w:t>时间</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25A0D0A">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提供国外技术标准的费用承担：</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226B575">
      <w:pPr>
        <w:spacing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1.4.3</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发包人对工程的技术标准和功能要求的特殊要求：</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726982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1.5 合同文件的优先顺序</w:t>
      </w:r>
    </w:p>
    <w:p w14:paraId="28CAA58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合同文件组成及优先顺序为：</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w:t>
      </w:r>
    </w:p>
    <w:p w14:paraId="34100C0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1.6 联络</w:t>
      </w:r>
    </w:p>
    <w:p w14:paraId="787EC90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发包人和设计人应当在</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天内将与合同有关的通知、批准、证明、证书、指示、指令、要求、请求、同意、确定和决定等书面函件送达对方当事人</w:t>
      </w:r>
      <w:r>
        <w:rPr>
          <w:rFonts w:hint="eastAsia" w:ascii="宋体" w:hAnsi="宋体"/>
          <w:color w:val="000000" w:themeColor="text1"/>
          <w:sz w:val="21"/>
          <w:szCs w:val="21"/>
          <w:highlight w:val="none"/>
          <w14:textFill>
            <w14:solidFill>
              <w14:schemeClr w14:val="tx1"/>
            </w14:solidFill>
          </w14:textFill>
        </w:rPr>
        <w:t>。</w:t>
      </w:r>
    </w:p>
    <w:p w14:paraId="75E4110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发包人与设计人联系信息</w:t>
      </w:r>
    </w:p>
    <w:p w14:paraId="2E0AAA7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发包人接收文件的地点：</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0174319">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发包人指定的接收人为：</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759E6CF">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发包人指定的联系电话及传真号码：</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2E4C6B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发包人指定的电子邮箱：</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306DE7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人接收文件的地点：</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42C463B">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人指定的接收人为：</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BE3213D">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设计人指定的联系电话及传真号码：</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636A20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设计人指定的电子邮箱：</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E40F923">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 保密</w:t>
      </w:r>
    </w:p>
    <w:p w14:paraId="03B7D03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保密期限：</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44EB7E0">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83" w:name="_Toc32227"/>
      <w:bookmarkStart w:id="784" w:name="_Toc10011"/>
      <w:bookmarkStart w:id="785" w:name="_Toc31959"/>
      <w:r>
        <w:rPr>
          <w:rFonts w:ascii="黑体" w:hAnsi="黑体" w:eastAsia="黑体"/>
          <w:b w:val="0"/>
          <w:color w:val="000000" w:themeColor="text1"/>
          <w:sz w:val="28"/>
          <w:szCs w:val="28"/>
          <w:highlight w:val="none"/>
          <w14:textFill>
            <w14:solidFill>
              <w14:schemeClr w14:val="tx1"/>
            </w14:solidFill>
          </w14:textFill>
        </w:rPr>
        <w:t>2.发包人</w:t>
      </w:r>
      <w:bookmarkEnd w:id="783"/>
      <w:bookmarkEnd w:id="784"/>
      <w:bookmarkEnd w:id="785"/>
    </w:p>
    <w:p w14:paraId="6E98934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 发包人一般义务</w:t>
      </w:r>
    </w:p>
    <w:p w14:paraId="61D4CDE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 发包人其他义务：</w:t>
      </w:r>
    </w:p>
    <w:p w14:paraId="5EB70E8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（1）支付担保</w:t>
      </w:r>
    </w:p>
    <w:p w14:paraId="2D97771F">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发包人是否提供支付担保：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DA9D11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发包人提供支付担保形式：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4142E5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D2BC3B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0DA804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 发</w:t>
      </w:r>
      <w:r>
        <w:rPr>
          <w:rFonts w:hint="eastAsia" w:ascii="宋体" w:hAnsi="宋体"/>
          <w:color w:val="000000" w:themeColor="text1"/>
          <w:sz w:val="21"/>
          <w:szCs w:val="21"/>
          <w:highlight w:val="none"/>
          <w14:textFill>
            <w14:solidFill>
              <w14:schemeClr w14:val="tx1"/>
            </w14:solidFill>
          </w14:textFill>
        </w:rPr>
        <w:t>包人代表</w:t>
      </w:r>
    </w:p>
    <w:p w14:paraId="53BB7DB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发包人代表：</w:t>
      </w:r>
    </w:p>
    <w:p w14:paraId="4129A94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姓    名：</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25A0E7F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身份证号：</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AC33A6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职    务：</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384336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联系电话：</w:t>
      </w:r>
      <w:r>
        <w:rPr>
          <w:rFonts w:ascii="宋体" w:hAnsi="宋体"/>
          <w:color w:val="000000" w:themeColor="text1"/>
          <w:sz w:val="21"/>
          <w:szCs w:val="21"/>
          <w:highlight w:val="none"/>
          <w:u w:val="single"/>
          <w14:textFill>
            <w14:solidFill>
              <w14:schemeClr w14:val="tx1"/>
            </w14:solidFill>
          </w14:textFill>
        </w:rPr>
        <w:t>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3D6257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电子信箱：</w:t>
      </w:r>
      <w:r>
        <w:rPr>
          <w:rFonts w:ascii="宋体" w:hAnsi="宋体"/>
          <w:color w:val="000000" w:themeColor="text1"/>
          <w:sz w:val="21"/>
          <w:szCs w:val="21"/>
          <w:highlight w:val="none"/>
          <w:u w:val="single"/>
          <w14:textFill>
            <w14:solidFill>
              <w14:schemeClr w14:val="tx1"/>
            </w14:solidFill>
          </w14:textFill>
        </w:rPr>
        <w:t>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40751E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通信地址：</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22111702">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发包人对发包人代表的授权范围如下：</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2EAB7B2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发包人更换发包人代表的，应当提前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天书面通知设计人。</w:t>
      </w:r>
    </w:p>
    <w:p w14:paraId="01F58DF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发包人决定</w:t>
      </w:r>
    </w:p>
    <w:p w14:paraId="41E8D86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发包人应在</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天内对设计人书面提出的事项作出书面决定</w:t>
      </w:r>
      <w:r>
        <w:rPr>
          <w:rFonts w:ascii="宋体" w:hAnsi="宋体"/>
          <w:color w:val="000000" w:themeColor="text1"/>
          <w:sz w:val="21"/>
          <w:szCs w:val="21"/>
          <w:highlight w:val="none"/>
          <w14:textFill>
            <w14:solidFill>
              <w14:schemeClr w14:val="tx1"/>
            </w14:solidFill>
          </w14:textFill>
        </w:rPr>
        <w:t>。</w:t>
      </w:r>
    </w:p>
    <w:p w14:paraId="3480066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86" w:name="_Toc3060"/>
      <w:bookmarkStart w:id="787" w:name="_Toc3264"/>
      <w:bookmarkStart w:id="788" w:name="_Toc27536"/>
      <w:r>
        <w:rPr>
          <w:rFonts w:ascii="黑体" w:hAnsi="黑体" w:eastAsia="黑体"/>
          <w:b w:val="0"/>
          <w:color w:val="000000" w:themeColor="text1"/>
          <w:sz w:val="28"/>
          <w:szCs w:val="28"/>
          <w:highlight w:val="none"/>
          <w14:textFill>
            <w14:solidFill>
              <w14:schemeClr w14:val="tx1"/>
            </w14:solidFill>
          </w14:textFill>
        </w:rPr>
        <w:t>3.</w:t>
      </w:r>
      <w:r>
        <w:rPr>
          <w:rFonts w:hint="eastAsia" w:ascii="黑体" w:hAnsi="黑体" w:eastAsia="黑体"/>
          <w:b w:val="0"/>
          <w:color w:val="000000" w:themeColor="text1"/>
          <w:sz w:val="28"/>
          <w:szCs w:val="28"/>
          <w:highlight w:val="none"/>
          <w14:textFill>
            <w14:solidFill>
              <w14:schemeClr w14:val="tx1"/>
            </w14:solidFill>
          </w14:textFill>
        </w:rPr>
        <w:t>设计</w:t>
      </w:r>
      <w:r>
        <w:rPr>
          <w:rFonts w:ascii="黑体" w:hAnsi="黑体" w:eastAsia="黑体"/>
          <w:b w:val="0"/>
          <w:color w:val="000000" w:themeColor="text1"/>
          <w:sz w:val="28"/>
          <w:szCs w:val="28"/>
          <w:highlight w:val="none"/>
          <w14:textFill>
            <w14:solidFill>
              <w14:schemeClr w14:val="tx1"/>
            </w14:solidFill>
          </w14:textFill>
        </w:rPr>
        <w:t>人</w:t>
      </w:r>
      <w:bookmarkEnd w:id="786"/>
      <w:bookmarkEnd w:id="787"/>
      <w:bookmarkEnd w:id="788"/>
    </w:p>
    <w:p w14:paraId="405F07F0">
      <w:pPr>
        <w:pStyle w:val="6"/>
        <w:keepLines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3.1 设计人一般义务</w:t>
      </w:r>
    </w:p>
    <w:p w14:paraId="5190952A">
      <w:pPr>
        <w:keepNext/>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3.1.1 设计人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（需/不需）配合发包人</w:t>
      </w:r>
      <w:r>
        <w:rPr>
          <w:rFonts w:ascii="宋体" w:hAnsi="宋体"/>
          <w:color w:val="000000" w:themeColor="text1"/>
          <w:sz w:val="21"/>
          <w:szCs w:val="21"/>
          <w:highlight w:val="none"/>
          <w14:textFill>
            <w14:solidFill>
              <w14:schemeClr w14:val="tx1"/>
            </w14:solidFill>
          </w14:textFill>
        </w:rPr>
        <w:t>办理</w:t>
      </w:r>
      <w:r>
        <w:rPr>
          <w:rFonts w:hint="eastAsia" w:ascii="宋体" w:hAnsi="宋体"/>
          <w:color w:val="000000" w:themeColor="text1"/>
          <w:sz w:val="21"/>
          <w:szCs w:val="21"/>
          <w:highlight w:val="none"/>
          <w14:textFill>
            <w14:solidFill>
              <w14:schemeClr w14:val="tx1"/>
            </w14:solidFill>
          </w14:textFill>
        </w:rPr>
        <w:t>有关</w:t>
      </w:r>
      <w:r>
        <w:rPr>
          <w:rFonts w:ascii="宋体" w:hAnsi="宋体"/>
          <w:color w:val="000000" w:themeColor="text1"/>
          <w:sz w:val="21"/>
          <w:szCs w:val="21"/>
          <w:highlight w:val="none"/>
          <w14:textFill>
            <w14:solidFill>
              <w14:schemeClr w14:val="tx1"/>
            </w14:solidFill>
          </w14:textFill>
        </w:rPr>
        <w:t>许可、批准或备案</w:t>
      </w:r>
      <w:r>
        <w:rPr>
          <w:rFonts w:hint="eastAsia" w:ascii="宋体" w:hAnsi="宋体"/>
          <w:color w:val="000000" w:themeColor="text1"/>
          <w:sz w:val="21"/>
          <w:szCs w:val="21"/>
          <w:highlight w:val="none"/>
          <w14:textFill>
            <w14:solidFill>
              <w14:schemeClr w14:val="tx1"/>
            </w14:solidFill>
          </w14:textFill>
        </w:rPr>
        <w:t>手续。</w:t>
      </w:r>
    </w:p>
    <w:p w14:paraId="15EC96B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3.1.3 设计人其他义务：</w:t>
      </w:r>
    </w:p>
    <w:p w14:paraId="4671BAD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（1）履约担保</w:t>
      </w:r>
    </w:p>
    <w:p w14:paraId="6648B269">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设计人是否提供履约担保：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E416289">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设计人提供履约担保形式、金额及期限：</w:t>
      </w:r>
      <w:r>
        <w:rPr>
          <w:rFonts w:hint="eastAsia" w:ascii="宋体" w:hAnsi="宋体"/>
          <w:color w:val="000000" w:themeColor="text1"/>
          <w:sz w:val="21"/>
          <w:szCs w:val="21"/>
          <w:highlight w:val="none"/>
          <w:u w:val="single"/>
          <w14:textFill>
            <w14:solidFill>
              <w14:schemeClr w14:val="tx1"/>
            </w14:solidFill>
          </w14:textFill>
        </w:rPr>
        <w:t xml:space="preserve">                                            </w:t>
      </w:r>
    </w:p>
    <w:p w14:paraId="550F38C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463EC4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8D456D5">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3.2 项目负责人</w:t>
      </w:r>
    </w:p>
    <w:p w14:paraId="53F49B8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3.2.1 项目负责人</w:t>
      </w:r>
    </w:p>
    <w:p w14:paraId="2D43544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姓    名：</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6C7C4AB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执业资格</w:t>
      </w:r>
      <w:r>
        <w:rPr>
          <w:rFonts w:hint="eastAsia" w:ascii="宋体" w:hAnsi="宋体"/>
          <w:color w:val="000000" w:themeColor="text1"/>
          <w:sz w:val="21"/>
          <w:szCs w:val="21"/>
          <w:highlight w:val="none"/>
          <w14:textFill>
            <w14:solidFill>
              <w14:schemeClr w14:val="tx1"/>
            </w14:solidFill>
          </w14:textFill>
        </w:rPr>
        <w:t>及</w:t>
      </w:r>
      <w:r>
        <w:rPr>
          <w:rFonts w:ascii="宋体" w:hAnsi="宋体"/>
          <w:color w:val="000000" w:themeColor="text1"/>
          <w:sz w:val="21"/>
          <w:szCs w:val="21"/>
          <w:highlight w:val="none"/>
          <w14:textFill>
            <w14:solidFill>
              <w14:schemeClr w14:val="tx1"/>
            </w14:solidFill>
          </w14:textFill>
        </w:rPr>
        <w:t>等级：</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655C28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注册证书号：</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247F76E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联系电话：</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D2A7B8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电子信箱：</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F836BD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通信地址：</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DB40B3F">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人对项目负责人的授权范围如下：</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E44720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r>
        <w:rPr>
          <w:rFonts w:hint="eastAsia" w:ascii="宋体" w:hAnsi="宋体"/>
          <w:color w:val="000000" w:themeColor="text1"/>
          <w:sz w:val="21"/>
          <w:szCs w:val="21"/>
          <w:highlight w:val="none"/>
          <w14:textFill>
            <w14:solidFill>
              <w14:schemeClr w14:val="tx1"/>
            </w14:solidFill>
          </w14:textFill>
        </w:rPr>
        <w:t>2 设计人更换项目负责人的，应提前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天书面通知发包人。</w:t>
      </w:r>
    </w:p>
    <w:p w14:paraId="1C1B001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人擅自更换项目负责人的违约责任：</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3392164">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3.2.</w:t>
      </w:r>
      <w:r>
        <w:rPr>
          <w:rFonts w:hint="eastAsia" w:ascii="宋体" w:hAnsi="宋体"/>
          <w:color w:val="000000" w:themeColor="text1"/>
          <w:sz w:val="21"/>
          <w:szCs w:val="21"/>
          <w:highlight w:val="none"/>
          <w14:textFill>
            <w14:solidFill>
              <w14:schemeClr w14:val="tx1"/>
            </w14:solidFill>
          </w14:textFill>
        </w:rPr>
        <w:t>3 设计人应在收到书面更换通知后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天内更换项目负责人。</w:t>
      </w:r>
    </w:p>
    <w:p w14:paraId="0C6669C5">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人无正当理由拒绝更换</w:t>
      </w:r>
      <w:r>
        <w:rPr>
          <w:rFonts w:hint="eastAsia" w:ascii="宋体" w:hAnsi="宋体"/>
          <w:color w:val="000000" w:themeColor="text1"/>
          <w:sz w:val="21"/>
          <w:szCs w:val="21"/>
          <w:highlight w:val="none"/>
          <w14:textFill>
            <w14:solidFill>
              <w14:schemeClr w14:val="tx1"/>
            </w14:solidFill>
          </w14:textFill>
        </w:rPr>
        <w:t>项目负责人</w:t>
      </w:r>
      <w:r>
        <w:rPr>
          <w:rFonts w:ascii="宋体" w:hAnsi="宋体"/>
          <w:color w:val="000000" w:themeColor="text1"/>
          <w:sz w:val="21"/>
          <w:szCs w:val="21"/>
          <w:highlight w:val="none"/>
          <w14:textFill>
            <w14:solidFill>
              <w14:schemeClr w14:val="tx1"/>
            </w14:solidFill>
          </w14:textFill>
        </w:rPr>
        <w:t>的违约责任：</w:t>
      </w:r>
      <w:r>
        <w:rPr>
          <w:rFonts w:hint="eastAsia" w:ascii="宋体" w:hAnsi="宋体"/>
          <w:color w:val="000000" w:themeColor="text1"/>
          <w:sz w:val="21"/>
          <w:szCs w:val="21"/>
          <w:highlight w:val="none"/>
          <w:u w:val="single"/>
          <w14:textFill>
            <w14:solidFill>
              <w14:schemeClr w14:val="tx1"/>
            </w14:solidFill>
          </w14:textFill>
        </w:rPr>
        <w:t xml:space="preserve">                                   </w:t>
      </w:r>
    </w:p>
    <w:p w14:paraId="37BB224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C28DB69">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3.3 </w:t>
      </w:r>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人人员</w:t>
      </w:r>
    </w:p>
    <w:p w14:paraId="2CBF72C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3.3.1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人提交项目管理机构及人员安排报告的期限</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2B2421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3.3.3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人无正当理由拒绝撤换主要</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人员的违约责任：</w:t>
      </w:r>
      <w:r>
        <w:rPr>
          <w:rFonts w:hint="eastAsia" w:ascii="宋体" w:hAnsi="宋体"/>
          <w:color w:val="000000" w:themeColor="text1"/>
          <w:sz w:val="21"/>
          <w:szCs w:val="21"/>
          <w:highlight w:val="none"/>
          <w:u w:val="single"/>
          <w14:textFill>
            <w14:solidFill>
              <w14:schemeClr w14:val="tx1"/>
            </w14:solidFill>
          </w14:textFill>
        </w:rPr>
        <w:t xml:space="preserve">                           </w:t>
      </w:r>
    </w:p>
    <w:p w14:paraId="01AE277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CF9AD3B">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4</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设计</w:t>
      </w:r>
      <w:r>
        <w:rPr>
          <w:rFonts w:ascii="宋体" w:hAnsi="宋体"/>
          <w:b w:val="0"/>
          <w:color w:val="000000" w:themeColor="text1"/>
          <w:sz w:val="21"/>
          <w:szCs w:val="21"/>
          <w:highlight w:val="none"/>
          <w14:textFill>
            <w14:solidFill>
              <w14:schemeClr w14:val="tx1"/>
            </w14:solidFill>
          </w14:textFill>
        </w:rPr>
        <w:t>分包</w:t>
      </w:r>
    </w:p>
    <w:p w14:paraId="6540209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分包的一般约定</w:t>
      </w:r>
    </w:p>
    <w:p w14:paraId="4C2E022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禁止</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分包的工程包括：</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387FFC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主体结构、关键性工作的范围：</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8563C92">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分包的确定</w:t>
      </w:r>
    </w:p>
    <w:p w14:paraId="3895554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允许分包的专业工程包括：</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2A3F0C3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其他关于分包的约定：</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D3694D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3.4.3 设计人向发包人提交有关分包人资料包括：</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9E044E8">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3.4.4 分包工程设计费支付方式：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99E1917">
      <w:pPr>
        <w:pStyle w:val="6"/>
        <w:keepNext w:val="0"/>
        <w:keepLines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联合体</w:t>
      </w:r>
    </w:p>
    <w:p w14:paraId="0A8D2F0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3.5.4 发包人向联合体支付设计费用的方式：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D59CA1B">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89" w:name="_Toc25198"/>
      <w:bookmarkStart w:id="790" w:name="_Toc6741"/>
      <w:bookmarkStart w:id="791" w:name="_Toc12347"/>
      <w:r>
        <w:rPr>
          <w:rFonts w:hint="eastAsia" w:ascii="黑体" w:hAnsi="黑体" w:eastAsia="黑体"/>
          <w:b w:val="0"/>
          <w:color w:val="000000" w:themeColor="text1"/>
          <w:sz w:val="28"/>
          <w:szCs w:val="28"/>
          <w:highlight w:val="none"/>
          <w14:textFill>
            <w14:solidFill>
              <w14:schemeClr w14:val="tx1"/>
            </w14:solidFill>
          </w14:textFill>
        </w:rPr>
        <w:t>5</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工程设计要求</w:t>
      </w:r>
      <w:bookmarkEnd w:id="789"/>
      <w:bookmarkEnd w:id="790"/>
      <w:bookmarkEnd w:id="791"/>
    </w:p>
    <w:p w14:paraId="75C536F6">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.1</w:t>
      </w:r>
      <w:r>
        <w:rPr>
          <w:rFonts w:hint="eastAsia" w:ascii="宋体" w:hAnsi="宋体"/>
          <w:b w:val="0"/>
          <w:color w:val="000000" w:themeColor="text1"/>
          <w:sz w:val="21"/>
          <w:szCs w:val="21"/>
          <w:highlight w:val="none"/>
          <w14:textFill>
            <w14:solidFill>
              <w14:schemeClr w14:val="tx1"/>
            </w14:solidFill>
          </w14:textFill>
        </w:rPr>
        <w:t xml:space="preserve"> 工程设计一般要求</w:t>
      </w:r>
    </w:p>
    <w:p w14:paraId="5BE1E08C">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2.1</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工程设计的特殊标准或要求</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6493A9B">
      <w:pPr>
        <w:spacing w:line="360" w:lineRule="auto"/>
        <w:ind w:firstLine="441" w:firstLineChars="21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5.1.2.2 工程设计适用的技术标准：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1AADFD4">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5.1.2.4工程设计文件的主要技术指标控制值及比例：</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3EF4DDE6">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3 工程设计文件的要求</w:t>
      </w:r>
    </w:p>
    <w:p w14:paraId="2ACB7A8B">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5.3.3 工程设计文件深度规定：</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069499E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5.3.5建筑物及其功能设施的合理使用寿命年限</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28583C2F">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92" w:name="_Toc19933"/>
      <w:bookmarkStart w:id="793" w:name="_Toc9256"/>
      <w:bookmarkStart w:id="794" w:name="_Toc12627"/>
      <w:r>
        <w:rPr>
          <w:rFonts w:hint="eastAsia" w:ascii="黑体" w:hAnsi="黑体" w:eastAsia="黑体"/>
          <w:b w:val="0"/>
          <w:color w:val="000000" w:themeColor="text1"/>
          <w:sz w:val="28"/>
          <w:szCs w:val="28"/>
          <w:highlight w:val="none"/>
          <w14:textFill>
            <w14:solidFill>
              <w14:schemeClr w14:val="tx1"/>
            </w14:solidFill>
          </w14:textFill>
        </w:rPr>
        <w:t>6</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w:t>
      </w:r>
      <w:r>
        <w:rPr>
          <w:rFonts w:ascii="黑体" w:hAnsi="黑体" w:eastAsia="黑体"/>
          <w:b w:val="0"/>
          <w:color w:val="000000" w:themeColor="text1"/>
          <w:sz w:val="28"/>
          <w:szCs w:val="28"/>
          <w:highlight w:val="none"/>
          <w14:textFill>
            <w14:solidFill>
              <w14:schemeClr w14:val="tx1"/>
            </w14:solidFill>
          </w14:textFill>
        </w:rPr>
        <w:t>进度</w:t>
      </w:r>
      <w:r>
        <w:rPr>
          <w:rFonts w:hint="eastAsia" w:ascii="黑体" w:hAnsi="黑体" w:eastAsia="黑体"/>
          <w:b w:val="0"/>
          <w:color w:val="000000" w:themeColor="text1"/>
          <w:sz w:val="28"/>
          <w:szCs w:val="28"/>
          <w:highlight w:val="none"/>
          <w14:textFill>
            <w14:solidFill>
              <w14:schemeClr w14:val="tx1"/>
            </w14:solidFill>
          </w14:textFill>
        </w:rPr>
        <w:t>与周期</w:t>
      </w:r>
      <w:bookmarkEnd w:id="792"/>
      <w:bookmarkEnd w:id="793"/>
      <w:bookmarkEnd w:id="794"/>
    </w:p>
    <w:p w14:paraId="11D81164">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6</w:t>
      </w:r>
      <w:r>
        <w:rPr>
          <w:rFonts w:ascii="宋体" w:hAnsi="宋体"/>
          <w:b w:val="0"/>
          <w:color w:val="000000" w:themeColor="text1"/>
          <w:sz w:val="21"/>
          <w:szCs w:val="21"/>
          <w:highlight w:val="none"/>
          <w14:textFill>
            <w14:solidFill>
              <w14:schemeClr w14:val="tx1"/>
            </w14:solidFill>
          </w14:textFill>
        </w:rPr>
        <w:t xml:space="preserve">.1 </w:t>
      </w:r>
      <w:r>
        <w:rPr>
          <w:rFonts w:hint="eastAsia" w:ascii="宋体" w:hAnsi="宋体"/>
          <w:b w:val="0"/>
          <w:color w:val="000000" w:themeColor="text1"/>
          <w:sz w:val="21"/>
          <w:szCs w:val="21"/>
          <w:highlight w:val="none"/>
          <w14:textFill>
            <w14:solidFill>
              <w14:schemeClr w14:val="tx1"/>
            </w14:solidFill>
          </w14:textFill>
        </w:rPr>
        <w:t>工程设计进度计划</w:t>
      </w:r>
    </w:p>
    <w:p w14:paraId="32A9ECE1">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1 工程设计进度计划的编制</w:t>
      </w:r>
    </w:p>
    <w:p w14:paraId="7EA09FE0">
      <w:pPr>
        <w:autoSpaceDE w:val="0"/>
        <w:autoSpaceDN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合同当事人约定的工程设计进度计划提交的时间：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B719E0B">
      <w:pPr>
        <w:autoSpaceDE w:val="0"/>
        <w:autoSpaceDN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合同当事人约定的工程设计进度计划应包括的内容</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E4FC10E">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.1.2 </w:t>
      </w:r>
      <w:r>
        <w:rPr>
          <w:rFonts w:hint="eastAsia" w:ascii="宋体" w:hAnsi="宋体"/>
          <w:color w:val="000000" w:themeColor="text1"/>
          <w:sz w:val="21"/>
          <w:szCs w:val="21"/>
          <w:highlight w:val="none"/>
          <w14:textFill>
            <w14:solidFill>
              <w14:schemeClr w14:val="tx1"/>
            </w14:solidFill>
          </w14:textFill>
        </w:rPr>
        <w:t>工程设计进度计划的修订</w:t>
      </w:r>
    </w:p>
    <w:p w14:paraId="5DE8576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发包人在收到</w:t>
      </w:r>
      <w:r>
        <w:rPr>
          <w:rFonts w:hint="eastAsia" w:ascii="宋体" w:hAnsi="宋体"/>
          <w:color w:val="000000" w:themeColor="text1"/>
          <w:sz w:val="21"/>
          <w:szCs w:val="21"/>
          <w:highlight w:val="none"/>
          <w14:textFill>
            <w14:solidFill>
              <w14:schemeClr w14:val="tx1"/>
            </w14:solidFill>
          </w14:textFill>
        </w:rPr>
        <w:t>工程设计进度计划</w:t>
      </w:r>
      <w:r>
        <w:rPr>
          <w:rFonts w:ascii="宋体" w:hAnsi="宋体"/>
          <w:color w:val="000000" w:themeColor="text1"/>
          <w:sz w:val="21"/>
          <w:szCs w:val="21"/>
          <w:highlight w:val="none"/>
          <w14:textFill>
            <w14:solidFill>
              <w14:schemeClr w14:val="tx1"/>
            </w14:solidFill>
          </w14:textFill>
        </w:rPr>
        <w:t>后确认或提出修改意见的限：</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45C5543">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6</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工程设计进度</w:t>
      </w:r>
      <w:r>
        <w:rPr>
          <w:rFonts w:ascii="宋体" w:hAnsi="宋体"/>
          <w:b w:val="0"/>
          <w:color w:val="000000" w:themeColor="text1"/>
          <w:sz w:val="21"/>
          <w:szCs w:val="21"/>
          <w:highlight w:val="none"/>
          <w14:textFill>
            <w14:solidFill>
              <w14:schemeClr w14:val="tx1"/>
            </w14:solidFill>
          </w14:textFill>
        </w:rPr>
        <w:t>延误</w:t>
      </w:r>
    </w:p>
    <w:p w14:paraId="0B082BC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因发包人原因导致</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w:t>
      </w:r>
    </w:p>
    <w:p w14:paraId="4114791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）因发包人原因导致</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延误的其他情形：</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5FD595C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7FE384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设计人应在发生</w:t>
      </w:r>
      <w:r>
        <w:rPr>
          <w:rFonts w:hint="eastAsia" w:ascii="宋体" w:hAnsi="宋体"/>
          <w:color w:val="000000" w:themeColor="text1"/>
          <w:sz w:val="21"/>
          <w:szCs w:val="21"/>
          <w:highlight w:val="none"/>
          <w14:textFill>
            <w14:solidFill>
              <w14:schemeClr w14:val="tx1"/>
            </w14:solidFill>
          </w14:textFill>
        </w:rPr>
        <w:t>进度延误的情形</w:t>
      </w:r>
      <w:r>
        <w:rPr>
          <w:rFonts w:ascii="宋体" w:hAnsi="宋体"/>
          <w:color w:val="000000" w:themeColor="text1"/>
          <w:sz w:val="21"/>
          <w:szCs w:val="21"/>
          <w:highlight w:val="none"/>
          <w14:textFill>
            <w14:solidFill>
              <w14:schemeClr w14:val="tx1"/>
            </w14:solidFill>
          </w14:textFill>
        </w:rPr>
        <w:t>后</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天内向发包人发出要求延期的书面通知，在</w:t>
      </w:r>
      <w:r>
        <w:rPr>
          <w:rFonts w:hint="eastAsia" w:ascii="宋体" w:hAnsi="宋体"/>
          <w:color w:val="000000" w:themeColor="text1"/>
          <w:sz w:val="21"/>
          <w:szCs w:val="21"/>
          <w:highlight w:val="none"/>
          <w14:textFill>
            <w14:solidFill>
              <w14:schemeClr w14:val="tx1"/>
            </w14:solidFill>
          </w14:textFill>
        </w:rPr>
        <w:t>发生该情形</w:t>
      </w:r>
      <w:r>
        <w:rPr>
          <w:rFonts w:ascii="宋体" w:hAnsi="宋体"/>
          <w:color w:val="000000" w:themeColor="text1"/>
          <w:sz w:val="21"/>
          <w:szCs w:val="21"/>
          <w:highlight w:val="none"/>
          <w14:textFill>
            <w14:solidFill>
              <w14:schemeClr w14:val="tx1"/>
            </w14:solidFill>
          </w14:textFill>
        </w:rPr>
        <w:t>后</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天内提交要求延期的详细说明。</w:t>
      </w:r>
    </w:p>
    <w:p w14:paraId="71D41C2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发包人收到设计人要求延期的详细说明后，应在</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天内进行审查并书面答复。</w:t>
      </w:r>
    </w:p>
    <w:p w14:paraId="22D245F4">
      <w:pPr>
        <w:pStyle w:val="6"/>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6</w:t>
      </w:r>
      <w:r>
        <w:rPr>
          <w:rFonts w:ascii="宋体" w:hAnsi="宋体"/>
          <w:b w:val="0"/>
          <w:color w:val="000000" w:themeColor="text1"/>
          <w:sz w:val="21"/>
          <w:szCs w:val="21"/>
          <w:highlight w:val="none"/>
          <w14:textFill>
            <w14:solidFill>
              <w14:schemeClr w14:val="tx1"/>
            </w14:solidFill>
          </w14:textFill>
        </w:rPr>
        <w:t>.</w:t>
      </w:r>
      <w:r>
        <w:rPr>
          <w:rFonts w:hint="eastAsia" w:ascii="宋体" w:hAnsi="宋体"/>
          <w:b w:val="0"/>
          <w:color w:val="000000" w:themeColor="text1"/>
          <w:sz w:val="21"/>
          <w:szCs w:val="21"/>
          <w:highlight w:val="none"/>
          <w14:textFill>
            <w14:solidFill>
              <w14:schemeClr w14:val="tx1"/>
            </w14:solidFill>
          </w14:textFill>
        </w:rPr>
        <w:t>5</w:t>
      </w:r>
      <w:r>
        <w:rPr>
          <w:rFonts w:ascii="宋体" w:hAnsi="宋体"/>
          <w:b w:val="0"/>
          <w:color w:val="000000" w:themeColor="text1"/>
          <w:sz w:val="21"/>
          <w:szCs w:val="21"/>
          <w:highlight w:val="none"/>
          <w14:textFill>
            <w14:solidFill>
              <w14:schemeClr w14:val="tx1"/>
            </w14:solidFill>
          </w14:textFill>
        </w:rPr>
        <w:t xml:space="preserve"> 提前</w:t>
      </w:r>
      <w:r>
        <w:rPr>
          <w:rFonts w:hint="eastAsia" w:ascii="宋体" w:hAnsi="宋体"/>
          <w:b w:val="0"/>
          <w:color w:val="000000" w:themeColor="text1"/>
          <w:sz w:val="21"/>
          <w:szCs w:val="21"/>
          <w:highlight w:val="none"/>
          <w14:textFill>
            <w14:solidFill>
              <w14:schemeClr w14:val="tx1"/>
            </w14:solidFill>
          </w14:textFill>
        </w:rPr>
        <w:t>交付工程设计文件</w:t>
      </w:r>
    </w:p>
    <w:p w14:paraId="3D279B9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的奖励：</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377312D">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95" w:name="_Toc16829"/>
      <w:bookmarkStart w:id="796" w:name="_Toc1324"/>
      <w:bookmarkStart w:id="797" w:name="_Toc31712"/>
      <w:r>
        <w:rPr>
          <w:rFonts w:hint="eastAsia" w:ascii="黑体" w:hAnsi="黑体" w:eastAsia="黑体"/>
          <w:b w:val="0"/>
          <w:color w:val="000000" w:themeColor="text1"/>
          <w:sz w:val="28"/>
          <w:szCs w:val="28"/>
          <w:highlight w:val="none"/>
          <w14:textFill>
            <w14:solidFill>
              <w14:schemeClr w14:val="tx1"/>
            </w14:solidFill>
          </w14:textFill>
        </w:rPr>
        <w:t>7</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工程设计文件交付</w:t>
      </w:r>
      <w:bookmarkEnd w:id="795"/>
      <w:bookmarkEnd w:id="796"/>
      <w:bookmarkEnd w:id="797"/>
    </w:p>
    <w:p w14:paraId="77CB941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工程设计文件交付的内容</w:t>
      </w:r>
    </w:p>
    <w:p w14:paraId="3FBE562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7.1.2 发包人要求设计人提交电子版设计文件的具体形式为：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430B53CB">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98" w:name="_Toc24537"/>
      <w:bookmarkStart w:id="799" w:name="_Toc32644"/>
      <w:bookmarkStart w:id="800" w:name="_Toc16749"/>
      <w:r>
        <w:rPr>
          <w:rFonts w:hint="eastAsia" w:ascii="黑体" w:hAnsi="黑体" w:eastAsia="黑体"/>
          <w:b w:val="0"/>
          <w:color w:val="000000" w:themeColor="text1"/>
          <w:sz w:val="28"/>
          <w:szCs w:val="28"/>
          <w:highlight w:val="none"/>
          <w14:textFill>
            <w14:solidFill>
              <w14:schemeClr w14:val="tx1"/>
            </w14:solidFill>
          </w14:textFill>
        </w:rPr>
        <w:t>8</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工程设计文件审查</w:t>
      </w:r>
      <w:bookmarkEnd w:id="798"/>
      <w:bookmarkEnd w:id="799"/>
      <w:bookmarkEnd w:id="800"/>
    </w:p>
    <w:p w14:paraId="2251933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 发包人对设计人的设计文件审查期限不超过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w:t>
      </w:r>
    </w:p>
    <w:p w14:paraId="6022001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8.3 发包人应在审查同意设计人的工程设计文件后在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天内，向政府有关部门报送工程设计文件。</w:t>
      </w:r>
    </w:p>
    <w:p w14:paraId="749DD9FF">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8.4 工程设计审查形式及时间安排：</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AA224B1">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01" w:name="_Toc27532"/>
      <w:bookmarkStart w:id="802" w:name="_Toc17844"/>
      <w:bookmarkStart w:id="803" w:name="_Toc5400"/>
      <w:r>
        <w:rPr>
          <w:rFonts w:hint="eastAsia" w:ascii="黑体" w:hAnsi="黑体" w:eastAsia="黑体"/>
          <w:b w:val="0"/>
          <w:color w:val="000000" w:themeColor="text1"/>
          <w:sz w:val="28"/>
          <w:szCs w:val="28"/>
          <w:highlight w:val="none"/>
          <w14:textFill>
            <w14:solidFill>
              <w14:schemeClr w14:val="tx1"/>
            </w14:solidFill>
          </w14:textFill>
        </w:rPr>
        <w:t>9</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施工现场配合服务</w:t>
      </w:r>
      <w:bookmarkEnd w:id="801"/>
      <w:bookmarkEnd w:id="802"/>
      <w:bookmarkEnd w:id="803"/>
    </w:p>
    <w:p w14:paraId="390D6ED0">
      <w:pPr>
        <w:spacing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 发包人为设计人派赴现场的工作人员提供便利条件的内容包括：</w:t>
      </w:r>
      <w:r>
        <w:rPr>
          <w:rFonts w:hint="eastAsia" w:ascii="宋体" w:hAnsi="宋体"/>
          <w:color w:val="000000" w:themeColor="text1"/>
          <w:sz w:val="21"/>
          <w:szCs w:val="21"/>
          <w:highlight w:val="none"/>
          <w:u w:val="single"/>
          <w14:textFill>
            <w14:solidFill>
              <w14:schemeClr w14:val="tx1"/>
            </w14:solidFill>
          </w14:textFill>
        </w:rPr>
        <w:t xml:space="preserve">                      </w:t>
      </w:r>
    </w:p>
    <w:p w14:paraId="4744A1B1">
      <w:pPr>
        <w:spacing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3F67D6C">
      <w:pPr>
        <w:spacing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9.2 设计人应当在交付施工图设计文件并经审查合格后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时间内提供施工现场配合服务。</w:t>
      </w:r>
    </w:p>
    <w:p w14:paraId="2218B4F1">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04" w:name="_Toc15494"/>
      <w:bookmarkStart w:id="805" w:name="_Toc12622"/>
      <w:bookmarkStart w:id="806" w:name="_Toc2926"/>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0</w:t>
      </w:r>
      <w:r>
        <w:rPr>
          <w:rFonts w:ascii="黑体" w:hAnsi="黑体" w:eastAsia="黑体"/>
          <w:b w:val="0"/>
          <w:color w:val="000000" w:themeColor="text1"/>
          <w:sz w:val="28"/>
          <w:szCs w:val="28"/>
          <w:highlight w:val="none"/>
          <w14:textFill>
            <w14:solidFill>
              <w14:schemeClr w14:val="tx1"/>
            </w14:solidFill>
          </w14:textFill>
        </w:rPr>
        <w:t>.合同价</w:t>
      </w:r>
      <w:r>
        <w:rPr>
          <w:rFonts w:hint="eastAsia" w:ascii="黑体" w:hAnsi="黑体" w:eastAsia="黑体"/>
          <w:b w:val="0"/>
          <w:color w:val="000000" w:themeColor="text1"/>
          <w:sz w:val="28"/>
          <w:szCs w:val="28"/>
          <w:highlight w:val="none"/>
          <w14:textFill>
            <w14:solidFill>
              <w14:schemeClr w14:val="tx1"/>
            </w14:solidFill>
          </w14:textFill>
        </w:rPr>
        <w:t>款</w:t>
      </w:r>
      <w:r>
        <w:rPr>
          <w:rFonts w:ascii="黑体" w:hAnsi="黑体" w:eastAsia="黑体"/>
          <w:b w:val="0"/>
          <w:color w:val="000000" w:themeColor="text1"/>
          <w:sz w:val="28"/>
          <w:szCs w:val="28"/>
          <w:highlight w:val="none"/>
          <w14:textFill>
            <w14:solidFill>
              <w14:schemeClr w14:val="tx1"/>
            </w14:solidFill>
          </w14:textFill>
        </w:rPr>
        <w:t>与支付</w:t>
      </w:r>
      <w:bookmarkEnd w:id="804"/>
      <w:bookmarkEnd w:id="805"/>
      <w:bookmarkEnd w:id="806"/>
    </w:p>
    <w:p w14:paraId="57192D07">
      <w:pPr>
        <w:pStyle w:val="6"/>
        <w:keepNext w:val="0"/>
        <w:keepLines w:val="0"/>
        <w:autoSpaceDE w:val="0"/>
        <w:autoSpaceDN w:val="0"/>
        <w:spacing w:before="0" w:after="0" w:line="360" w:lineRule="auto"/>
        <w:ind w:firstLine="424" w:firstLineChars="202"/>
        <w:jc w:val="left"/>
        <w:rPr>
          <w:rFonts w:ascii="宋体" w:hAnsi="宋体" w:cstheme="majorBidi"/>
          <w:b w:val="0"/>
          <w:color w:val="000000" w:themeColor="text1"/>
          <w:sz w:val="21"/>
          <w:szCs w:val="21"/>
          <w:highlight w:val="none"/>
          <w14:textFill>
            <w14:solidFill>
              <w14:schemeClr w14:val="tx1"/>
            </w14:solidFill>
          </w14:textFill>
        </w:rPr>
      </w:pPr>
      <w:r>
        <w:rPr>
          <w:rFonts w:hint="eastAsia" w:ascii="宋体" w:hAnsi="宋体" w:cstheme="majorBidi"/>
          <w:b w:val="0"/>
          <w:color w:val="000000" w:themeColor="text1"/>
          <w:sz w:val="21"/>
          <w:szCs w:val="21"/>
          <w:highlight w:val="none"/>
          <w14:textFill>
            <w14:solidFill>
              <w14:schemeClr w14:val="tx1"/>
            </w14:solidFill>
          </w14:textFill>
        </w:rPr>
        <w:t>10.1 合同价款组成</w:t>
      </w:r>
    </w:p>
    <w:p w14:paraId="5C7BC19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theme="majorBidi"/>
          <w:bCs/>
          <w:color w:val="000000" w:themeColor="text1"/>
          <w:sz w:val="21"/>
          <w:szCs w:val="21"/>
          <w:highlight w:val="none"/>
          <w14:textFill>
            <w14:solidFill>
              <w14:schemeClr w14:val="tx1"/>
            </w14:solidFill>
          </w14:textFill>
        </w:rPr>
        <w:t>10.1.1勘察</w:t>
      </w:r>
      <w:r>
        <w:rPr>
          <w:rFonts w:hint="eastAsia" w:ascii="宋体" w:hAnsi="宋体"/>
          <w:color w:val="000000" w:themeColor="text1"/>
          <w:sz w:val="21"/>
          <w:szCs w:val="21"/>
          <w:highlight w:val="none"/>
          <w14:textFill>
            <w14:solidFill>
              <w14:schemeClr w14:val="tx1"/>
            </w14:solidFill>
          </w14:textFill>
        </w:rPr>
        <w:t>设计费总额：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355698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10.1.2设计费总额构成：</w:t>
      </w:r>
    </w:p>
    <w:p w14:paraId="33EE45F4">
      <w:pPr>
        <w:spacing w:line="360" w:lineRule="auto"/>
        <w:ind w:firstLine="54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（1）工程设计基本服务费用：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ECF2F6F">
      <w:pPr>
        <w:spacing w:line="360" w:lineRule="auto"/>
        <w:ind w:firstLine="54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（2）工程设计其他服务费用：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7AE05C1">
      <w:pPr>
        <w:spacing w:line="360" w:lineRule="auto"/>
        <w:ind w:firstLine="54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（3）合同签订前设计人已完成工作的费用：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73BF288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10.1.3勘察费总额构成：</w:t>
      </w:r>
    </w:p>
    <w:p w14:paraId="7C9C82D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（1）岩土工程勘察费用：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4FB27C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（2）岩土工程设计费用：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E77B87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（3）岩土工程物探测试检测监测费用：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D0424B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（4）水文地质勘察费用：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15D36C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（5）工程测量费用：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A56499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0</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合同价格形式</w:t>
      </w:r>
    </w:p>
    <w:p w14:paraId="7D26D80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单价合同</w:t>
      </w:r>
    </w:p>
    <w:p w14:paraId="2C548663">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单价包含的风险范围：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4EFF03A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360D9EA">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风险费用的计算方法：</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4C7C51E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17032D2">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风险范围以外合同价格的调整方法：</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2EAE39B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3BF45B8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总价合同</w:t>
      </w:r>
    </w:p>
    <w:p w14:paraId="69123A96">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总价包含的风险范围：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5AC5C87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CDD37B1">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风险费用的计算方法：</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208B5CA9">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050B517D">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风险范围以外合同价格的调整方法：</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6F4BBF0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ED9D913">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其他价格</w:t>
      </w:r>
      <w:r>
        <w:rPr>
          <w:rFonts w:hint="eastAsia" w:ascii="宋体" w:hAnsi="宋体"/>
          <w:color w:val="000000" w:themeColor="text1"/>
          <w:sz w:val="21"/>
          <w:szCs w:val="21"/>
          <w:highlight w:val="none"/>
          <w14:textFill>
            <w14:solidFill>
              <w14:schemeClr w14:val="tx1"/>
            </w14:solidFill>
          </w14:textFill>
        </w:rPr>
        <w:t>形</w:t>
      </w:r>
      <w:r>
        <w:rPr>
          <w:rFonts w:ascii="宋体" w:hAnsi="宋体"/>
          <w:color w:val="000000" w:themeColor="text1"/>
          <w:sz w:val="21"/>
          <w:szCs w:val="21"/>
          <w:highlight w:val="none"/>
          <w14:textFill>
            <w14:solidFill>
              <w14:schemeClr w14:val="tx1"/>
            </w14:solidFill>
          </w14:textFill>
        </w:rPr>
        <w:t>式：</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1F1D38B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00D9218A">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10.3 定金或预付款</w:t>
      </w:r>
    </w:p>
    <w:p w14:paraId="50F5911C">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10.3.1 定金或预付款的比例</w:t>
      </w:r>
    </w:p>
    <w:p w14:paraId="3251342D">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定金的比例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或预付款的比例</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90D2CB2">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10.3.2 定金或预付款的支付</w:t>
      </w:r>
    </w:p>
    <w:p w14:paraId="0E592CA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定金或预付款的支付时间：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，但最</w:t>
      </w:r>
      <w:r>
        <w:rPr>
          <w:rFonts w:ascii="宋体" w:hAnsi="宋体"/>
          <w:color w:val="000000" w:themeColor="text1"/>
          <w:sz w:val="21"/>
          <w:szCs w:val="21"/>
          <w:highlight w:val="none"/>
          <w14:textFill>
            <w14:solidFill>
              <w14:schemeClr w14:val="tx1"/>
            </w14:solidFill>
          </w14:textFill>
        </w:rPr>
        <w:t>迟应在</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通知载明的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天前支付</w:t>
      </w:r>
      <w:r>
        <w:rPr>
          <w:rFonts w:hint="eastAsia" w:ascii="宋体" w:hAnsi="宋体"/>
          <w:color w:val="000000" w:themeColor="text1"/>
          <w:sz w:val="21"/>
          <w:szCs w:val="21"/>
          <w:highlight w:val="none"/>
          <w14:textFill>
            <w14:solidFill>
              <w14:schemeClr w14:val="tx1"/>
            </w14:solidFill>
          </w14:textFill>
        </w:rPr>
        <w:t>。</w:t>
      </w:r>
    </w:p>
    <w:p w14:paraId="153182A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10.4.1进度款支付</w:t>
      </w:r>
    </w:p>
    <w:p w14:paraId="0875816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10.4.1.1设计费用的支付</w:t>
      </w:r>
    </w:p>
    <w:p w14:paraId="04896B11">
      <w:pPr>
        <w:spacing w:line="360" w:lineRule="auto"/>
        <w:ind w:firstLine="392" w:firstLineChars="18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（1）支付方式：</w:t>
      </w:r>
      <w:r>
        <w:rPr>
          <w:rFonts w:hint="eastAsia" w:ascii="宋体" w:hAnsi="宋体"/>
          <w:color w:val="000000" w:themeColor="text1"/>
          <w:sz w:val="21"/>
          <w:szCs w:val="21"/>
          <w:highlight w:val="none"/>
          <w:u w:val="single"/>
          <w14:textFill>
            <w14:solidFill>
              <w14:schemeClr w14:val="tx1"/>
            </w14:solidFill>
          </w14:textFill>
        </w:rPr>
        <w:t xml:space="preserve">                                                                          </w:t>
      </w:r>
    </w:p>
    <w:p w14:paraId="46F569FD">
      <w:pPr>
        <w:spacing w:line="360" w:lineRule="auto"/>
        <w:ind w:firstLine="392" w:firstLineChars="187"/>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8E8A05C">
      <w:pPr>
        <w:spacing w:line="360" w:lineRule="auto"/>
        <w:ind w:firstLine="392" w:firstLineChars="187"/>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（2）支付条件和时间</w:t>
      </w:r>
      <w:r>
        <w:rPr>
          <w:rStyle w:val="49"/>
          <w:rFonts w:hint="eastAsia" w:ascii="宋体" w:hAnsi="宋体"/>
          <w:color w:val="000000" w:themeColor="text1"/>
          <w:sz w:val="21"/>
          <w:szCs w:val="21"/>
          <w:highlight w:val="none"/>
          <w14:textFill>
            <w14:solidFill>
              <w14:schemeClr w14:val="tx1"/>
            </w14:solidFill>
          </w14:textFill>
        </w:rPr>
        <w:footnoteReference w:id="62"/>
      </w:r>
      <w:r>
        <w:rPr>
          <w:rFonts w:hint="eastAsia" w:ascii="宋体" w:hAnsi="宋体"/>
          <w:color w:val="000000" w:themeColor="text1"/>
          <w:sz w:val="21"/>
          <w:szCs w:val="21"/>
          <w:highlight w:val="none"/>
          <w14:textFill>
            <w14:solidFill>
              <w14:schemeClr w14:val="tx1"/>
            </w14:solidFill>
          </w14:textFill>
        </w:rPr>
        <w:t>：</w:t>
      </w:r>
    </w:p>
    <w:p w14:paraId="138412A6">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①</w:t>
      </w:r>
      <w:r>
        <w:rPr>
          <w:rFonts w:hint="eastAsia" w:ascii="宋体" w:hAnsi="宋体" w:cs="瀹嬩綋"/>
          <w:i/>
          <w:iCs/>
          <w:color w:val="000000" w:themeColor="text1"/>
          <w:sz w:val="21"/>
          <w:szCs w:val="21"/>
          <w:highlight w:val="none"/>
          <w:u w:val="single"/>
          <w14:textFill>
            <w14:solidFill>
              <w14:schemeClr w14:val="tx1"/>
            </w14:solidFill>
          </w14:textFill>
        </w:rPr>
        <w:t>定金或预付款见10.3款；</w:t>
      </w:r>
    </w:p>
    <w:p w14:paraId="11462407">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②</w:t>
      </w:r>
      <w:r>
        <w:rPr>
          <w:rFonts w:hint="eastAsia" w:ascii="宋体" w:hAnsi="宋体" w:cs="瀹嬩綋"/>
          <w:i/>
          <w:iCs/>
          <w:color w:val="000000" w:themeColor="text1"/>
          <w:sz w:val="21"/>
          <w:szCs w:val="21"/>
          <w:highlight w:val="none"/>
          <w:u w:val="single"/>
          <w14:textFill>
            <w14:solidFill>
              <w14:schemeClr w14:val="tx1"/>
            </w14:solidFill>
          </w14:textFill>
        </w:rPr>
        <w:t>方案优化完成并获得批准通过后，设计人提出申请，发包人</w:t>
      </w:r>
      <w:r>
        <w:rPr>
          <w:rFonts w:ascii="宋体" w:hAnsi="宋体" w:cs="å®‹ä½“"/>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日内支付合同总额的    ％；</w:t>
      </w:r>
    </w:p>
    <w:p w14:paraId="7D0FC3A0">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③</w:t>
      </w:r>
      <w:r>
        <w:rPr>
          <w:rFonts w:hint="eastAsia" w:ascii="宋体" w:hAnsi="宋体" w:cs="瀹嬩綋"/>
          <w:i/>
          <w:iCs/>
          <w:color w:val="000000" w:themeColor="text1"/>
          <w:sz w:val="21"/>
          <w:szCs w:val="21"/>
          <w:highlight w:val="none"/>
          <w:u w:val="single"/>
          <w14:textFill>
            <w14:solidFill>
              <w14:schemeClr w14:val="tx1"/>
            </w14:solidFill>
          </w14:textFill>
        </w:rPr>
        <w:t>初步设计完成并获得批准后，设计人提出申请，发包人</w:t>
      </w:r>
      <w:r>
        <w:rPr>
          <w:rFonts w:ascii="宋体" w:hAnsi="宋体" w:cs="å®‹ä½“"/>
          <w:i/>
          <w:iCs/>
          <w:color w:val="000000" w:themeColor="text1"/>
          <w:sz w:val="21"/>
          <w:szCs w:val="21"/>
          <w:highlight w:val="none"/>
          <w:u w:val="single"/>
          <w14:textFill>
            <w14:solidFill>
              <w14:schemeClr w14:val="tx1"/>
            </w14:solidFill>
          </w14:textFill>
        </w:rPr>
        <w:t>7</w:t>
      </w:r>
      <w:r>
        <w:rPr>
          <w:rFonts w:hint="eastAsia" w:ascii="宋体" w:hAnsi="宋体" w:cs="瀹嬩綋"/>
          <w:i/>
          <w:iCs/>
          <w:color w:val="000000" w:themeColor="text1"/>
          <w:sz w:val="21"/>
          <w:szCs w:val="21"/>
          <w:highlight w:val="none"/>
          <w:u w:val="single"/>
          <w14:textFill>
            <w14:solidFill>
              <w14:schemeClr w14:val="tx1"/>
            </w14:solidFill>
          </w14:textFill>
        </w:rPr>
        <w:t>日内支付合同总额的     ％；</w:t>
      </w:r>
    </w:p>
    <w:p w14:paraId="38099A2B">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④</w:t>
      </w:r>
      <w:r>
        <w:rPr>
          <w:rFonts w:hint="eastAsia" w:ascii="宋体" w:hAnsi="宋体" w:cs="瀹嬩綋"/>
          <w:i/>
          <w:iCs/>
          <w:color w:val="000000" w:themeColor="text1"/>
          <w:sz w:val="21"/>
          <w:szCs w:val="21"/>
          <w:highlight w:val="none"/>
          <w:u w:val="single"/>
          <w14:textFill>
            <w14:solidFill>
              <w14:schemeClr w14:val="tx1"/>
            </w14:solidFill>
          </w14:textFill>
        </w:rPr>
        <w:t>施工图完成设计并获得批准后，设计人提出申请，发包人</w:t>
      </w:r>
      <w:r>
        <w:rPr>
          <w:rFonts w:ascii="宋体" w:hAnsi="宋体" w:cs="å®‹ä½“"/>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日内支付合同总额的    ％；</w:t>
      </w:r>
    </w:p>
    <w:p w14:paraId="6836A904">
      <w:pPr>
        <w:spacing w:line="360" w:lineRule="auto"/>
        <w:ind w:firstLine="392" w:firstLineChars="187"/>
        <w:jc w:val="left"/>
        <w:rPr>
          <w:rFonts w:ascii="宋体" w:hAnsi="宋体" w:cs="瀹嬩綋"/>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⑤</w:t>
      </w:r>
      <w:r>
        <w:rPr>
          <w:rFonts w:hint="eastAsia" w:ascii="宋体" w:hAnsi="宋体" w:cs="瀹嬩綋"/>
          <w:i/>
          <w:iCs/>
          <w:color w:val="000000" w:themeColor="text1"/>
          <w:sz w:val="21"/>
          <w:szCs w:val="21"/>
          <w:highlight w:val="none"/>
          <w:u w:val="single"/>
          <w14:textFill>
            <w14:solidFill>
              <w14:schemeClr w14:val="tx1"/>
            </w14:solidFill>
          </w14:textFill>
        </w:rPr>
        <w:t>工程施工完成总工程量的一半时，设计人提出申请，发包人</w:t>
      </w:r>
      <w:r>
        <w:rPr>
          <w:rFonts w:ascii="宋体" w:hAnsi="宋体" w:cs="å®‹ä½“"/>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日内支付设计费总额的    ％；（说明：发包人和设计人根据经批准的工程概算金额，按实调整设计费总额，在本期设计费支付时，应按照调整后的设计费总额对之前支付的设计费进行重新计算，按实调整和支付，支付不足的，在本期补足，超量支付的扣回。）</w:t>
      </w:r>
    </w:p>
    <w:p w14:paraId="6E39DED6">
      <w:pPr>
        <w:spacing w:line="360" w:lineRule="auto"/>
        <w:ind w:firstLine="392" w:firstLineChars="187"/>
        <w:jc w:val="left"/>
        <w:rPr>
          <w:rFonts w:ascii="宋体" w:hAnsi="宋体" w:cs="瀹嬩綋"/>
          <w:i/>
          <w:iCs/>
          <w:color w:val="000000" w:themeColor="text1"/>
          <w:sz w:val="21"/>
          <w:szCs w:val="21"/>
          <w:highlight w:val="none"/>
          <w:u w:val="single"/>
          <w14:textFill>
            <w14:solidFill>
              <w14:schemeClr w14:val="tx1"/>
            </w14:solidFill>
          </w14:textFill>
        </w:rPr>
      </w:pPr>
      <w:r>
        <w:rPr>
          <w:rFonts w:hint="eastAsia" w:ascii="宋体" w:hAnsi="宋体" w:cs="瀹嬩綋"/>
          <w:i/>
          <w:iCs/>
          <w:color w:val="000000" w:themeColor="text1"/>
          <w:sz w:val="21"/>
          <w:szCs w:val="21"/>
          <w:highlight w:val="none"/>
          <w:u w:val="single"/>
          <w14:textFill>
            <w14:solidFill>
              <w14:schemeClr w14:val="tx1"/>
            </w14:solidFill>
          </w14:textFill>
        </w:rPr>
        <w:t>⑥工程施工主体结构封顶后，设计人提出申请，发包人</w:t>
      </w:r>
      <w:r>
        <w:rPr>
          <w:rFonts w:ascii="宋体" w:hAnsi="宋体" w:cs="瀹嬩綋"/>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日内支付设计费总额的    ％；</w:t>
      </w:r>
    </w:p>
    <w:p w14:paraId="66B7879D">
      <w:pPr>
        <w:spacing w:line="360" w:lineRule="auto"/>
        <w:ind w:firstLine="392" w:firstLineChars="187"/>
        <w:jc w:val="left"/>
        <w:rPr>
          <w:rFonts w:ascii="宋体" w:hAnsi="宋体"/>
          <w:i/>
          <w:iCs/>
          <w:color w:val="000000" w:themeColor="text1"/>
          <w:sz w:val="21"/>
          <w:szCs w:val="21"/>
          <w:highlight w:val="none"/>
          <w14:textFill>
            <w14:solidFill>
              <w14:schemeClr w14:val="tx1"/>
            </w14:solidFill>
          </w14:textFill>
        </w:rPr>
      </w:pPr>
      <w:r>
        <w:rPr>
          <w:rFonts w:hint="eastAsia" w:ascii="宋体" w:hAnsi="宋体" w:cs="瀹嬩綋"/>
          <w:i/>
          <w:iCs/>
          <w:color w:val="000000" w:themeColor="text1"/>
          <w:sz w:val="21"/>
          <w:szCs w:val="21"/>
          <w:highlight w:val="none"/>
          <w:u w:val="single"/>
          <w14:textFill>
            <w14:solidFill>
              <w14:schemeClr w14:val="tx1"/>
            </w14:solidFill>
          </w14:textFill>
        </w:rPr>
        <w:t>⑦工程完成竣工财务决算后，设计人提出申请，发包人</w:t>
      </w:r>
      <w:r>
        <w:rPr>
          <w:rFonts w:ascii="宋体" w:hAnsi="宋体" w:cs="å®‹ä½“"/>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日内，支付剩余设计费用</w:t>
      </w:r>
      <w:r>
        <w:rPr>
          <w:rFonts w:hint="eastAsia" w:ascii="宋体" w:hAnsi="宋体" w:cs="瀹嬩綋"/>
          <w:i/>
          <w:iCs/>
          <w:color w:val="000000" w:themeColor="text1"/>
          <w:sz w:val="21"/>
          <w:szCs w:val="21"/>
          <w:highlight w:val="none"/>
          <w14:textFill>
            <w14:solidFill>
              <w14:schemeClr w14:val="tx1"/>
            </w14:solidFill>
          </w14:textFill>
        </w:rPr>
        <w:t>。</w:t>
      </w:r>
    </w:p>
    <w:p w14:paraId="151EDF5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10.4.1.2勘察费用的支付</w:t>
      </w:r>
    </w:p>
    <w:p w14:paraId="5946D43F">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（1）支付方式：</w:t>
      </w:r>
      <w:r>
        <w:rPr>
          <w:rFonts w:hint="eastAsia" w:ascii="宋体" w:hAnsi="宋体"/>
          <w:color w:val="000000" w:themeColor="text1"/>
          <w:sz w:val="21"/>
          <w:szCs w:val="21"/>
          <w:highlight w:val="none"/>
          <w:u w:val="single"/>
          <w14:textFill>
            <w14:solidFill>
              <w14:schemeClr w14:val="tx1"/>
            </w14:solidFill>
          </w14:textFill>
        </w:rPr>
        <w:t xml:space="preserve">                                                                   </w:t>
      </w:r>
    </w:p>
    <w:p w14:paraId="4CAF35B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27D40DF">
      <w:pPr>
        <w:spacing w:line="360" w:lineRule="auto"/>
        <w:ind w:firstLine="392" w:firstLineChars="18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（2）支付条件和时间：</w:t>
      </w:r>
      <w:r>
        <w:rPr>
          <w:rFonts w:hint="eastAsia" w:ascii="宋体" w:hAnsi="宋体"/>
          <w:color w:val="000000" w:themeColor="text1"/>
          <w:sz w:val="21"/>
          <w:szCs w:val="21"/>
          <w:highlight w:val="none"/>
          <w:u w:val="single"/>
          <w14:textFill>
            <w14:solidFill>
              <w14:schemeClr w14:val="tx1"/>
            </w14:solidFill>
          </w14:textFill>
        </w:rPr>
        <w:t xml:space="preserve">                                                            </w:t>
      </w:r>
    </w:p>
    <w:p w14:paraId="16CD22CA">
      <w:pPr>
        <w:spacing w:line="360" w:lineRule="auto"/>
        <w:ind w:firstLine="392" w:firstLineChars="18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B328DB5">
      <w:pPr>
        <w:spacing w:line="360" w:lineRule="auto"/>
        <w:ind w:firstLine="392" w:firstLineChars="187"/>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5CB8FAA">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07" w:name="_Toc2447"/>
      <w:bookmarkStart w:id="808" w:name="_Toc15061"/>
      <w:bookmarkStart w:id="809" w:name="_Toc19066"/>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1</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工程设计变更与索赔</w:t>
      </w:r>
      <w:bookmarkEnd w:id="807"/>
      <w:bookmarkEnd w:id="808"/>
      <w:bookmarkEnd w:id="809"/>
    </w:p>
    <w:p w14:paraId="68B9EC93">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11.2/11.3设计变更计费依据和方法：</w:t>
      </w:r>
      <w:r>
        <w:rPr>
          <w:rFonts w:hint="eastAsia" w:ascii="宋体" w:hAnsi="宋体"/>
          <w:color w:val="000000" w:themeColor="text1"/>
          <w:sz w:val="21"/>
          <w:szCs w:val="21"/>
          <w:highlight w:val="none"/>
          <w:u w:val="single"/>
          <w14:textFill>
            <w14:solidFill>
              <w14:schemeClr w14:val="tx1"/>
            </w14:solidFill>
          </w14:textFill>
        </w:rPr>
        <w:t xml:space="preserve">                                                 </w:t>
      </w:r>
    </w:p>
    <w:p w14:paraId="582A08D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20F4B4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11.5 设计人应于认为有理由提出增加合同价款或延长设计周期的要求事项发生后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天内书面通知发包人。</w:t>
      </w:r>
    </w:p>
    <w:p w14:paraId="7C270CE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设计人应在该事项发生后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天内向发包人提供证明设计人要求的书面声明。</w:t>
      </w:r>
    </w:p>
    <w:p w14:paraId="37645AD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发包人应在接到设计人书面声明后的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天内，予以书面答复。</w:t>
      </w:r>
    </w:p>
    <w:p w14:paraId="1E50B9EA">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10" w:name="_Toc6883"/>
      <w:bookmarkStart w:id="811" w:name="_Toc16819"/>
      <w:bookmarkStart w:id="812" w:name="_Toc23357"/>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2</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专业责任与保险</w:t>
      </w:r>
      <w:bookmarkEnd w:id="810"/>
      <w:bookmarkEnd w:id="811"/>
      <w:bookmarkEnd w:id="812"/>
    </w:p>
    <w:p w14:paraId="3EB3E6E9">
      <w:pPr>
        <w:spacing w:line="360" w:lineRule="auto"/>
        <w:ind w:firstLine="525" w:firstLineChars="2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12.2 设计人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（需/不需）有发包人认可的工程设计责任保险。</w:t>
      </w:r>
    </w:p>
    <w:p w14:paraId="20DE305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13" w:name="_Toc7607"/>
      <w:bookmarkStart w:id="814" w:name="_Toc24671"/>
      <w:bookmarkStart w:id="815" w:name="_Toc25359"/>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3</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知识产权</w:t>
      </w:r>
      <w:bookmarkEnd w:id="813"/>
      <w:bookmarkEnd w:id="814"/>
      <w:bookmarkEnd w:id="815"/>
    </w:p>
    <w:p w14:paraId="7217A27F">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关于发包人提供给</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人的图纸、发包人为实施工程自行编制或委托编制的技术</w:t>
      </w:r>
      <w:r>
        <w:rPr>
          <w:rFonts w:hint="eastAsia" w:ascii="宋体" w:hAnsi="宋体"/>
          <w:color w:val="000000" w:themeColor="text1"/>
          <w:sz w:val="21"/>
          <w:szCs w:val="21"/>
          <w:highlight w:val="none"/>
          <w14:textFill>
            <w14:solidFill>
              <w14:schemeClr w14:val="tx1"/>
            </w14:solidFill>
          </w14:textFill>
        </w:rPr>
        <w:t>规格</w:t>
      </w:r>
      <w:r>
        <w:rPr>
          <w:rFonts w:ascii="宋体" w:hAnsi="宋体"/>
          <w:color w:val="000000" w:themeColor="text1"/>
          <w:sz w:val="21"/>
          <w:szCs w:val="21"/>
          <w:highlight w:val="none"/>
          <w14:textFill>
            <w14:solidFill>
              <w14:schemeClr w14:val="tx1"/>
            </w14:solidFill>
          </w14:textFill>
        </w:rPr>
        <w:t>以及反映发包人关于合同要求或其他类似性质的文件的著作权的归属：</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495BB39">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关于发包人提供的上述文件的使用限制的要求：</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63961E6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w:t>
      </w:r>
      <w:r>
        <w:rPr>
          <w:rFonts w:ascii="宋体" w:hAnsi="宋体"/>
          <w:color w:val="000000" w:themeColor="text1"/>
          <w:sz w:val="21"/>
          <w:szCs w:val="21"/>
          <w:highlight w:val="none"/>
          <w14:textFill>
            <w14:solidFill>
              <w14:schemeClr w14:val="tx1"/>
            </w14:solidFill>
          </w14:textFill>
        </w:rPr>
        <w:t>.2 关于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人为实施工程所编制文件的著作权的归属：</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526670F">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关于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人提供的上述文件的使用限制的要求：</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w:t>
      </w:r>
    </w:p>
    <w:p w14:paraId="5431BF5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13.5 设计人在设计过程中所采用的专利、专有技术的使用费的承担方式：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12548C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16" w:name="_Toc20600"/>
      <w:bookmarkStart w:id="817" w:name="_Toc21250"/>
      <w:bookmarkStart w:id="818" w:name="_Toc28791"/>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4</w:t>
      </w:r>
      <w:r>
        <w:rPr>
          <w:rFonts w:ascii="黑体" w:hAnsi="黑体" w:eastAsia="黑体"/>
          <w:b w:val="0"/>
          <w:color w:val="000000" w:themeColor="text1"/>
          <w:sz w:val="28"/>
          <w:szCs w:val="28"/>
          <w:highlight w:val="none"/>
          <w14:textFill>
            <w14:solidFill>
              <w14:schemeClr w14:val="tx1"/>
            </w14:solidFill>
          </w14:textFill>
        </w:rPr>
        <w:t>.违约</w:t>
      </w:r>
      <w:r>
        <w:rPr>
          <w:rFonts w:hint="eastAsia" w:ascii="黑体" w:hAnsi="黑体" w:eastAsia="黑体"/>
          <w:b w:val="0"/>
          <w:color w:val="000000" w:themeColor="text1"/>
          <w:sz w:val="28"/>
          <w:szCs w:val="28"/>
          <w:highlight w:val="none"/>
          <w14:textFill>
            <w14:solidFill>
              <w14:schemeClr w14:val="tx1"/>
            </w14:solidFill>
          </w14:textFill>
        </w:rPr>
        <w:t>责任</w:t>
      </w:r>
      <w:bookmarkEnd w:id="816"/>
      <w:bookmarkEnd w:id="817"/>
      <w:bookmarkEnd w:id="818"/>
    </w:p>
    <w:p w14:paraId="66CDCB7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.1 发包人违约</w:t>
      </w:r>
      <w:r>
        <w:rPr>
          <w:rFonts w:hint="eastAsia" w:ascii="宋体" w:hAnsi="宋体"/>
          <w:color w:val="000000" w:themeColor="text1"/>
          <w:sz w:val="21"/>
          <w:szCs w:val="21"/>
          <w:highlight w:val="none"/>
          <w14:textFill>
            <w14:solidFill>
              <w14:schemeClr w14:val="tx1"/>
            </w14:solidFill>
          </w14:textFill>
        </w:rPr>
        <w:t>责任</w:t>
      </w:r>
    </w:p>
    <w:p w14:paraId="7B0D459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14.1.1 发包人支付设计人的违约金：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AF1F14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.1.2 </w:t>
      </w:r>
      <w:r>
        <w:rPr>
          <w:rFonts w:hint="eastAsia" w:ascii="宋体" w:hAnsi="宋体"/>
          <w:color w:val="000000" w:themeColor="text1"/>
          <w:sz w:val="21"/>
          <w:szCs w:val="21"/>
          <w:highlight w:val="none"/>
          <w14:textFill>
            <w14:solidFill>
              <w14:schemeClr w14:val="tx1"/>
            </w14:solidFill>
          </w14:textFill>
        </w:rPr>
        <w:t>发包人逾期支付设计费的违约金：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43C3B7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人违约</w:t>
      </w:r>
      <w:r>
        <w:rPr>
          <w:rFonts w:hint="eastAsia" w:ascii="宋体" w:hAnsi="宋体"/>
          <w:color w:val="000000" w:themeColor="text1"/>
          <w:sz w:val="21"/>
          <w:szCs w:val="21"/>
          <w:highlight w:val="none"/>
          <w14:textFill>
            <w14:solidFill>
              <w14:schemeClr w14:val="tx1"/>
            </w14:solidFill>
          </w14:textFill>
        </w:rPr>
        <w:t>责任</w:t>
      </w:r>
    </w:p>
    <w:p w14:paraId="1974007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14.2.1 设计人支付发包人的违约金：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A5CA2F7">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.2.2</w:t>
      </w:r>
      <w:r>
        <w:rPr>
          <w:rFonts w:hint="eastAsia" w:ascii="宋体" w:hAnsi="宋体"/>
          <w:color w:val="000000" w:themeColor="text1"/>
          <w:sz w:val="21"/>
          <w:szCs w:val="21"/>
          <w:highlight w:val="none"/>
          <w14:textFill>
            <w14:solidFill>
              <w14:schemeClr w14:val="tx1"/>
            </w14:solidFill>
          </w14:textFill>
        </w:rPr>
        <w:t xml:space="preserve"> 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逾期交付工程设计文件的违约金</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42540AB">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逾期交付工程设计文件的违约金的上限</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p>
    <w:p w14:paraId="790A212B">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.2.3 </w:t>
      </w:r>
      <w:r>
        <w:rPr>
          <w:rFonts w:hint="eastAsia" w:ascii="宋体" w:hAnsi="宋体"/>
          <w:color w:val="000000" w:themeColor="text1"/>
          <w:sz w:val="21"/>
          <w:szCs w:val="21"/>
          <w:highlight w:val="none"/>
          <w14:textFill>
            <w14:solidFill>
              <w14:schemeClr w14:val="tx1"/>
            </w14:solidFill>
          </w14:textFill>
        </w:rPr>
        <w:t>设计人设计文件不合格的损失赔偿金的上限：</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2721F78">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4 设计人工程设计文件超出主要技术指标控制值比例的违约责任：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C75494E">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14.2.5 设计人未经发包人同意擅自对工程设计进行分包的违约责任：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E6BCD4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19" w:name="_Toc25427"/>
      <w:bookmarkStart w:id="820" w:name="_Toc8213"/>
      <w:bookmarkStart w:id="821" w:name="_Toc23017"/>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5</w:t>
      </w:r>
      <w:r>
        <w:rPr>
          <w:rFonts w:ascii="黑体" w:hAnsi="黑体" w:eastAsia="黑体"/>
          <w:b w:val="0"/>
          <w:color w:val="000000" w:themeColor="text1"/>
          <w:sz w:val="28"/>
          <w:szCs w:val="28"/>
          <w:highlight w:val="none"/>
          <w14:textFill>
            <w14:solidFill>
              <w14:schemeClr w14:val="tx1"/>
            </w14:solidFill>
          </w14:textFill>
        </w:rPr>
        <w:t>.不可抗力</w:t>
      </w:r>
      <w:bookmarkEnd w:id="819"/>
      <w:bookmarkEnd w:id="820"/>
      <w:bookmarkEnd w:id="821"/>
      <w:r>
        <w:rPr>
          <w:rFonts w:ascii="黑体" w:hAnsi="黑体" w:eastAsia="黑体"/>
          <w:b w:val="0"/>
          <w:color w:val="000000" w:themeColor="text1"/>
          <w:sz w:val="28"/>
          <w:szCs w:val="28"/>
          <w:highlight w:val="none"/>
          <w14:textFill>
            <w14:solidFill>
              <w14:schemeClr w14:val="tx1"/>
            </w14:solidFill>
          </w14:textFill>
        </w:rPr>
        <w:t xml:space="preserve"> </w:t>
      </w:r>
    </w:p>
    <w:p w14:paraId="54BF887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 不可抗力的确认</w:t>
      </w:r>
    </w:p>
    <w:p w14:paraId="1D1B946D">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除通用合同条款约定的不可抗力事件之外，视为不可抗力的其他情形：</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51B5892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3FE58C7">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22" w:name="_Toc15651"/>
      <w:bookmarkStart w:id="823" w:name="_Toc30320"/>
      <w:bookmarkStart w:id="824" w:name="_Toc7718"/>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6</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合同解除</w:t>
      </w:r>
      <w:bookmarkEnd w:id="822"/>
      <w:bookmarkEnd w:id="823"/>
      <w:bookmarkEnd w:id="824"/>
      <w:r>
        <w:rPr>
          <w:rFonts w:ascii="黑体" w:hAnsi="黑体" w:eastAsia="黑体"/>
          <w:b w:val="0"/>
          <w:color w:val="000000" w:themeColor="text1"/>
          <w:sz w:val="28"/>
          <w:szCs w:val="28"/>
          <w:highlight w:val="none"/>
          <w14:textFill>
            <w14:solidFill>
              <w14:schemeClr w14:val="tx1"/>
            </w14:solidFill>
          </w14:textFill>
        </w:rPr>
        <w:t xml:space="preserve"> </w:t>
      </w:r>
    </w:p>
    <w:p w14:paraId="3352F17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16.2 </w:t>
      </w:r>
      <w:r>
        <w:rPr>
          <w:rFonts w:hint="eastAsia" w:ascii="宋体" w:hAnsi="宋体" w:cs="Courier New"/>
          <w:color w:val="000000" w:themeColor="text1"/>
          <w:sz w:val="21"/>
          <w:szCs w:val="21"/>
          <w:highlight w:val="none"/>
          <w14:textFill>
            <w14:solidFill>
              <w14:schemeClr w14:val="tx1"/>
            </w14:solidFill>
          </w14:textFill>
        </w:rPr>
        <w:t>有下列情形之一的，可以解除合同：</w:t>
      </w:r>
    </w:p>
    <w:p w14:paraId="058F8AB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（3）暂停设计期限已连续超过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w:t>
      </w:r>
    </w:p>
    <w:p w14:paraId="0A624EDD">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16.4 </w:t>
      </w:r>
      <w:r>
        <w:rPr>
          <w:rFonts w:hint="eastAsia" w:ascii="宋体" w:hAnsi="宋体" w:cs="Courier New"/>
          <w:color w:val="000000" w:themeColor="text1"/>
          <w:sz w:val="21"/>
          <w:szCs w:val="21"/>
          <w:highlight w:val="none"/>
          <w14:textFill>
            <w14:solidFill>
              <w14:schemeClr w14:val="tx1"/>
            </w14:solidFill>
          </w14:textFill>
        </w:rPr>
        <w:t>发包人向设计人支付已完工作设计费的期限为</w:t>
      </w:r>
      <w:r>
        <w:rPr>
          <w:rFonts w:hint="eastAsia" w:ascii="宋体" w:hAnsi="宋体" w:cs="Courier New"/>
          <w:color w:val="000000" w:themeColor="text1"/>
          <w:sz w:val="21"/>
          <w:szCs w:val="21"/>
          <w:highlight w:val="none"/>
          <w:u w:val="single"/>
          <w14:textFill>
            <w14:solidFill>
              <w14:schemeClr w14:val="tx1"/>
            </w14:solidFill>
          </w14:textFill>
        </w:rPr>
        <w:t xml:space="preserve">     </w:t>
      </w:r>
      <w:r>
        <w:rPr>
          <w:rFonts w:hint="eastAsia" w:ascii="宋体" w:hAnsi="宋体" w:cs="Courier New"/>
          <w:color w:val="000000" w:themeColor="text1"/>
          <w:sz w:val="21"/>
          <w:szCs w:val="21"/>
          <w:highlight w:val="none"/>
          <w14:textFill>
            <w14:solidFill>
              <w14:schemeClr w14:val="tx1"/>
            </w14:solidFill>
          </w14:textFill>
        </w:rPr>
        <w:t>天内。</w:t>
      </w:r>
    </w:p>
    <w:p w14:paraId="01BC544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25" w:name="_Toc1310"/>
      <w:bookmarkStart w:id="826" w:name="_Toc15788"/>
      <w:bookmarkStart w:id="827" w:name="_Toc7857"/>
      <w:r>
        <w:rPr>
          <w:rFonts w:hint="eastAsia" w:ascii="黑体" w:hAnsi="黑体" w:eastAsia="黑体"/>
          <w:b w:val="0"/>
          <w:color w:val="000000" w:themeColor="text1"/>
          <w:sz w:val="28"/>
          <w:szCs w:val="28"/>
          <w:highlight w:val="none"/>
          <w14:textFill>
            <w14:solidFill>
              <w14:schemeClr w14:val="tx1"/>
            </w14:solidFill>
          </w14:textFill>
        </w:rPr>
        <w:t>17</w:t>
      </w:r>
      <w:r>
        <w:rPr>
          <w:rFonts w:ascii="黑体" w:hAnsi="黑体" w:eastAsia="黑体"/>
          <w:b w:val="0"/>
          <w:color w:val="000000" w:themeColor="text1"/>
          <w:sz w:val="28"/>
          <w:szCs w:val="28"/>
          <w:highlight w:val="none"/>
          <w14:textFill>
            <w14:solidFill>
              <w14:schemeClr w14:val="tx1"/>
            </w14:solidFill>
          </w14:textFill>
        </w:rPr>
        <w:t>.争议解决</w:t>
      </w:r>
      <w:bookmarkEnd w:id="825"/>
      <w:bookmarkEnd w:id="826"/>
      <w:bookmarkEnd w:id="827"/>
    </w:p>
    <w:p w14:paraId="0C29806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 争议评审</w:t>
      </w:r>
    </w:p>
    <w:p w14:paraId="0DC695E6">
      <w:pPr>
        <w:spacing w:line="360" w:lineRule="auto"/>
        <w:ind w:firstLine="315" w:firstLineChars="15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合同当事人是否同意将工程争议提交争议评审小组决</w:t>
      </w:r>
      <w:r>
        <w:rPr>
          <w:rFonts w:hint="eastAsia" w:ascii="宋体" w:hAnsi="宋体"/>
          <w:color w:val="000000" w:themeColor="text1"/>
          <w:sz w:val="21"/>
          <w:szCs w:val="21"/>
          <w:highlight w:val="none"/>
          <w14:textFill>
            <w14:solidFill>
              <w14:schemeClr w14:val="tx1"/>
            </w14:solidFill>
          </w14:textFill>
        </w:rPr>
        <w:t>定：</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6648185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.3.1 争议评审小组的确定</w:t>
      </w:r>
    </w:p>
    <w:p w14:paraId="0617F9EE">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争议评审小组成员的确定：</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EB130E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选定争议评审员的期限：</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F115A4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w:t>
      </w:r>
      <w:r>
        <w:rPr>
          <w:rFonts w:hint="eastAsia" w:ascii="宋体" w:hAnsi="宋体"/>
          <w:color w:val="000000" w:themeColor="text1"/>
          <w:sz w:val="21"/>
          <w:szCs w:val="21"/>
          <w:highlight w:val="none"/>
          <w14:textFill>
            <w14:solidFill>
              <w14:schemeClr w14:val="tx1"/>
            </w14:solidFill>
          </w14:textFill>
        </w:rPr>
        <w:t>所发生的费用</w:t>
      </w:r>
      <w:r>
        <w:rPr>
          <w:rFonts w:ascii="宋体" w:hAnsi="宋体"/>
          <w:color w:val="000000" w:themeColor="text1"/>
          <w:sz w:val="21"/>
          <w:szCs w:val="21"/>
          <w:highlight w:val="none"/>
          <w14:textFill>
            <w14:solidFill>
              <w14:schemeClr w14:val="tx1"/>
            </w14:solidFill>
          </w14:textFill>
        </w:rPr>
        <w:t>承担方式：</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6692932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其他事项的约定：</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58D1E27">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.3.2 争议评审小组的决定</w:t>
      </w:r>
    </w:p>
    <w:p w14:paraId="4F4CDEE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合同当事人关于本</w:t>
      </w:r>
      <w:r>
        <w:rPr>
          <w:rFonts w:hint="eastAsia" w:ascii="宋体" w:hAnsi="宋体"/>
          <w:color w:val="000000" w:themeColor="text1"/>
          <w:sz w:val="21"/>
          <w:szCs w:val="21"/>
          <w:highlight w:val="none"/>
          <w14:textFill>
            <w14:solidFill>
              <w14:schemeClr w14:val="tx1"/>
            </w14:solidFill>
          </w14:textFill>
        </w:rPr>
        <w:t>事</w:t>
      </w:r>
      <w:r>
        <w:rPr>
          <w:rFonts w:ascii="宋体" w:hAnsi="宋体"/>
          <w:color w:val="000000" w:themeColor="text1"/>
          <w:sz w:val="21"/>
          <w:szCs w:val="21"/>
          <w:highlight w:val="none"/>
          <w14:textFill>
            <w14:solidFill>
              <w14:schemeClr w14:val="tx1"/>
            </w14:solidFill>
          </w14:textFill>
        </w:rPr>
        <w:t>项的约定：</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6C945EC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仲裁或诉讼</w:t>
      </w:r>
    </w:p>
    <w:p w14:paraId="29F5387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因合同及合同有关事项发生的争议，按下列第</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种方式</w:t>
      </w:r>
      <w:r>
        <w:rPr>
          <w:rFonts w:hint="eastAsia" w:ascii="宋体" w:hAnsi="宋体"/>
          <w:color w:val="000000" w:themeColor="text1"/>
          <w:sz w:val="21"/>
          <w:szCs w:val="21"/>
          <w:highlight w:val="none"/>
          <w14:textFill>
            <w14:solidFill>
              <w14:schemeClr w14:val="tx1"/>
            </w14:solidFill>
          </w14:textFill>
        </w:rPr>
        <w:t>解</w:t>
      </w:r>
      <w:r>
        <w:rPr>
          <w:rFonts w:ascii="宋体" w:hAnsi="宋体"/>
          <w:color w:val="000000" w:themeColor="text1"/>
          <w:sz w:val="21"/>
          <w:szCs w:val="21"/>
          <w:highlight w:val="none"/>
          <w14:textFill>
            <w14:solidFill>
              <w14:schemeClr w14:val="tx1"/>
            </w14:solidFill>
          </w14:textFill>
        </w:rPr>
        <w:t>决：</w:t>
      </w:r>
    </w:p>
    <w:p w14:paraId="259E717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（1）向</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仲裁委员会申请仲裁；</w:t>
      </w:r>
    </w:p>
    <w:p w14:paraId="10EB440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（2）向</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人民法院起诉。</w:t>
      </w:r>
    </w:p>
    <w:p w14:paraId="02779494">
      <w:pPr>
        <w:pStyle w:val="4"/>
        <w:spacing w:beforeLines="50" w:afterLines="50" w:line="360" w:lineRule="auto"/>
        <w:rPr>
          <w:rFonts w:ascii="宋体" w:hAnsi="宋体"/>
          <w:color w:val="000000" w:themeColor="text1"/>
          <w:sz w:val="21"/>
          <w:szCs w:val="21"/>
          <w:highlight w:val="none"/>
          <w14:textFill>
            <w14:solidFill>
              <w14:schemeClr w14:val="tx1"/>
            </w14:solidFill>
          </w14:textFill>
        </w:rPr>
      </w:pPr>
      <w:bookmarkStart w:id="828" w:name="_Toc10360"/>
      <w:bookmarkStart w:id="829" w:name="_Toc29230"/>
      <w:bookmarkStart w:id="830" w:name="_Toc3036"/>
      <w:r>
        <w:rPr>
          <w:rFonts w:hint="eastAsia" w:ascii="黑体" w:hAnsi="黑体" w:eastAsia="黑体"/>
          <w:b w:val="0"/>
          <w:color w:val="000000" w:themeColor="text1"/>
          <w:highlight w:val="none"/>
          <w14:textFill>
            <w14:solidFill>
              <w14:schemeClr w14:val="tx1"/>
            </w14:solidFill>
          </w14:textFill>
        </w:rPr>
        <w:t>18</w:t>
      </w:r>
      <w:r>
        <w:rPr>
          <w:rFonts w:ascii="黑体" w:hAnsi="黑体" w:eastAsia="黑体"/>
          <w:b w:val="0"/>
          <w:color w:val="000000" w:themeColor="text1"/>
          <w:highlight w:val="none"/>
          <w14:textFill>
            <w14:solidFill>
              <w14:schemeClr w14:val="tx1"/>
            </w14:solidFill>
          </w14:textFill>
        </w:rPr>
        <w:t>.</w:t>
      </w:r>
      <w:r>
        <w:rPr>
          <w:rFonts w:hint="eastAsia" w:ascii="黑体" w:hAnsi="黑体" w:eastAsia="黑体"/>
          <w:b w:val="0"/>
          <w:color w:val="000000" w:themeColor="text1"/>
          <w:highlight w:val="none"/>
          <w14:textFill>
            <w14:solidFill>
              <w14:schemeClr w14:val="tx1"/>
            </w14:solidFill>
          </w14:textFill>
        </w:rPr>
        <w:t>其他</w:t>
      </w:r>
      <w:r>
        <w:rPr>
          <w:rStyle w:val="49"/>
          <w:rFonts w:ascii="黑体" w:hAnsi="黑体" w:eastAsia="黑体"/>
          <w:b w:val="0"/>
          <w:color w:val="000000" w:themeColor="text1"/>
          <w:highlight w:val="none"/>
          <w14:textFill>
            <w14:solidFill>
              <w14:schemeClr w14:val="tx1"/>
            </w14:solidFill>
          </w14:textFill>
        </w:rPr>
        <w:footnoteReference w:id="63"/>
      </w:r>
      <w:bookmarkEnd w:id="828"/>
      <w:bookmarkEnd w:id="829"/>
      <w:bookmarkEnd w:id="830"/>
    </w:p>
    <w:p w14:paraId="35639DE4">
      <w:pPr>
        <w:spacing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18.1.设计服务基本要求</w:t>
      </w:r>
    </w:p>
    <w:p w14:paraId="17231B26">
      <w:pPr>
        <w:spacing w:line="360" w:lineRule="auto"/>
        <w:ind w:firstLine="424" w:firstLineChars="202"/>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（1）设计人应依据项目设计合同的规定，通过有效地计划、组织和协调，按时完成合同规定的设计任务，保证设计质量、合理控制工程投资，为建设各方提供优良的设计服务。</w:t>
      </w:r>
    </w:p>
    <w:p w14:paraId="5490BA5A">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（2）承担方案优化及其后续设计服务的设计人，若</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或其上级主管部门认为有必要的话，则应按其要求进行技术设计，编制技术设计文件及相应修正概算，设计人应无条件执行，且编制费用已包括在设计费总额中，但涉及重大修改的由双方另行协商。</w:t>
      </w:r>
    </w:p>
    <w:p w14:paraId="673CBAEE">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（3）</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认为有必要分标段进行施工招标的话，则设计人应按其要求分别提交招标项目所需的图纸、文件资料，满足</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的招标需要。</w:t>
      </w:r>
    </w:p>
    <w:p w14:paraId="3D669D58">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（4）工程施工时，应按照规定派驻工地设计代表，协助</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解决各种与设计有关的问题，包括修改完善设计或局部变更设计。</w:t>
      </w:r>
    </w:p>
    <w:p w14:paraId="186CC2F7">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（5）设计人所做的设计应当符合设计标准和规范要求，由于设计失误引起重大设计变更造成</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的工程费用增加的，设计人应赔偿损失，且最高赔偿金额不超过合同设计费总额。</w:t>
      </w:r>
    </w:p>
    <w:p w14:paraId="53E50E53">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18.2.对设计人员的基本要求</w:t>
      </w:r>
    </w:p>
    <w:p w14:paraId="2F2BEEBB">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（1）设计人应当由投标时承诺派出的设计人员承担设计工作，其设计项目负责人和其他主要设计人员应当在相应的设计文件上签字，并参加</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主持召开的与设计有关的会议，处理和解决与设计有关的问题。</w:t>
      </w:r>
    </w:p>
    <w:p w14:paraId="0FAAE4D9">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（2）设计人不按投标时的承诺派出设计项目负责人的，</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有权拒绝与其签订设计合同；由此给</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造成损失的，设计人应当负责赔偿，</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可以直接将设计人的投标保证金作为赔偿费用予以扣除。</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应当将上述情况向招标监管部门报备。</w:t>
      </w:r>
    </w:p>
    <w:p w14:paraId="2CD8DBC7">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（3）中标的设计项目负责人因其单位变动等特殊原因不能出任的，设计人应向</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提出更换设计项目负责人申请，其替换人选的资格、经验和能力不得低于投标所报的人员。为此给</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造成损失的，设计人应当予以赔偿。</w:t>
      </w:r>
    </w:p>
    <w:p w14:paraId="6BC21F3D">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（4）设计人未能按投标时的承诺派出其他主要设计人员的，应事先向</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提出更换主要设计人员的书面申请，其替换人选的资格、经验和能力不得低于投标所报的人员，为此给</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造成损失的，设计人应当予以赔偿。</w:t>
      </w:r>
    </w:p>
    <w:p w14:paraId="2F08AFE6">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（5）设计人员应有良好的职业道德和严谨的工作作风，在设计过程中不得向施工方介绍指定分包商和供应商。</w:t>
      </w:r>
    </w:p>
    <w:p w14:paraId="455271EB">
      <w:pPr>
        <w:tabs>
          <w:tab w:val="left" w:pos="624"/>
        </w:tabs>
        <w:spacing w:line="360" w:lineRule="auto"/>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（6）常驻施工现场设计代表，如有不尽其职或虚挂其名的情况，</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有权要求调换具有相应资历的人选的权利，直至有权要求设计单位退场并单方面终止合同。</w:t>
      </w:r>
    </w:p>
    <w:p w14:paraId="7A70B69A">
      <w:pPr>
        <w:pStyle w:val="13"/>
        <w:tabs>
          <w:tab w:val="left" w:pos="567"/>
          <w:tab w:val="left" w:pos="1000"/>
        </w:tabs>
        <w:spacing w:line="360" w:lineRule="auto"/>
        <w:ind w:firstLine="424" w:firstLineChars="202"/>
        <w:jc w:val="left"/>
        <w:rPr>
          <w:rFonts w:ascii="宋体" w:hAnsi="宋体" w:eastAsia="宋体"/>
          <w:i/>
          <w:iCs/>
          <w:color w:val="000000" w:themeColor="text1"/>
          <w:szCs w:val="21"/>
          <w:highlight w:val="none"/>
          <w:u w:val="single"/>
          <w14:textFill>
            <w14:solidFill>
              <w14:schemeClr w14:val="tx1"/>
            </w14:solidFill>
          </w14:textFill>
        </w:rPr>
      </w:pPr>
      <w:r>
        <w:rPr>
          <w:rFonts w:hint="eastAsia" w:ascii="宋体" w:hAnsi="宋体" w:eastAsia="宋体"/>
          <w:i/>
          <w:iCs/>
          <w:color w:val="000000" w:themeColor="text1"/>
          <w:szCs w:val="21"/>
          <w:highlight w:val="none"/>
          <w:u w:val="single"/>
          <w14:textFill>
            <w14:solidFill>
              <w14:schemeClr w14:val="tx1"/>
            </w14:solidFill>
          </w14:textFill>
        </w:rPr>
        <w:t>18.3.中标人承担工程勘察的，为满足设计和规范所要求的全部勘察报告和资料，以及工程施工所需要的配合服务（包括收集资料，现场踏勘，制订勘察纲要，进行测绘、勘探、取样、试验、测试、检测、监测等勘察作业，以及编制工程勘察文件和岩土工程设计文件等收取的费用，并包括与设计单位、施工单位的配合，后续服务等内容）的费用应包含在勘察费的投标报价中；承担方案设计的，其为方案获得批准所需要的优化和修改的全部工作的费用也包含在设计费中；承担施工图设计的，其为工程所需的初步设计、概算和施工现场服务的费用也都包含在施工图设计费中。</w:t>
      </w:r>
    </w:p>
    <w:p w14:paraId="43321293">
      <w:pPr>
        <w:tabs>
          <w:tab w:val="left" w:pos="624"/>
        </w:tabs>
        <w:ind w:firstLine="420" w:firstLineChars="200"/>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18.4.所有根据合同或其他原因应由设计人（勘察人）支付的税金和其他应缴纳的费用都要包括在合同金额中。</w:t>
      </w:r>
    </w:p>
    <w:p w14:paraId="1F398B2E">
      <w:pPr>
        <w:spacing w:line="360" w:lineRule="auto"/>
        <w:ind w:firstLine="424" w:firstLineChars="202"/>
        <w:jc w:val="left"/>
        <w:rPr>
          <w:rFonts w:ascii="宋体" w:hAnsi="宋体"/>
          <w:b/>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18.5.   ……                                       </w:t>
      </w:r>
    </w:p>
    <w:p w14:paraId="2C445DFA">
      <w:pPr>
        <w:tabs>
          <w:tab w:val="left" w:pos="624"/>
        </w:tabs>
        <w:ind w:firstLine="420" w:firstLineChars="200"/>
        <w:textAlignment w:val="auto"/>
        <w:rPr>
          <w:rFonts w:ascii="宋体" w:hAnsi="宋体"/>
          <w:color w:val="000000" w:themeColor="text1"/>
          <w:sz w:val="21"/>
          <w:szCs w:val="21"/>
          <w:highlight w:val="none"/>
          <w:u w:val="single"/>
          <w14:textFill>
            <w14:solidFill>
              <w14:schemeClr w14:val="tx1"/>
            </w14:solidFill>
          </w14:textFill>
        </w:rPr>
      </w:pPr>
    </w:p>
    <w:p w14:paraId="6539453F">
      <w:pPr>
        <w:tabs>
          <w:tab w:val="left" w:pos="624"/>
        </w:tabs>
        <w:ind w:firstLine="420" w:firstLineChars="200"/>
        <w:textAlignment w:val="auto"/>
        <w:rPr>
          <w:rFonts w:ascii="宋体" w:hAnsi="宋体"/>
          <w:color w:val="000000" w:themeColor="text1"/>
          <w:sz w:val="21"/>
          <w:szCs w:val="21"/>
          <w:highlight w:val="none"/>
          <w:u w:val="single"/>
          <w14:textFill>
            <w14:solidFill>
              <w14:schemeClr w14:val="tx1"/>
            </w14:solidFill>
          </w14:textFill>
        </w:rPr>
      </w:pPr>
    </w:p>
    <w:p w14:paraId="19B9E608">
      <w:pPr>
        <w:tabs>
          <w:tab w:val="left" w:pos="624"/>
        </w:tabs>
        <w:ind w:firstLine="420" w:firstLineChars="200"/>
        <w:textAlignment w:val="auto"/>
        <w:rPr>
          <w:rFonts w:ascii="宋体" w:hAnsi="宋体"/>
          <w:color w:val="000000" w:themeColor="text1"/>
          <w:sz w:val="21"/>
          <w:szCs w:val="21"/>
          <w:highlight w:val="none"/>
          <w:u w:val="single"/>
          <w14:textFill>
            <w14:solidFill>
              <w14:schemeClr w14:val="tx1"/>
            </w14:solidFill>
          </w14:textFill>
        </w:rPr>
      </w:pPr>
    </w:p>
    <w:p w14:paraId="2E1BC69B">
      <w:pPr>
        <w:tabs>
          <w:tab w:val="left" w:pos="624"/>
        </w:tabs>
        <w:ind w:firstLine="420" w:firstLineChars="200"/>
        <w:textAlignment w:val="auto"/>
        <w:rPr>
          <w:rFonts w:ascii="宋体" w:hAnsi="宋体"/>
          <w:color w:val="000000" w:themeColor="text1"/>
          <w:sz w:val="21"/>
          <w:szCs w:val="21"/>
          <w:highlight w:val="none"/>
          <w:u w:val="single"/>
          <w14:textFill>
            <w14:solidFill>
              <w14:schemeClr w14:val="tx1"/>
            </w14:solidFill>
          </w14:textFill>
        </w:rPr>
      </w:pPr>
    </w:p>
    <w:p w14:paraId="5AC60923">
      <w:pPr>
        <w:tabs>
          <w:tab w:val="left" w:pos="624"/>
        </w:tabs>
        <w:ind w:firstLine="420" w:firstLineChars="200"/>
        <w:textAlignment w:val="auto"/>
        <w:rPr>
          <w:rFonts w:ascii="宋体" w:hAnsi="宋体"/>
          <w:color w:val="000000" w:themeColor="text1"/>
          <w:sz w:val="21"/>
          <w:szCs w:val="21"/>
          <w:highlight w:val="none"/>
          <w:u w:val="single"/>
          <w14:textFill>
            <w14:solidFill>
              <w14:schemeClr w14:val="tx1"/>
            </w14:solidFill>
          </w14:textFill>
        </w:rPr>
      </w:pPr>
    </w:p>
    <w:p w14:paraId="2613FBB8">
      <w:pPr>
        <w:pStyle w:val="4"/>
        <w:jc w:val="center"/>
        <w:rPr>
          <w:rFonts w:ascii="黑体" w:hAnsi="黑体" w:eastAsia="黑体"/>
          <w:b w:val="0"/>
          <w:color w:val="000000" w:themeColor="text1"/>
          <w:sz w:val="28"/>
          <w:szCs w:val="28"/>
          <w:highlight w:val="none"/>
          <w14:textFill>
            <w14:solidFill>
              <w14:schemeClr w14:val="tx1"/>
            </w14:solidFill>
          </w14:textFill>
        </w:rPr>
      </w:pPr>
      <w:bookmarkStart w:id="831" w:name="_Toc16924"/>
      <w:bookmarkStart w:id="832" w:name="_Toc20318"/>
      <w:bookmarkStart w:id="833" w:name="_Toc32452"/>
      <w:bookmarkStart w:id="834" w:name="_Toc351203652"/>
      <w:r>
        <w:rPr>
          <w:rFonts w:hint="eastAsia" w:ascii="黑体" w:hAnsi="黑体" w:eastAsia="黑体"/>
          <w:b w:val="0"/>
          <w:color w:val="000000" w:themeColor="text1"/>
          <w:sz w:val="28"/>
          <w:szCs w:val="28"/>
          <w:highlight w:val="none"/>
          <w14:textFill>
            <w14:solidFill>
              <w14:schemeClr w14:val="tx1"/>
            </w14:solidFill>
          </w14:textFill>
        </w:rPr>
        <w:t>专用合同条款（适用</w:t>
      </w:r>
      <w:r>
        <w:rPr>
          <w:rFonts w:hint="eastAsia" w:ascii="黑体" w:hAnsi="黑体" w:eastAsia="黑体"/>
          <w:b w:val="0"/>
          <w:color w:val="000000" w:themeColor="text1"/>
          <w:sz w:val="28"/>
          <w:szCs w:val="28"/>
          <w:highlight w:val="none"/>
          <w:lang w:val="en-US" w:eastAsia="zh-CN"/>
          <w14:textFill>
            <w14:solidFill>
              <w14:schemeClr w14:val="tx1"/>
            </w14:solidFill>
          </w14:textFill>
        </w:rPr>
        <w:t>于</w:t>
      </w:r>
      <w:r>
        <w:rPr>
          <w:rFonts w:hint="eastAsia" w:ascii="黑体" w:hAnsi="黑体" w:eastAsia="黑体"/>
          <w:b w:val="0"/>
          <w:color w:val="000000" w:themeColor="text1"/>
          <w:sz w:val="28"/>
          <w:szCs w:val="28"/>
          <w:highlight w:val="none"/>
          <w14:textFill>
            <w14:solidFill>
              <w14:schemeClr w14:val="tx1"/>
            </w14:solidFill>
          </w14:textFill>
        </w:rPr>
        <w:t>市政基础设施工程）</w:t>
      </w:r>
      <w:bookmarkEnd w:id="831"/>
      <w:bookmarkEnd w:id="832"/>
      <w:bookmarkEnd w:id="833"/>
    </w:p>
    <w:p w14:paraId="025B12BF">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35" w:name="_Toc6826"/>
      <w:bookmarkStart w:id="836" w:name="_Toc10497"/>
      <w:bookmarkStart w:id="837" w:name="_Toc26388"/>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w:t>
      </w:r>
      <w:r>
        <w:rPr>
          <w:rFonts w:ascii="黑体" w:hAnsi="黑体" w:eastAsia="黑体"/>
          <w:b w:val="0"/>
          <w:color w:val="000000" w:themeColor="text1"/>
          <w:sz w:val="28"/>
          <w:szCs w:val="28"/>
          <w:highlight w:val="none"/>
          <w14:textFill>
            <w14:solidFill>
              <w14:schemeClr w14:val="tx1"/>
            </w14:solidFill>
          </w14:textFill>
        </w:rPr>
        <w:t>一般约定</w:t>
      </w:r>
      <w:bookmarkEnd w:id="835"/>
      <w:bookmarkEnd w:id="836"/>
      <w:bookmarkEnd w:id="837"/>
    </w:p>
    <w:p w14:paraId="1700F4B3">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 词语定义</w:t>
      </w:r>
      <w:r>
        <w:rPr>
          <w:rFonts w:hint="eastAsia" w:ascii="宋体" w:hAnsi="宋体"/>
          <w:color w:val="000000" w:themeColor="text1"/>
          <w:sz w:val="21"/>
          <w:szCs w:val="21"/>
          <w:highlight w:val="none"/>
          <w14:textFill>
            <w14:solidFill>
              <w14:schemeClr w14:val="tx1"/>
            </w14:solidFill>
          </w14:textFill>
        </w:rPr>
        <w:t>与解释</w:t>
      </w:r>
    </w:p>
    <w:p w14:paraId="1057041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1.1.1合同</w:t>
      </w:r>
    </w:p>
    <w:p w14:paraId="3913AD2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8 </w:t>
      </w:r>
      <w:r>
        <w:rPr>
          <w:rFonts w:ascii="宋体" w:hAnsi="宋体"/>
          <w:color w:val="000000" w:themeColor="text1"/>
          <w:sz w:val="21"/>
          <w:szCs w:val="21"/>
          <w:highlight w:val="none"/>
          <w14:textFill>
            <w14:solidFill>
              <w14:schemeClr w14:val="tx1"/>
            </w14:solidFill>
          </w14:textFill>
        </w:rPr>
        <w:t>其他合同文件包括：</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E9D6D76">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1.3</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法律 </w:t>
      </w:r>
    </w:p>
    <w:p w14:paraId="45183544">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适用于合同的其他规范性文件：</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A407679">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1.4 </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w:t>
      </w:r>
    </w:p>
    <w:p w14:paraId="17E09F7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1.4.1适用于工程的</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标准包括：</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p>
    <w:p w14:paraId="02409612">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1.4.2 </w:t>
      </w:r>
      <w:r>
        <w:rPr>
          <w:rFonts w:hint="eastAsia" w:ascii="宋体" w:hAnsi="宋体"/>
          <w:color w:val="000000" w:themeColor="text1"/>
          <w:sz w:val="21"/>
          <w:szCs w:val="21"/>
          <w:highlight w:val="none"/>
          <w14:textFill>
            <w14:solidFill>
              <w14:schemeClr w14:val="tx1"/>
            </w14:solidFill>
          </w14:textFill>
        </w:rPr>
        <w:t>国外技术标准原文版本和中文译本的提供方：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0FC88B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提供国外</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标准的名称：</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46D261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提供国外</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标准的份数：</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B82FA2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提供国外</w:t>
      </w:r>
      <w:r>
        <w:rPr>
          <w:rFonts w:hint="eastAsia" w:ascii="宋体" w:hAnsi="宋体"/>
          <w:color w:val="000000" w:themeColor="text1"/>
          <w:sz w:val="21"/>
          <w:szCs w:val="21"/>
          <w:highlight w:val="none"/>
          <w14:textFill>
            <w14:solidFill>
              <w14:schemeClr w14:val="tx1"/>
            </w14:solidFill>
          </w14:textFill>
        </w:rPr>
        <w:t>技术</w:t>
      </w:r>
      <w:r>
        <w:rPr>
          <w:rFonts w:ascii="宋体" w:hAnsi="宋体"/>
          <w:color w:val="000000" w:themeColor="text1"/>
          <w:sz w:val="21"/>
          <w:szCs w:val="21"/>
          <w:highlight w:val="none"/>
          <w14:textFill>
            <w14:solidFill>
              <w14:schemeClr w14:val="tx1"/>
            </w14:solidFill>
          </w14:textFill>
        </w:rPr>
        <w:t>标准的</w:t>
      </w:r>
      <w:r>
        <w:rPr>
          <w:rFonts w:hint="eastAsia" w:ascii="宋体" w:hAnsi="宋体"/>
          <w:color w:val="000000" w:themeColor="text1"/>
          <w:sz w:val="21"/>
          <w:szCs w:val="21"/>
          <w:highlight w:val="none"/>
          <w14:textFill>
            <w14:solidFill>
              <w14:schemeClr w14:val="tx1"/>
            </w14:solidFill>
          </w14:textFill>
        </w:rPr>
        <w:t>时间</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02D07F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提供国外技术标准的费用承担：</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627592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1.4.3</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发包人对工程的技术标准和功能要求的特殊要求：</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E359D9E">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1.5 合同文件的优先顺序</w:t>
      </w:r>
    </w:p>
    <w:p w14:paraId="016DE657">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合同文件组成及优先顺序为：</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9CF4CA5">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1.6 联络</w:t>
      </w:r>
    </w:p>
    <w:p w14:paraId="1FB658A3">
      <w:pPr>
        <w:spacing w:line="360" w:lineRule="auto"/>
        <w:ind w:left="400" w:left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发包人和设计人应当在</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天内将与合同有关的通知、批准、证明、证书、指示、指令、要求、请求、同意、确定和决定等书面函件送达对方当事人</w:t>
      </w:r>
      <w:r>
        <w:rPr>
          <w:rFonts w:hint="eastAsia" w:ascii="宋体" w:hAnsi="宋体"/>
          <w:color w:val="000000" w:themeColor="text1"/>
          <w:sz w:val="21"/>
          <w:szCs w:val="21"/>
          <w:highlight w:val="none"/>
          <w14:textFill>
            <w14:solidFill>
              <w14:schemeClr w14:val="tx1"/>
            </w14:solidFill>
          </w14:textFill>
        </w:rPr>
        <w:t>。</w:t>
      </w:r>
    </w:p>
    <w:p w14:paraId="31F9F8E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发包人和设计人联系信息</w:t>
      </w:r>
    </w:p>
    <w:p w14:paraId="7340A46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发包人接收文件的地点：</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54195F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发包人指定的接收人为：</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D13232C">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发包人指定的联系电话及传真号码：</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p>
    <w:p w14:paraId="624D3DF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发包人指定的电子邮箱：</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3FF210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人接收文件的地点：</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3767E5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人指定的接收人为：</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A4024DD">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设计人指定的联系电话及传真号码：</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p>
    <w:p w14:paraId="1BDE5D7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设计人指定的电子邮箱：</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828B72F">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1.8 保密</w:t>
      </w:r>
    </w:p>
    <w:p w14:paraId="4740AFA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保密期限：</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4152124">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38" w:name="_Toc4798"/>
      <w:bookmarkStart w:id="839" w:name="_Toc10174"/>
      <w:bookmarkStart w:id="840" w:name="_Toc29047"/>
      <w:r>
        <w:rPr>
          <w:rFonts w:ascii="黑体" w:hAnsi="黑体" w:eastAsia="黑体"/>
          <w:b w:val="0"/>
          <w:color w:val="000000" w:themeColor="text1"/>
          <w:sz w:val="28"/>
          <w:szCs w:val="28"/>
          <w:highlight w:val="none"/>
          <w14:textFill>
            <w14:solidFill>
              <w14:schemeClr w14:val="tx1"/>
            </w14:solidFill>
          </w14:textFill>
        </w:rPr>
        <w:t>2.发包人</w:t>
      </w:r>
      <w:bookmarkEnd w:id="838"/>
      <w:bookmarkEnd w:id="839"/>
      <w:bookmarkEnd w:id="840"/>
    </w:p>
    <w:p w14:paraId="764969F3">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 发包人一般义务</w:t>
      </w:r>
    </w:p>
    <w:p w14:paraId="1913531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 发包人其它义务：</w:t>
      </w:r>
    </w:p>
    <w:p w14:paraId="4515B58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（1）支付担保</w:t>
      </w:r>
    </w:p>
    <w:p w14:paraId="1C5362DC">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发包人是否提供支付担保：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07C366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发包人提供支付担保形式：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4C701E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38A299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67F8B80">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 发包人代表</w:t>
      </w:r>
    </w:p>
    <w:p w14:paraId="6500261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发包人代表</w:t>
      </w:r>
    </w:p>
    <w:p w14:paraId="5D5C0B3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姓    名：</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ED1FF8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身份证号：</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40A66D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职    务：</w:t>
      </w:r>
      <w:r>
        <w:rPr>
          <w:rFonts w:ascii="宋体" w:hAnsi="宋体"/>
          <w:color w:val="000000" w:themeColor="text1"/>
          <w:sz w:val="21"/>
          <w:szCs w:val="21"/>
          <w:highlight w:val="none"/>
          <w:u w:val="single"/>
          <w14:textFill>
            <w14:solidFill>
              <w14:schemeClr w14:val="tx1"/>
            </w14:solidFill>
          </w14:textFill>
        </w:rPr>
        <w:t>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751A52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联系电话：</w:t>
      </w:r>
      <w:r>
        <w:rPr>
          <w:rFonts w:ascii="宋体" w:hAnsi="宋体"/>
          <w:color w:val="000000" w:themeColor="text1"/>
          <w:sz w:val="21"/>
          <w:szCs w:val="21"/>
          <w:highlight w:val="none"/>
          <w:u w:val="single"/>
          <w14:textFill>
            <w14:solidFill>
              <w14:schemeClr w14:val="tx1"/>
            </w14:solidFill>
          </w14:textFill>
        </w:rPr>
        <w:t>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6F2004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电子信箱：</w:t>
      </w:r>
      <w:r>
        <w:rPr>
          <w:rFonts w:ascii="宋体" w:hAnsi="宋体"/>
          <w:color w:val="000000" w:themeColor="text1"/>
          <w:sz w:val="21"/>
          <w:szCs w:val="21"/>
          <w:highlight w:val="none"/>
          <w:u w:val="single"/>
          <w14:textFill>
            <w14:solidFill>
              <w14:schemeClr w14:val="tx1"/>
            </w14:solidFill>
          </w14:textFill>
        </w:rPr>
        <w:t>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4D434E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通信地址：</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3661BC49">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发包人对发包人代表的授权范围如下：</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5559984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E3F5D98">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发包人更换发包人代表的，应当提前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天书面通知设计人。</w:t>
      </w:r>
    </w:p>
    <w:p w14:paraId="010B6113">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发包人决定</w:t>
      </w:r>
    </w:p>
    <w:p w14:paraId="75A352F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发包人应在</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天内对设计人书面提出的事项作出书面决定</w:t>
      </w:r>
      <w:r>
        <w:rPr>
          <w:rFonts w:ascii="宋体" w:hAnsi="宋体"/>
          <w:color w:val="000000" w:themeColor="text1"/>
          <w:sz w:val="21"/>
          <w:szCs w:val="21"/>
          <w:highlight w:val="none"/>
          <w14:textFill>
            <w14:solidFill>
              <w14:schemeClr w14:val="tx1"/>
            </w14:solidFill>
          </w14:textFill>
        </w:rPr>
        <w:t>。</w:t>
      </w:r>
    </w:p>
    <w:p w14:paraId="4525B531">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41" w:name="_Toc738"/>
      <w:bookmarkStart w:id="842" w:name="_Toc3789"/>
      <w:bookmarkStart w:id="843" w:name="_Toc23832"/>
      <w:r>
        <w:rPr>
          <w:rFonts w:ascii="黑体" w:hAnsi="黑体" w:eastAsia="黑体"/>
          <w:b w:val="0"/>
          <w:color w:val="000000" w:themeColor="text1"/>
          <w:sz w:val="28"/>
          <w:szCs w:val="28"/>
          <w:highlight w:val="none"/>
          <w14:textFill>
            <w14:solidFill>
              <w14:schemeClr w14:val="tx1"/>
            </w14:solidFill>
          </w14:textFill>
        </w:rPr>
        <w:t>3.</w:t>
      </w:r>
      <w:r>
        <w:rPr>
          <w:rFonts w:hint="eastAsia" w:ascii="黑体" w:hAnsi="黑体" w:eastAsia="黑体"/>
          <w:b w:val="0"/>
          <w:color w:val="000000" w:themeColor="text1"/>
          <w:sz w:val="28"/>
          <w:szCs w:val="28"/>
          <w:highlight w:val="none"/>
          <w14:textFill>
            <w14:solidFill>
              <w14:schemeClr w14:val="tx1"/>
            </w14:solidFill>
          </w14:textFill>
        </w:rPr>
        <w:t>设计</w:t>
      </w:r>
      <w:r>
        <w:rPr>
          <w:rFonts w:ascii="黑体" w:hAnsi="黑体" w:eastAsia="黑体"/>
          <w:b w:val="0"/>
          <w:color w:val="000000" w:themeColor="text1"/>
          <w:sz w:val="28"/>
          <w:szCs w:val="28"/>
          <w:highlight w:val="none"/>
          <w14:textFill>
            <w14:solidFill>
              <w14:schemeClr w14:val="tx1"/>
            </w14:solidFill>
          </w14:textFill>
        </w:rPr>
        <w:t>人</w:t>
      </w:r>
      <w:bookmarkEnd w:id="841"/>
      <w:bookmarkEnd w:id="842"/>
      <w:bookmarkEnd w:id="843"/>
    </w:p>
    <w:p w14:paraId="190484F2">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 设计人一般义务</w:t>
      </w:r>
    </w:p>
    <w:p w14:paraId="1E5E949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3.1.1 设计人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（需/不需）配合发包人</w:t>
      </w:r>
      <w:r>
        <w:rPr>
          <w:rFonts w:ascii="宋体" w:hAnsi="宋体"/>
          <w:color w:val="000000" w:themeColor="text1"/>
          <w:sz w:val="21"/>
          <w:szCs w:val="21"/>
          <w:highlight w:val="none"/>
          <w14:textFill>
            <w14:solidFill>
              <w14:schemeClr w14:val="tx1"/>
            </w14:solidFill>
          </w14:textFill>
        </w:rPr>
        <w:t>办理</w:t>
      </w:r>
      <w:r>
        <w:rPr>
          <w:rFonts w:hint="eastAsia" w:ascii="宋体" w:hAnsi="宋体"/>
          <w:color w:val="000000" w:themeColor="text1"/>
          <w:sz w:val="21"/>
          <w:szCs w:val="21"/>
          <w:highlight w:val="none"/>
          <w14:textFill>
            <w14:solidFill>
              <w14:schemeClr w14:val="tx1"/>
            </w14:solidFill>
          </w14:textFill>
        </w:rPr>
        <w:t>有关</w:t>
      </w:r>
      <w:r>
        <w:rPr>
          <w:rFonts w:ascii="宋体" w:hAnsi="宋体"/>
          <w:color w:val="000000" w:themeColor="text1"/>
          <w:sz w:val="21"/>
          <w:szCs w:val="21"/>
          <w:highlight w:val="none"/>
          <w14:textFill>
            <w14:solidFill>
              <w14:schemeClr w14:val="tx1"/>
            </w14:solidFill>
          </w14:textFill>
        </w:rPr>
        <w:t>许可、批准或备案</w:t>
      </w:r>
      <w:r>
        <w:rPr>
          <w:rFonts w:hint="eastAsia" w:ascii="宋体" w:hAnsi="宋体"/>
          <w:color w:val="000000" w:themeColor="text1"/>
          <w:sz w:val="21"/>
          <w:szCs w:val="21"/>
          <w:highlight w:val="none"/>
          <w14:textFill>
            <w14:solidFill>
              <w14:schemeClr w14:val="tx1"/>
            </w14:solidFill>
          </w14:textFill>
        </w:rPr>
        <w:t>手续。</w:t>
      </w:r>
    </w:p>
    <w:p w14:paraId="0EDD0ED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3.1.3 设计人其他义务：</w:t>
      </w:r>
    </w:p>
    <w:p w14:paraId="7DFD52F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（1）履约保担保</w:t>
      </w:r>
    </w:p>
    <w:p w14:paraId="4E8B6409">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设计人是否提供履约担保：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EBA5323">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设计人提供履约担保形式、金额及期限：</w:t>
      </w:r>
      <w:r>
        <w:rPr>
          <w:rFonts w:hint="eastAsia" w:ascii="宋体" w:hAnsi="宋体"/>
          <w:color w:val="000000" w:themeColor="text1"/>
          <w:sz w:val="21"/>
          <w:szCs w:val="21"/>
          <w:highlight w:val="none"/>
          <w:u w:val="single"/>
          <w14:textFill>
            <w14:solidFill>
              <w14:schemeClr w14:val="tx1"/>
            </w14:solidFill>
          </w14:textFill>
        </w:rPr>
        <w:t xml:space="preserve">                                             </w:t>
      </w:r>
    </w:p>
    <w:p w14:paraId="5F74E0C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1BF42AE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D2707F2">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 项目负责人</w:t>
      </w:r>
    </w:p>
    <w:p w14:paraId="2D1F2D0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3.2.1 项目负责人</w:t>
      </w:r>
    </w:p>
    <w:p w14:paraId="0AA7BE1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姓    名：</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35ADD13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执业资格</w:t>
      </w:r>
      <w:r>
        <w:rPr>
          <w:rFonts w:hint="eastAsia" w:ascii="宋体" w:hAnsi="宋体"/>
          <w:color w:val="000000" w:themeColor="text1"/>
          <w:sz w:val="21"/>
          <w:szCs w:val="21"/>
          <w:highlight w:val="none"/>
          <w14:textFill>
            <w14:solidFill>
              <w14:schemeClr w14:val="tx1"/>
            </w14:solidFill>
          </w14:textFill>
        </w:rPr>
        <w:t>及</w:t>
      </w:r>
      <w:r>
        <w:rPr>
          <w:rFonts w:ascii="宋体" w:hAnsi="宋体"/>
          <w:color w:val="000000" w:themeColor="text1"/>
          <w:sz w:val="21"/>
          <w:szCs w:val="21"/>
          <w:highlight w:val="none"/>
          <w14:textFill>
            <w14:solidFill>
              <w14:schemeClr w14:val="tx1"/>
            </w14:solidFill>
          </w14:textFill>
        </w:rPr>
        <w:t>等级：</w:t>
      </w:r>
      <w:r>
        <w:rPr>
          <w:rFonts w:ascii="宋体" w:hAnsi="宋体"/>
          <w:color w:val="000000" w:themeColor="text1"/>
          <w:sz w:val="21"/>
          <w:szCs w:val="21"/>
          <w:highlight w:val="none"/>
          <w:u w:val="single"/>
          <w14:textFill>
            <w14:solidFill>
              <w14:schemeClr w14:val="tx1"/>
            </w14:solidFill>
          </w14:textFill>
        </w:rPr>
        <w:t>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17D694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注册证书号：</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468153F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联系电话：</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02CCED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电子信箱：</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10F20B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通信地址：</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8085F3C">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人对项目负责人的授权范围如下：</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7E22B27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D2E1C5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设计人更换项目负责人的，应提前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天书面通知发包人。</w:t>
      </w:r>
    </w:p>
    <w:p w14:paraId="25FD657D">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人擅自更换项目负责人的违约责任：</w:t>
      </w:r>
      <w:r>
        <w:rPr>
          <w:rFonts w:ascii="宋体" w:hAnsi="宋体"/>
          <w:color w:val="000000" w:themeColor="text1"/>
          <w:sz w:val="21"/>
          <w:szCs w:val="21"/>
          <w:highlight w:val="none"/>
          <w:u w:val="single"/>
          <w14:textFill>
            <w14:solidFill>
              <w14:schemeClr w14:val="tx1"/>
            </w14:solidFill>
          </w14:textFill>
        </w:rPr>
        <w:t xml:space="preserve">     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2007EBF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BCCF3D6">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3.2.</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设计人应在收到书面更换通知后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天内更换项目负责人。</w:t>
      </w:r>
    </w:p>
    <w:p w14:paraId="42793FC1">
      <w:pPr>
        <w:adjustRightInd/>
        <w:spacing w:line="360" w:lineRule="auto"/>
        <w:ind w:firstLine="420" w:firstLineChars="200"/>
        <w:jc w:val="left"/>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人无正当理由拒绝更换</w:t>
      </w:r>
      <w:r>
        <w:rPr>
          <w:rFonts w:hint="eastAsia" w:ascii="宋体" w:hAnsi="宋体"/>
          <w:color w:val="000000" w:themeColor="text1"/>
          <w:sz w:val="21"/>
          <w:szCs w:val="21"/>
          <w:highlight w:val="none"/>
          <w14:textFill>
            <w14:solidFill>
              <w14:schemeClr w14:val="tx1"/>
            </w14:solidFill>
          </w14:textFill>
        </w:rPr>
        <w:t>项目负责人</w:t>
      </w:r>
      <w:r>
        <w:rPr>
          <w:rFonts w:ascii="宋体" w:hAnsi="宋体"/>
          <w:color w:val="000000" w:themeColor="text1"/>
          <w:sz w:val="21"/>
          <w:szCs w:val="21"/>
          <w:highlight w:val="none"/>
          <w14:textFill>
            <w14:solidFill>
              <w14:schemeClr w14:val="tx1"/>
            </w14:solidFill>
          </w14:textFill>
        </w:rPr>
        <w:t>的违约责任：</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4CA73396">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FA63BB4">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3.3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人人员</w:t>
      </w:r>
    </w:p>
    <w:p w14:paraId="16F4AD04">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3.3.1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人提交项目管理机构及人员安排报告的期限</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F2ADDC2">
      <w:pPr>
        <w:adjustRightInd/>
        <w:spacing w:line="360" w:lineRule="auto"/>
        <w:ind w:firstLine="420" w:firstLineChars="200"/>
        <w:jc w:val="left"/>
        <w:textAlignment w:val="auto"/>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3.3.3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人无正当理由拒绝撤换主要</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人员的违约责任：</w:t>
      </w:r>
      <w:r>
        <w:rPr>
          <w:rFonts w:hint="eastAsia" w:ascii="宋体" w:hAnsi="宋体"/>
          <w:color w:val="000000" w:themeColor="text1"/>
          <w:sz w:val="21"/>
          <w:szCs w:val="21"/>
          <w:highlight w:val="none"/>
          <w:u w:val="single"/>
          <w14:textFill>
            <w14:solidFill>
              <w14:schemeClr w14:val="tx1"/>
            </w14:solidFill>
          </w14:textFill>
        </w:rPr>
        <w:t xml:space="preserve">                          </w:t>
      </w:r>
    </w:p>
    <w:p w14:paraId="63786243">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4BF086A">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w:t>
      </w:r>
    </w:p>
    <w:p w14:paraId="329C69D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分包的一般约定</w:t>
      </w:r>
    </w:p>
    <w:p w14:paraId="4A853D2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禁止</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分包的工程包括：</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73C8B0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主体结构、关键性工作的范围：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430DDD7">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3.</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分包的确定</w:t>
      </w:r>
    </w:p>
    <w:p w14:paraId="55D33E0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允许分包的专业工程包括：</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1CAD2B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其他关于分包的约定：</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092BAD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3.4.3 设计人向发包人提交有关分包人资料包括：</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C20E3C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3.4.4 分包工程设计费支付方式：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8795E74">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联合体</w:t>
      </w:r>
    </w:p>
    <w:p w14:paraId="644D1E8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3.5.4 发包人向联合体支付设计费用的方式：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4C4C3D5">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44" w:name="_Toc15423"/>
      <w:bookmarkStart w:id="845" w:name="_Toc21978"/>
      <w:bookmarkStart w:id="846" w:name="_Toc22316"/>
      <w:r>
        <w:rPr>
          <w:rFonts w:hint="eastAsia" w:ascii="黑体" w:hAnsi="黑体" w:eastAsia="黑体"/>
          <w:b w:val="0"/>
          <w:color w:val="000000" w:themeColor="text1"/>
          <w:sz w:val="28"/>
          <w:szCs w:val="28"/>
          <w:highlight w:val="none"/>
          <w14:textFill>
            <w14:solidFill>
              <w14:schemeClr w14:val="tx1"/>
            </w14:solidFill>
          </w14:textFill>
        </w:rPr>
        <w:t>5</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工程设计要求</w:t>
      </w:r>
      <w:bookmarkEnd w:id="844"/>
      <w:bookmarkEnd w:id="845"/>
      <w:bookmarkEnd w:id="846"/>
    </w:p>
    <w:p w14:paraId="2B728B04">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工程设计一般要求</w:t>
      </w:r>
    </w:p>
    <w:p w14:paraId="5A3FB372">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2.1</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工程设计的特殊标准或要求</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C65FD7A">
      <w:pPr>
        <w:spacing w:line="360" w:lineRule="auto"/>
        <w:ind w:firstLine="441" w:firstLineChars="21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5.1.2.2 工程设计适用的技术标准：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7A6F1F5">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 工程设计文件的要求</w:t>
      </w:r>
    </w:p>
    <w:p w14:paraId="43BB149D">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5.3.3 工程设计文件深度规定：</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4C7D592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5.3.5 工程的合理使用寿命年限</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7EB63C5">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47" w:name="_Toc2368"/>
      <w:bookmarkStart w:id="848" w:name="_Toc22672"/>
      <w:bookmarkStart w:id="849" w:name="_Toc19481"/>
      <w:r>
        <w:rPr>
          <w:rFonts w:hint="eastAsia" w:ascii="黑体" w:hAnsi="黑体" w:eastAsia="黑体"/>
          <w:b w:val="0"/>
          <w:color w:val="000000" w:themeColor="text1"/>
          <w:sz w:val="28"/>
          <w:szCs w:val="28"/>
          <w:highlight w:val="none"/>
          <w14:textFill>
            <w14:solidFill>
              <w14:schemeClr w14:val="tx1"/>
            </w14:solidFill>
          </w14:textFill>
        </w:rPr>
        <w:t>6</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w:t>
      </w:r>
      <w:r>
        <w:rPr>
          <w:rFonts w:ascii="黑体" w:hAnsi="黑体" w:eastAsia="黑体"/>
          <w:b w:val="0"/>
          <w:color w:val="000000" w:themeColor="text1"/>
          <w:sz w:val="28"/>
          <w:szCs w:val="28"/>
          <w:highlight w:val="none"/>
          <w14:textFill>
            <w14:solidFill>
              <w14:schemeClr w14:val="tx1"/>
            </w14:solidFill>
          </w14:textFill>
        </w:rPr>
        <w:t>进度</w:t>
      </w:r>
      <w:r>
        <w:rPr>
          <w:rFonts w:hint="eastAsia" w:ascii="黑体" w:hAnsi="黑体" w:eastAsia="黑体"/>
          <w:b w:val="0"/>
          <w:color w:val="000000" w:themeColor="text1"/>
          <w:sz w:val="28"/>
          <w:szCs w:val="28"/>
          <w:highlight w:val="none"/>
          <w14:textFill>
            <w14:solidFill>
              <w14:schemeClr w14:val="tx1"/>
            </w14:solidFill>
          </w14:textFill>
        </w:rPr>
        <w:t>与周期</w:t>
      </w:r>
      <w:bookmarkEnd w:id="847"/>
      <w:bookmarkEnd w:id="848"/>
      <w:bookmarkEnd w:id="849"/>
    </w:p>
    <w:p w14:paraId="01330787">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.1 </w:t>
      </w:r>
      <w:r>
        <w:rPr>
          <w:rFonts w:hint="eastAsia" w:ascii="宋体" w:hAnsi="宋体"/>
          <w:color w:val="000000" w:themeColor="text1"/>
          <w:sz w:val="21"/>
          <w:szCs w:val="21"/>
          <w:highlight w:val="none"/>
          <w14:textFill>
            <w14:solidFill>
              <w14:schemeClr w14:val="tx1"/>
            </w14:solidFill>
          </w14:textFill>
        </w:rPr>
        <w:t>工程设计进度计划</w:t>
      </w:r>
    </w:p>
    <w:p w14:paraId="765D6134">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1 工程设计进度计划的编制</w:t>
      </w:r>
    </w:p>
    <w:p w14:paraId="35B2A6A8">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合同当事人约定的工程设计进度计划提交的时间：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9D90A57">
      <w:pPr>
        <w:autoSpaceDE w:val="0"/>
        <w:autoSpaceDN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合同当事人约定的工程设计进度计划应包括的内容</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CDD0793">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.1.2 </w:t>
      </w:r>
      <w:r>
        <w:rPr>
          <w:rFonts w:hint="eastAsia" w:ascii="宋体" w:hAnsi="宋体"/>
          <w:color w:val="000000" w:themeColor="text1"/>
          <w:sz w:val="21"/>
          <w:szCs w:val="21"/>
          <w:highlight w:val="none"/>
          <w14:textFill>
            <w14:solidFill>
              <w14:schemeClr w14:val="tx1"/>
            </w14:solidFill>
          </w14:textFill>
        </w:rPr>
        <w:t>工程设计进度计划的修订</w:t>
      </w:r>
    </w:p>
    <w:p w14:paraId="6790EB2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发包人在收到</w:t>
      </w:r>
      <w:r>
        <w:rPr>
          <w:rFonts w:hint="eastAsia" w:ascii="宋体" w:hAnsi="宋体"/>
          <w:color w:val="000000" w:themeColor="text1"/>
          <w:sz w:val="21"/>
          <w:szCs w:val="21"/>
          <w:highlight w:val="none"/>
          <w14:textFill>
            <w14:solidFill>
              <w14:schemeClr w14:val="tx1"/>
            </w14:solidFill>
          </w14:textFill>
        </w:rPr>
        <w:t>工程设计进度计划</w:t>
      </w:r>
      <w:r>
        <w:rPr>
          <w:rFonts w:ascii="宋体" w:hAnsi="宋体"/>
          <w:color w:val="000000" w:themeColor="text1"/>
          <w:sz w:val="21"/>
          <w:szCs w:val="21"/>
          <w:highlight w:val="none"/>
          <w14:textFill>
            <w14:solidFill>
              <w14:schemeClr w14:val="tx1"/>
            </w14:solidFill>
          </w14:textFill>
        </w:rPr>
        <w:t>后确认或提出修改意见的期限：</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16DE581">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w:t>
      </w:r>
    </w:p>
    <w:p w14:paraId="5791325F">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因发包人原因导致</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w:t>
      </w:r>
    </w:p>
    <w:p w14:paraId="6982E962">
      <w:pPr>
        <w:adjustRightInd/>
        <w:spacing w:line="360" w:lineRule="auto"/>
        <w:ind w:firstLine="420" w:firstLineChars="200"/>
        <w:jc w:val="left"/>
        <w:textAlignment w:val="auto"/>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）因发包人原因导致</w:t>
      </w:r>
      <w:r>
        <w:rPr>
          <w:rFonts w:hint="eastAsia" w:ascii="宋体" w:hAnsi="宋体"/>
          <w:color w:val="000000" w:themeColor="text1"/>
          <w:sz w:val="21"/>
          <w:szCs w:val="21"/>
          <w:highlight w:val="none"/>
          <w14:textFill>
            <w14:solidFill>
              <w14:schemeClr w14:val="tx1"/>
            </w14:solidFill>
          </w14:textFill>
        </w:rPr>
        <w:t>工程设计进度</w:t>
      </w:r>
      <w:r>
        <w:rPr>
          <w:rFonts w:ascii="宋体" w:hAnsi="宋体"/>
          <w:color w:val="000000" w:themeColor="text1"/>
          <w:sz w:val="21"/>
          <w:szCs w:val="21"/>
          <w:highlight w:val="none"/>
          <w14:textFill>
            <w14:solidFill>
              <w14:schemeClr w14:val="tx1"/>
            </w14:solidFill>
          </w14:textFill>
        </w:rPr>
        <w:t>延误的其他情形：</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23078E51">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 xml:space="preserve">          </w:t>
      </w:r>
    </w:p>
    <w:p w14:paraId="536F93CF">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设计人应在发生</w:t>
      </w:r>
      <w:r>
        <w:rPr>
          <w:rFonts w:hint="eastAsia" w:ascii="宋体" w:hAnsi="宋体"/>
          <w:color w:val="000000" w:themeColor="text1"/>
          <w:sz w:val="21"/>
          <w:szCs w:val="21"/>
          <w:highlight w:val="none"/>
          <w14:textFill>
            <w14:solidFill>
              <w14:schemeClr w14:val="tx1"/>
            </w14:solidFill>
          </w14:textFill>
        </w:rPr>
        <w:t>进度延误的情形</w:t>
      </w:r>
      <w:r>
        <w:rPr>
          <w:rFonts w:ascii="宋体" w:hAnsi="宋体"/>
          <w:color w:val="000000" w:themeColor="text1"/>
          <w:sz w:val="21"/>
          <w:szCs w:val="21"/>
          <w:highlight w:val="none"/>
          <w14:textFill>
            <w14:solidFill>
              <w14:schemeClr w14:val="tx1"/>
            </w14:solidFill>
          </w14:textFill>
        </w:rPr>
        <w:t>后</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天内向发包人发出要求延期的书面通知，在</w:t>
      </w:r>
      <w:r>
        <w:rPr>
          <w:rFonts w:hint="eastAsia" w:ascii="宋体" w:hAnsi="宋体"/>
          <w:color w:val="000000" w:themeColor="text1"/>
          <w:sz w:val="21"/>
          <w:szCs w:val="21"/>
          <w:highlight w:val="none"/>
          <w14:textFill>
            <w14:solidFill>
              <w14:schemeClr w14:val="tx1"/>
            </w14:solidFill>
          </w14:textFill>
        </w:rPr>
        <w:t>发生该情形</w:t>
      </w:r>
      <w:r>
        <w:rPr>
          <w:rFonts w:ascii="宋体" w:hAnsi="宋体"/>
          <w:color w:val="000000" w:themeColor="text1"/>
          <w:sz w:val="21"/>
          <w:szCs w:val="21"/>
          <w:highlight w:val="none"/>
          <w14:textFill>
            <w14:solidFill>
              <w14:schemeClr w14:val="tx1"/>
            </w14:solidFill>
          </w14:textFill>
        </w:rPr>
        <w:t>后</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天内提交要求延期的详细说明。</w:t>
      </w:r>
    </w:p>
    <w:p w14:paraId="18815418">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发包人收到设计人要求延期的详细说明后，应在</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天内进行审查并书面答复。</w:t>
      </w:r>
    </w:p>
    <w:p w14:paraId="7A93A866">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 xml:space="preserve"> 提前</w:t>
      </w:r>
      <w:r>
        <w:rPr>
          <w:rFonts w:hint="eastAsia" w:ascii="宋体" w:hAnsi="宋体"/>
          <w:color w:val="000000" w:themeColor="text1"/>
          <w:sz w:val="21"/>
          <w:szCs w:val="21"/>
          <w:highlight w:val="none"/>
          <w14:textFill>
            <w14:solidFill>
              <w14:schemeClr w14:val="tx1"/>
            </w14:solidFill>
          </w14:textFill>
        </w:rPr>
        <w:t>交付工程设计文件</w:t>
      </w:r>
    </w:p>
    <w:p w14:paraId="522F80F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提前</w:t>
      </w:r>
      <w:r>
        <w:rPr>
          <w:rFonts w:hint="eastAsia" w:ascii="宋体" w:hAnsi="宋体"/>
          <w:color w:val="000000" w:themeColor="text1"/>
          <w:sz w:val="21"/>
          <w:szCs w:val="21"/>
          <w:highlight w:val="none"/>
          <w14:textFill>
            <w14:solidFill>
              <w14:schemeClr w14:val="tx1"/>
            </w14:solidFill>
          </w14:textFill>
        </w:rPr>
        <w:t>交付工程设计文件</w:t>
      </w:r>
      <w:r>
        <w:rPr>
          <w:rFonts w:ascii="宋体" w:hAnsi="宋体"/>
          <w:color w:val="000000" w:themeColor="text1"/>
          <w:sz w:val="21"/>
          <w:szCs w:val="21"/>
          <w:highlight w:val="none"/>
          <w14:textFill>
            <w14:solidFill>
              <w14:schemeClr w14:val="tx1"/>
            </w14:solidFill>
          </w14:textFill>
        </w:rPr>
        <w:t>的奖励：</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34F9405C">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50" w:name="_Toc27296"/>
      <w:bookmarkStart w:id="851" w:name="_Toc27056"/>
      <w:bookmarkStart w:id="852" w:name="_Toc14377"/>
      <w:r>
        <w:rPr>
          <w:rFonts w:ascii="黑体" w:hAnsi="黑体" w:eastAsia="黑体"/>
          <w:b w:val="0"/>
          <w:color w:val="000000" w:themeColor="text1"/>
          <w:sz w:val="28"/>
          <w:szCs w:val="28"/>
          <w:highlight w:val="none"/>
          <w14:textFill>
            <w14:solidFill>
              <w14:schemeClr w14:val="tx1"/>
            </w14:solidFill>
          </w14:textFill>
        </w:rPr>
        <w:t>7</w:t>
      </w:r>
      <w:r>
        <w:rPr>
          <w:rFonts w:hint="eastAsia" w:ascii="黑体" w:hAnsi="黑体" w:eastAsia="黑体"/>
          <w:b w:val="0"/>
          <w:color w:val="000000" w:themeColor="text1"/>
          <w:sz w:val="28"/>
          <w:szCs w:val="28"/>
          <w:highlight w:val="none"/>
          <w14:textFill>
            <w14:solidFill>
              <w14:schemeClr w14:val="tx1"/>
            </w14:solidFill>
          </w14:textFill>
        </w:rPr>
        <w:t>.工程设计文件交付</w:t>
      </w:r>
      <w:bookmarkEnd w:id="850"/>
      <w:bookmarkEnd w:id="851"/>
      <w:bookmarkEnd w:id="852"/>
    </w:p>
    <w:p w14:paraId="26FFEC90">
      <w:pPr>
        <w:pStyle w:val="6"/>
        <w:adjustRightInd/>
        <w:spacing w:before="0" w:after="0" w:line="360" w:lineRule="auto"/>
        <w:ind w:firstLine="438" w:firstLineChars="209"/>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7</w:t>
      </w:r>
      <w:r>
        <w:rPr>
          <w:rFonts w:ascii="宋体" w:hAnsi="宋体"/>
          <w:b w:val="0"/>
          <w:bCs w:val="0"/>
          <w:color w:val="000000" w:themeColor="text1"/>
          <w:sz w:val="21"/>
          <w:szCs w:val="21"/>
          <w:highlight w:val="none"/>
          <w14:textFill>
            <w14:solidFill>
              <w14:schemeClr w14:val="tx1"/>
            </w14:solidFill>
          </w14:textFill>
        </w:rPr>
        <w:t>.1</w:t>
      </w:r>
      <w:r>
        <w:rPr>
          <w:rFonts w:hint="eastAsia" w:ascii="宋体" w:hAnsi="宋体"/>
          <w:b w:val="0"/>
          <w:bCs w:val="0"/>
          <w:color w:val="000000" w:themeColor="text1"/>
          <w:sz w:val="21"/>
          <w:szCs w:val="21"/>
          <w:highlight w:val="none"/>
          <w14:textFill>
            <w14:solidFill>
              <w14:schemeClr w14:val="tx1"/>
            </w14:solidFill>
          </w14:textFill>
        </w:rPr>
        <w:t xml:space="preserve"> 工程设计文件交付的内容</w:t>
      </w:r>
    </w:p>
    <w:p w14:paraId="288FF452">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7.1.2 发包人要求设计人提交电子版设计文件的具体形式为：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ED1A66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53" w:name="_Toc13477"/>
      <w:bookmarkStart w:id="854" w:name="_Toc4675"/>
      <w:bookmarkStart w:id="855" w:name="_Toc2557"/>
      <w:r>
        <w:rPr>
          <w:rFonts w:hint="eastAsia" w:ascii="黑体" w:hAnsi="黑体" w:eastAsia="黑体"/>
          <w:b w:val="0"/>
          <w:color w:val="000000" w:themeColor="text1"/>
          <w:sz w:val="28"/>
          <w:szCs w:val="28"/>
          <w:highlight w:val="none"/>
          <w14:textFill>
            <w14:solidFill>
              <w14:schemeClr w14:val="tx1"/>
            </w14:solidFill>
          </w14:textFill>
        </w:rPr>
        <w:t>8</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工程设计文件审查</w:t>
      </w:r>
      <w:bookmarkEnd w:id="853"/>
      <w:bookmarkEnd w:id="854"/>
      <w:bookmarkEnd w:id="855"/>
    </w:p>
    <w:p w14:paraId="54BC25CC">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 发包人对设计人的设计文件审查期限不超过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w:t>
      </w:r>
    </w:p>
    <w:p w14:paraId="0E2513DE">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8.3发包人应在审查同意设计人的工程设计文件后在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天内，向政府有关部门报送工程设计文件。</w:t>
      </w:r>
    </w:p>
    <w:p w14:paraId="796DCEED">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8.4 工程设计审查形式及时间安排：</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BF298B8">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56" w:name="_Toc2372"/>
      <w:bookmarkStart w:id="857" w:name="_Toc22940"/>
      <w:bookmarkStart w:id="858" w:name="_Toc4031"/>
      <w:r>
        <w:rPr>
          <w:rFonts w:hint="eastAsia" w:ascii="黑体" w:hAnsi="黑体" w:eastAsia="黑体"/>
          <w:b w:val="0"/>
          <w:color w:val="000000" w:themeColor="text1"/>
          <w:sz w:val="28"/>
          <w:szCs w:val="28"/>
          <w:highlight w:val="none"/>
          <w14:textFill>
            <w14:solidFill>
              <w14:schemeClr w14:val="tx1"/>
            </w14:solidFill>
          </w14:textFill>
        </w:rPr>
        <w:t>9</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施工现场配合服务</w:t>
      </w:r>
      <w:bookmarkEnd w:id="856"/>
      <w:bookmarkEnd w:id="857"/>
      <w:bookmarkEnd w:id="858"/>
    </w:p>
    <w:p w14:paraId="1F246258">
      <w:pPr>
        <w:adjustRightInd/>
        <w:spacing w:line="360" w:lineRule="auto"/>
        <w:ind w:firstLine="420" w:firstLineChars="200"/>
        <w:jc w:val="left"/>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 发包人为设计人派赴现场的工作人员提供便利条件的内容包括：</w:t>
      </w:r>
      <w:r>
        <w:rPr>
          <w:rFonts w:hint="eastAsia" w:ascii="宋体" w:hAnsi="宋体"/>
          <w:color w:val="000000" w:themeColor="text1"/>
          <w:sz w:val="21"/>
          <w:szCs w:val="21"/>
          <w:highlight w:val="none"/>
          <w:u w:val="single"/>
          <w14:textFill>
            <w14:solidFill>
              <w14:schemeClr w14:val="tx1"/>
            </w14:solidFill>
          </w14:textFill>
        </w:rPr>
        <w:t xml:space="preserve">                     </w:t>
      </w:r>
    </w:p>
    <w:p w14:paraId="0E23D3A4">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04B3E72">
      <w:pPr>
        <w:adjustRightInd/>
        <w:spacing w:line="360" w:lineRule="auto"/>
        <w:ind w:firstLine="420" w:firstLineChars="200"/>
        <w:jc w:val="left"/>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9.2 设计人应当在交付施工图设计文件并经审查合格后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时间内提供施工现场配合服务。</w:t>
      </w:r>
    </w:p>
    <w:p w14:paraId="38184A07">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59" w:name="_Toc9974"/>
      <w:bookmarkStart w:id="860" w:name="_Toc25963"/>
      <w:bookmarkStart w:id="861" w:name="_Toc17957"/>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0</w:t>
      </w:r>
      <w:r>
        <w:rPr>
          <w:rFonts w:ascii="黑体" w:hAnsi="黑体" w:eastAsia="黑体"/>
          <w:b w:val="0"/>
          <w:color w:val="000000" w:themeColor="text1"/>
          <w:sz w:val="28"/>
          <w:szCs w:val="28"/>
          <w:highlight w:val="none"/>
          <w14:textFill>
            <w14:solidFill>
              <w14:schemeClr w14:val="tx1"/>
            </w14:solidFill>
          </w14:textFill>
        </w:rPr>
        <w:t>.合同价</w:t>
      </w:r>
      <w:r>
        <w:rPr>
          <w:rFonts w:hint="eastAsia" w:ascii="黑体" w:hAnsi="黑体" w:eastAsia="黑体"/>
          <w:b w:val="0"/>
          <w:color w:val="000000" w:themeColor="text1"/>
          <w:sz w:val="28"/>
          <w:szCs w:val="28"/>
          <w:highlight w:val="none"/>
          <w14:textFill>
            <w14:solidFill>
              <w14:schemeClr w14:val="tx1"/>
            </w14:solidFill>
          </w14:textFill>
        </w:rPr>
        <w:t>款</w:t>
      </w:r>
      <w:r>
        <w:rPr>
          <w:rFonts w:ascii="黑体" w:hAnsi="黑体" w:eastAsia="黑体"/>
          <w:b w:val="0"/>
          <w:color w:val="000000" w:themeColor="text1"/>
          <w:sz w:val="28"/>
          <w:szCs w:val="28"/>
          <w:highlight w:val="none"/>
          <w14:textFill>
            <w14:solidFill>
              <w14:schemeClr w14:val="tx1"/>
            </w14:solidFill>
          </w14:textFill>
        </w:rPr>
        <w:t>与支付</w:t>
      </w:r>
      <w:bookmarkEnd w:id="859"/>
      <w:bookmarkEnd w:id="860"/>
      <w:bookmarkEnd w:id="861"/>
    </w:p>
    <w:p w14:paraId="663D9F56">
      <w:pPr>
        <w:pStyle w:val="6"/>
        <w:keepNext w:val="0"/>
        <w:keepLines w:val="0"/>
        <w:autoSpaceDE w:val="0"/>
        <w:autoSpaceDN w:val="0"/>
        <w:spacing w:before="0" w:after="0" w:line="360" w:lineRule="auto"/>
        <w:ind w:firstLine="424" w:firstLineChars="202"/>
        <w:jc w:val="left"/>
        <w:rPr>
          <w:rFonts w:ascii="宋体" w:hAnsi="宋体" w:cstheme="majorBidi"/>
          <w:b w:val="0"/>
          <w:color w:val="000000" w:themeColor="text1"/>
          <w:sz w:val="21"/>
          <w:szCs w:val="21"/>
          <w:highlight w:val="none"/>
          <w14:textFill>
            <w14:solidFill>
              <w14:schemeClr w14:val="tx1"/>
            </w14:solidFill>
          </w14:textFill>
        </w:rPr>
      </w:pPr>
      <w:r>
        <w:rPr>
          <w:rFonts w:hint="eastAsia" w:ascii="宋体" w:hAnsi="宋体" w:cstheme="majorBidi"/>
          <w:b w:val="0"/>
          <w:color w:val="000000" w:themeColor="text1"/>
          <w:sz w:val="21"/>
          <w:szCs w:val="21"/>
          <w:highlight w:val="none"/>
          <w14:textFill>
            <w14:solidFill>
              <w14:schemeClr w14:val="tx1"/>
            </w14:solidFill>
          </w14:textFill>
        </w:rPr>
        <w:t>10.1 合同价款组成</w:t>
      </w:r>
    </w:p>
    <w:p w14:paraId="52393B2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theme="majorBidi"/>
          <w:bCs/>
          <w:color w:val="000000" w:themeColor="text1"/>
          <w:sz w:val="21"/>
          <w:szCs w:val="21"/>
          <w:highlight w:val="none"/>
          <w14:textFill>
            <w14:solidFill>
              <w14:schemeClr w14:val="tx1"/>
            </w14:solidFill>
          </w14:textFill>
        </w:rPr>
        <w:t>10.1.1勘察</w:t>
      </w:r>
      <w:r>
        <w:rPr>
          <w:rFonts w:hint="eastAsia" w:ascii="宋体" w:hAnsi="宋体"/>
          <w:color w:val="000000" w:themeColor="text1"/>
          <w:sz w:val="21"/>
          <w:szCs w:val="21"/>
          <w:highlight w:val="none"/>
          <w14:textFill>
            <w14:solidFill>
              <w14:schemeClr w14:val="tx1"/>
            </w14:solidFill>
          </w14:textFill>
        </w:rPr>
        <w:t>设计费总额：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835CE5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10.1.2设计费总额构成：</w:t>
      </w:r>
    </w:p>
    <w:p w14:paraId="1D7A9F5B">
      <w:pPr>
        <w:spacing w:line="360" w:lineRule="auto"/>
        <w:ind w:firstLine="54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（1）工程设计基本服务费用：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AECFF45">
      <w:pPr>
        <w:spacing w:line="360" w:lineRule="auto"/>
        <w:ind w:firstLine="54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（2）工程设计其他服务费用：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87A5299">
      <w:pPr>
        <w:spacing w:line="360" w:lineRule="auto"/>
        <w:ind w:firstLine="54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（3）合同签订前设计人已完成工作的费用：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2A043BF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10.1.3勘察费总额构成：</w:t>
      </w:r>
    </w:p>
    <w:p w14:paraId="00E2120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（1）岩土工程勘察费用：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4ED193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（2）岩土工程设计费用：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CE49A7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（3）岩土工程物探测试检测监测费用：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3C95F0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（4）水文地质勘察费用：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105D6B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（5）工程测量费用：</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D7752D5">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0</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合同价格形式</w:t>
      </w:r>
    </w:p>
    <w:p w14:paraId="512DD7BF">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单价合同</w:t>
      </w:r>
    </w:p>
    <w:p w14:paraId="2BEDF792">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单价包含的风险范围：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44D8868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269250E">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风险费用的计算方法：</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02BCD09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8A608C6">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风险范围以外合同价格的调整方法：</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6F7FEE5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7F26C03">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总价合同</w:t>
      </w:r>
    </w:p>
    <w:p w14:paraId="5D28A29C">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总价包含的风险范围：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4BA9FE3A">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6D05968">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风险费用的计算方法：</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p>
    <w:p w14:paraId="1C041A61">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6C681B8C">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风险范围以外合同价格的调整方法：</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01CABC4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5FC1683">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其他价格</w:t>
      </w:r>
      <w:r>
        <w:rPr>
          <w:rFonts w:hint="eastAsia" w:ascii="宋体" w:hAnsi="宋体"/>
          <w:color w:val="000000" w:themeColor="text1"/>
          <w:sz w:val="21"/>
          <w:szCs w:val="21"/>
          <w:highlight w:val="none"/>
          <w14:textFill>
            <w14:solidFill>
              <w14:schemeClr w14:val="tx1"/>
            </w14:solidFill>
          </w14:textFill>
        </w:rPr>
        <w:t>形</w:t>
      </w:r>
      <w:r>
        <w:rPr>
          <w:rFonts w:ascii="宋体" w:hAnsi="宋体"/>
          <w:color w:val="000000" w:themeColor="text1"/>
          <w:sz w:val="21"/>
          <w:szCs w:val="21"/>
          <w:highlight w:val="none"/>
          <w14:textFill>
            <w14:solidFill>
              <w14:schemeClr w14:val="tx1"/>
            </w14:solidFill>
          </w14:textFill>
        </w:rPr>
        <w:t>式：</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3685D14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31F46154">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10.3 定金或预付款</w:t>
      </w:r>
    </w:p>
    <w:p w14:paraId="37A92614">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10.3.1 定金或预付款的比例</w:t>
      </w:r>
    </w:p>
    <w:p w14:paraId="5BF033AF">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定金的比例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或预付款的比例</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BA3B302">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10.3.2 定金或预付款的支付</w:t>
      </w:r>
    </w:p>
    <w:p w14:paraId="3F2B237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定金或预付款的支付时间：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，但最</w:t>
      </w:r>
      <w:r>
        <w:rPr>
          <w:rFonts w:ascii="宋体" w:hAnsi="宋体"/>
          <w:color w:val="000000" w:themeColor="text1"/>
          <w:sz w:val="21"/>
          <w:szCs w:val="21"/>
          <w:highlight w:val="none"/>
          <w14:textFill>
            <w14:solidFill>
              <w14:schemeClr w14:val="tx1"/>
            </w14:solidFill>
          </w14:textFill>
        </w:rPr>
        <w:t>迟应在</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通知载明的</w:t>
      </w:r>
      <w:r>
        <w:rPr>
          <w:rFonts w:hint="eastAsia" w:ascii="宋体" w:hAnsi="宋体"/>
          <w:color w:val="000000" w:themeColor="text1"/>
          <w:sz w:val="21"/>
          <w:szCs w:val="21"/>
          <w:highlight w:val="none"/>
          <w14:textFill>
            <w14:solidFill>
              <w14:schemeClr w14:val="tx1"/>
            </w14:solidFill>
          </w14:textFill>
        </w:rPr>
        <w:t>开始设计</w:t>
      </w:r>
      <w:r>
        <w:rPr>
          <w:rFonts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天前支付</w:t>
      </w:r>
      <w:r>
        <w:rPr>
          <w:rFonts w:hint="eastAsia" w:ascii="宋体" w:hAnsi="宋体"/>
          <w:color w:val="000000" w:themeColor="text1"/>
          <w:sz w:val="21"/>
          <w:szCs w:val="21"/>
          <w:highlight w:val="none"/>
          <w14:textFill>
            <w14:solidFill>
              <w14:schemeClr w14:val="tx1"/>
            </w14:solidFill>
          </w14:textFill>
        </w:rPr>
        <w:t>。</w:t>
      </w:r>
    </w:p>
    <w:p w14:paraId="5A8D9B6D">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10.4.1进度款支付</w:t>
      </w:r>
    </w:p>
    <w:p w14:paraId="7BCDDCA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10.4.1.1设计费用的支付</w:t>
      </w:r>
    </w:p>
    <w:p w14:paraId="4B4EA9C0">
      <w:pPr>
        <w:spacing w:line="360" w:lineRule="auto"/>
        <w:ind w:firstLine="392" w:firstLineChars="18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（1）支付方式：支付方式：</w:t>
      </w:r>
      <w:r>
        <w:rPr>
          <w:rFonts w:hint="eastAsia" w:ascii="宋体" w:hAnsi="宋体"/>
          <w:color w:val="000000" w:themeColor="text1"/>
          <w:sz w:val="21"/>
          <w:szCs w:val="21"/>
          <w:highlight w:val="none"/>
          <w:u w:val="single"/>
          <w14:textFill>
            <w14:solidFill>
              <w14:schemeClr w14:val="tx1"/>
            </w14:solidFill>
          </w14:textFill>
        </w:rPr>
        <w:t xml:space="preserve">                                                                          </w:t>
      </w:r>
    </w:p>
    <w:p w14:paraId="6A8BE438">
      <w:pPr>
        <w:spacing w:line="360" w:lineRule="auto"/>
        <w:ind w:firstLine="392" w:firstLineChars="187"/>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645CC094">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（2）支付条件和时间</w:t>
      </w:r>
      <w:r>
        <w:rPr>
          <w:rStyle w:val="49"/>
          <w:rFonts w:hint="eastAsia" w:ascii="宋体" w:hAnsi="宋体"/>
          <w:color w:val="000000" w:themeColor="text1"/>
          <w:sz w:val="21"/>
          <w:szCs w:val="21"/>
          <w:highlight w:val="none"/>
          <w14:textFill>
            <w14:solidFill>
              <w14:schemeClr w14:val="tx1"/>
            </w14:solidFill>
          </w14:textFill>
        </w:rPr>
        <w:footnoteReference w:id="64"/>
      </w:r>
      <w:r>
        <w:rPr>
          <w:rFonts w:hint="eastAsia" w:ascii="宋体" w:hAnsi="宋体"/>
          <w:color w:val="000000" w:themeColor="text1"/>
          <w:sz w:val="21"/>
          <w:szCs w:val="21"/>
          <w:highlight w:val="none"/>
          <w14:textFill>
            <w14:solidFill>
              <w14:schemeClr w14:val="tx1"/>
            </w14:solidFill>
          </w14:textFill>
        </w:rPr>
        <w:t>：</w:t>
      </w:r>
    </w:p>
    <w:p w14:paraId="27A4B93E">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①</w:t>
      </w:r>
      <w:r>
        <w:rPr>
          <w:rFonts w:hint="eastAsia" w:ascii="宋体" w:hAnsi="宋体" w:cs="瀹嬩綋"/>
          <w:i/>
          <w:iCs/>
          <w:color w:val="000000" w:themeColor="text1"/>
          <w:sz w:val="21"/>
          <w:szCs w:val="21"/>
          <w:highlight w:val="none"/>
          <w:u w:val="single"/>
          <w14:textFill>
            <w14:solidFill>
              <w14:schemeClr w14:val="tx1"/>
            </w14:solidFill>
          </w14:textFill>
        </w:rPr>
        <w:t>定金或预付款见10.3款；</w:t>
      </w:r>
    </w:p>
    <w:p w14:paraId="1C4F4591">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②</w:t>
      </w:r>
      <w:r>
        <w:rPr>
          <w:rFonts w:hint="eastAsia" w:ascii="宋体" w:hAnsi="宋体" w:cs="瀹嬩綋"/>
          <w:i/>
          <w:iCs/>
          <w:color w:val="000000" w:themeColor="text1"/>
          <w:sz w:val="21"/>
          <w:szCs w:val="21"/>
          <w:highlight w:val="none"/>
          <w:u w:val="single"/>
          <w14:textFill>
            <w14:solidFill>
              <w14:schemeClr w14:val="tx1"/>
            </w14:solidFill>
          </w14:textFill>
        </w:rPr>
        <w:t>方案优化完成并获得批准通过后，设计人提出申请，发包人</w:t>
      </w:r>
      <w:r>
        <w:rPr>
          <w:rFonts w:ascii="宋体" w:hAnsi="宋体" w:cs="å®‹ä½“"/>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日内支付合同总额的    ％；</w:t>
      </w:r>
    </w:p>
    <w:p w14:paraId="615EA5C0">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③</w:t>
      </w:r>
      <w:r>
        <w:rPr>
          <w:rFonts w:hint="eastAsia" w:ascii="宋体" w:hAnsi="宋体" w:cs="瀹嬩綋"/>
          <w:i/>
          <w:iCs/>
          <w:color w:val="000000" w:themeColor="text1"/>
          <w:sz w:val="21"/>
          <w:szCs w:val="21"/>
          <w:highlight w:val="none"/>
          <w:u w:val="single"/>
          <w14:textFill>
            <w14:solidFill>
              <w14:schemeClr w14:val="tx1"/>
            </w14:solidFill>
          </w14:textFill>
        </w:rPr>
        <w:t>初步设计完成并获得批准后，设计人提出申请，发包人</w:t>
      </w:r>
      <w:r>
        <w:rPr>
          <w:rFonts w:ascii="宋体" w:hAnsi="宋体" w:cs="å®‹ä½“"/>
          <w:i/>
          <w:iCs/>
          <w:color w:val="000000" w:themeColor="text1"/>
          <w:sz w:val="21"/>
          <w:szCs w:val="21"/>
          <w:highlight w:val="none"/>
          <w:u w:val="single"/>
          <w14:textFill>
            <w14:solidFill>
              <w14:schemeClr w14:val="tx1"/>
            </w14:solidFill>
          </w14:textFill>
        </w:rPr>
        <w:t>7</w:t>
      </w:r>
      <w:r>
        <w:rPr>
          <w:rFonts w:hint="eastAsia" w:ascii="宋体" w:hAnsi="宋体" w:cs="瀹嬩綋"/>
          <w:i/>
          <w:iCs/>
          <w:color w:val="000000" w:themeColor="text1"/>
          <w:sz w:val="21"/>
          <w:szCs w:val="21"/>
          <w:highlight w:val="none"/>
          <w:u w:val="single"/>
          <w14:textFill>
            <w14:solidFill>
              <w14:schemeClr w14:val="tx1"/>
            </w14:solidFill>
          </w14:textFill>
        </w:rPr>
        <w:t>日内支付合同总额的     ％；</w:t>
      </w:r>
    </w:p>
    <w:p w14:paraId="3961BB02">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④</w:t>
      </w:r>
      <w:r>
        <w:rPr>
          <w:rFonts w:hint="eastAsia" w:ascii="宋体" w:hAnsi="宋体" w:cs="瀹嬩綋"/>
          <w:i/>
          <w:iCs/>
          <w:color w:val="000000" w:themeColor="text1"/>
          <w:sz w:val="21"/>
          <w:szCs w:val="21"/>
          <w:highlight w:val="none"/>
          <w:u w:val="single"/>
          <w14:textFill>
            <w14:solidFill>
              <w14:schemeClr w14:val="tx1"/>
            </w14:solidFill>
          </w14:textFill>
        </w:rPr>
        <w:t>施工图完成设计并获得批准后，设计人提出申请，发包人</w:t>
      </w:r>
      <w:r>
        <w:rPr>
          <w:rFonts w:ascii="宋体" w:hAnsi="宋体" w:cs="å®‹ä½“"/>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日内支付合同总额的    ％；</w:t>
      </w:r>
    </w:p>
    <w:p w14:paraId="5EC99122">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⑤</w:t>
      </w:r>
      <w:r>
        <w:rPr>
          <w:rFonts w:hint="eastAsia" w:ascii="宋体" w:hAnsi="宋体" w:cs="瀹嬩綋"/>
          <w:i/>
          <w:iCs/>
          <w:color w:val="000000" w:themeColor="text1"/>
          <w:sz w:val="21"/>
          <w:szCs w:val="21"/>
          <w:highlight w:val="none"/>
          <w:u w:val="single"/>
          <w14:textFill>
            <w14:solidFill>
              <w14:schemeClr w14:val="tx1"/>
            </w14:solidFill>
          </w14:textFill>
        </w:rPr>
        <w:t>工程施工完成总工程量的一半时，设计人提出申请，发包人</w:t>
      </w:r>
      <w:r>
        <w:rPr>
          <w:rFonts w:ascii="宋体" w:hAnsi="宋体" w:cs="å®‹ä½“"/>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日内支付设计费总额的    ％；（说明：发包人和设计人根据经批准的工程概算金额，按实调整设计费总额，在本期设计费支付时，应按照调整后的设计费总额对之前支付的设计费进行重新计算，按实调整和支付，支付不足的，在本期补足，超量支付的扣回。）</w:t>
      </w:r>
    </w:p>
    <w:p w14:paraId="09F6C5FC">
      <w:pPr>
        <w:spacing w:line="360" w:lineRule="auto"/>
        <w:ind w:firstLine="392" w:firstLineChars="187"/>
        <w:jc w:val="left"/>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⑥</w:t>
      </w:r>
      <w:r>
        <w:rPr>
          <w:rFonts w:hint="eastAsia" w:ascii="宋体" w:hAnsi="宋体" w:cs="瀹嬩綋"/>
          <w:i/>
          <w:iCs/>
          <w:color w:val="000000" w:themeColor="text1"/>
          <w:sz w:val="21"/>
          <w:szCs w:val="21"/>
          <w:highlight w:val="none"/>
          <w:u w:val="single"/>
          <w14:textFill>
            <w14:solidFill>
              <w14:schemeClr w14:val="tx1"/>
            </w14:solidFill>
          </w14:textFill>
        </w:rPr>
        <w:t>工程完成竣工财务决算后，设计人提出申请，发包人</w:t>
      </w:r>
      <w:r>
        <w:rPr>
          <w:rFonts w:ascii="宋体" w:hAnsi="宋体" w:cs="å®‹ä½“"/>
          <w:i/>
          <w:iCs/>
          <w:color w:val="000000" w:themeColor="text1"/>
          <w:sz w:val="21"/>
          <w:szCs w:val="21"/>
          <w:highlight w:val="none"/>
          <w:u w:val="single"/>
          <w14:textFill>
            <w14:solidFill>
              <w14:schemeClr w14:val="tx1"/>
            </w14:solidFill>
          </w14:textFill>
        </w:rPr>
        <w:t xml:space="preserve">7 </w:t>
      </w:r>
      <w:r>
        <w:rPr>
          <w:rFonts w:hint="eastAsia" w:ascii="宋体" w:hAnsi="宋体" w:cs="瀹嬩綋"/>
          <w:i/>
          <w:iCs/>
          <w:color w:val="000000" w:themeColor="text1"/>
          <w:sz w:val="21"/>
          <w:szCs w:val="21"/>
          <w:highlight w:val="none"/>
          <w:u w:val="single"/>
          <w14:textFill>
            <w14:solidFill>
              <w14:schemeClr w14:val="tx1"/>
            </w14:solidFill>
          </w14:textFill>
        </w:rPr>
        <w:t>日内，支付剩余设计费用</w:t>
      </w:r>
      <w:r>
        <w:rPr>
          <w:rFonts w:hint="eastAsia" w:ascii="宋体" w:hAnsi="宋体" w:cs="瀹嬩綋"/>
          <w:i/>
          <w:iCs/>
          <w:color w:val="000000" w:themeColor="text1"/>
          <w:sz w:val="21"/>
          <w:szCs w:val="21"/>
          <w:highlight w:val="none"/>
          <w14:textFill>
            <w14:solidFill>
              <w14:schemeClr w14:val="tx1"/>
            </w14:solidFill>
          </w14:textFill>
        </w:rPr>
        <w:t>。</w:t>
      </w:r>
    </w:p>
    <w:p w14:paraId="6D5647F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10.4.1.2勘察费用的支付</w:t>
      </w:r>
    </w:p>
    <w:p w14:paraId="5EB52F6C">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（1）支付方式：</w:t>
      </w:r>
      <w:r>
        <w:rPr>
          <w:rFonts w:hint="eastAsia" w:ascii="宋体" w:hAnsi="宋体"/>
          <w:color w:val="000000" w:themeColor="text1"/>
          <w:sz w:val="21"/>
          <w:szCs w:val="21"/>
          <w:highlight w:val="none"/>
          <w:u w:val="single"/>
          <w14:textFill>
            <w14:solidFill>
              <w14:schemeClr w14:val="tx1"/>
            </w14:solidFill>
          </w14:textFill>
        </w:rPr>
        <w:t xml:space="preserve">                                                                   </w:t>
      </w:r>
    </w:p>
    <w:p w14:paraId="7050CB2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0D57CBE1">
      <w:pPr>
        <w:spacing w:line="360" w:lineRule="auto"/>
        <w:ind w:firstLine="392" w:firstLineChars="18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（2）支付条件和时间：</w:t>
      </w:r>
      <w:r>
        <w:rPr>
          <w:rFonts w:hint="eastAsia" w:ascii="宋体" w:hAnsi="宋体"/>
          <w:color w:val="000000" w:themeColor="text1"/>
          <w:sz w:val="21"/>
          <w:szCs w:val="21"/>
          <w:highlight w:val="none"/>
          <w:u w:val="single"/>
          <w14:textFill>
            <w14:solidFill>
              <w14:schemeClr w14:val="tx1"/>
            </w14:solidFill>
          </w14:textFill>
        </w:rPr>
        <w:t xml:space="preserve">                                                            </w:t>
      </w:r>
    </w:p>
    <w:p w14:paraId="467209A6">
      <w:pPr>
        <w:spacing w:line="360" w:lineRule="auto"/>
        <w:ind w:firstLine="392" w:firstLineChars="18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67B8235">
      <w:pPr>
        <w:spacing w:line="360" w:lineRule="auto"/>
        <w:ind w:firstLine="392" w:firstLineChars="187"/>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287D7F2">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62" w:name="_Toc11819"/>
      <w:bookmarkStart w:id="863" w:name="_Toc8299"/>
      <w:bookmarkStart w:id="864" w:name="_Toc7873"/>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1</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工程设计变更与索赔</w:t>
      </w:r>
      <w:bookmarkEnd w:id="862"/>
      <w:bookmarkEnd w:id="863"/>
      <w:bookmarkEnd w:id="864"/>
    </w:p>
    <w:p w14:paraId="7EB11A9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11.5 设计人应于认为有理由提出增加合同价款或延长设计周期的要求事项发生后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天内书面通知发包人。</w:t>
      </w:r>
    </w:p>
    <w:p w14:paraId="372A989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设计人应在该事项发生后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天内向发包人提供证明设计人要求的书面声明。</w:t>
      </w:r>
    </w:p>
    <w:p w14:paraId="0D01249D">
      <w:pPr>
        <w:spacing w:line="360" w:lineRule="auto"/>
        <w:ind w:firstLine="6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发包人应在接到设计人书面声明后的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天内，予以书面答复。</w:t>
      </w:r>
    </w:p>
    <w:p w14:paraId="4B405AF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65" w:name="_Toc28003"/>
      <w:bookmarkStart w:id="866" w:name="_Toc27740"/>
      <w:bookmarkStart w:id="867" w:name="_Toc13856"/>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2</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专业责任与保险</w:t>
      </w:r>
      <w:bookmarkEnd w:id="865"/>
      <w:bookmarkEnd w:id="866"/>
      <w:bookmarkEnd w:id="867"/>
    </w:p>
    <w:p w14:paraId="0271F1E7">
      <w:pPr>
        <w:spacing w:line="360" w:lineRule="auto"/>
        <w:ind w:firstLine="525" w:firstLineChars="2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12.2 设计人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（需/不需）有发包人认可的工程设计责任保险。</w:t>
      </w:r>
    </w:p>
    <w:p w14:paraId="49089AE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68" w:name="_Toc3726"/>
      <w:bookmarkStart w:id="869" w:name="_Toc4045"/>
      <w:bookmarkStart w:id="870" w:name="_Toc2384"/>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3</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知识产权</w:t>
      </w:r>
      <w:bookmarkEnd w:id="868"/>
      <w:bookmarkEnd w:id="869"/>
      <w:bookmarkEnd w:id="870"/>
    </w:p>
    <w:p w14:paraId="4C456D44">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w:t>
      </w:r>
      <w:r>
        <w:rPr>
          <w:rFonts w:ascii="宋体" w:hAnsi="宋体"/>
          <w:color w:val="000000" w:themeColor="text1"/>
          <w:sz w:val="21"/>
          <w:szCs w:val="21"/>
          <w:highlight w:val="none"/>
          <w14:textFill>
            <w14:solidFill>
              <w14:schemeClr w14:val="tx1"/>
            </w14:solidFill>
          </w14:textFill>
        </w:rPr>
        <w:t>.1关于发包人提供给</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人的图纸、发包人为实施工程自行编制或委托编制的技术</w:t>
      </w:r>
      <w:r>
        <w:rPr>
          <w:rFonts w:hint="eastAsia" w:ascii="宋体" w:hAnsi="宋体"/>
          <w:color w:val="000000" w:themeColor="text1"/>
          <w:sz w:val="21"/>
          <w:szCs w:val="21"/>
          <w:highlight w:val="none"/>
          <w14:textFill>
            <w14:solidFill>
              <w14:schemeClr w14:val="tx1"/>
            </w14:solidFill>
          </w14:textFill>
        </w:rPr>
        <w:t>规格</w:t>
      </w:r>
      <w:r>
        <w:rPr>
          <w:rFonts w:ascii="宋体" w:hAnsi="宋体"/>
          <w:color w:val="000000" w:themeColor="text1"/>
          <w:sz w:val="21"/>
          <w:szCs w:val="21"/>
          <w:highlight w:val="none"/>
          <w14:textFill>
            <w14:solidFill>
              <w14:schemeClr w14:val="tx1"/>
            </w14:solidFill>
          </w14:textFill>
        </w:rPr>
        <w:t>以及反映发包人关于合同要求或其他类似性质的文件的著作权的归属：</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160FA2DE">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关于发包人提供的上述文件的使用限制的要求：</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79C22B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w:t>
      </w:r>
      <w:r>
        <w:rPr>
          <w:rFonts w:ascii="宋体" w:hAnsi="宋体"/>
          <w:color w:val="000000" w:themeColor="text1"/>
          <w:sz w:val="21"/>
          <w:szCs w:val="21"/>
          <w:highlight w:val="none"/>
          <w14:textFill>
            <w14:solidFill>
              <w14:schemeClr w14:val="tx1"/>
            </w14:solidFill>
          </w14:textFill>
        </w:rPr>
        <w:t>.2 关于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人为实施工程所编制文件的著作权的归属：</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6BE3FBF9">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关于</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人提供的上述文件的使用限制的要求：</w:t>
      </w:r>
      <w:r>
        <w:rPr>
          <w:rFonts w:ascii="宋体" w:hAnsi="宋体"/>
          <w:color w:val="000000" w:themeColor="text1"/>
          <w:sz w:val="21"/>
          <w:szCs w:val="21"/>
          <w:highlight w:val="none"/>
          <w:u w:val="single"/>
          <w14:textFill>
            <w14:solidFill>
              <w14:schemeClr w14:val="tx1"/>
            </w14:solidFill>
          </w14:textFill>
        </w:rPr>
        <w:t>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27B8C826">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13.5 设计人在设计过程中所采用的专利、专有技术的使用费的承担方式：</w:t>
      </w:r>
      <w:r>
        <w:rPr>
          <w:rFonts w:hint="eastAsia" w:ascii="宋体" w:hAnsi="宋体" w:cs="MingLiU_HKSCS"/>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F84878B">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71" w:name="_Toc10877"/>
      <w:bookmarkStart w:id="872" w:name="_Toc12185"/>
      <w:bookmarkStart w:id="873" w:name="_Toc16155"/>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4</w:t>
      </w:r>
      <w:r>
        <w:rPr>
          <w:rFonts w:ascii="黑体" w:hAnsi="黑体" w:eastAsia="黑体"/>
          <w:b w:val="0"/>
          <w:color w:val="000000" w:themeColor="text1"/>
          <w:sz w:val="28"/>
          <w:szCs w:val="28"/>
          <w:highlight w:val="none"/>
          <w14:textFill>
            <w14:solidFill>
              <w14:schemeClr w14:val="tx1"/>
            </w14:solidFill>
          </w14:textFill>
        </w:rPr>
        <w:t>.违约</w:t>
      </w:r>
      <w:r>
        <w:rPr>
          <w:rFonts w:hint="eastAsia" w:ascii="黑体" w:hAnsi="黑体" w:eastAsia="黑体"/>
          <w:b w:val="0"/>
          <w:color w:val="000000" w:themeColor="text1"/>
          <w:sz w:val="28"/>
          <w:szCs w:val="28"/>
          <w:highlight w:val="none"/>
          <w14:textFill>
            <w14:solidFill>
              <w14:schemeClr w14:val="tx1"/>
            </w14:solidFill>
          </w14:textFill>
        </w:rPr>
        <w:t>责任</w:t>
      </w:r>
      <w:bookmarkEnd w:id="871"/>
      <w:bookmarkEnd w:id="872"/>
      <w:bookmarkEnd w:id="873"/>
    </w:p>
    <w:p w14:paraId="7AF74C70">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.1 发包人违约</w:t>
      </w:r>
      <w:r>
        <w:rPr>
          <w:rFonts w:hint="eastAsia" w:ascii="宋体" w:hAnsi="宋体"/>
          <w:color w:val="000000" w:themeColor="text1"/>
          <w:sz w:val="21"/>
          <w:szCs w:val="21"/>
          <w:highlight w:val="none"/>
          <w14:textFill>
            <w14:solidFill>
              <w14:schemeClr w14:val="tx1"/>
            </w14:solidFill>
          </w14:textFill>
        </w:rPr>
        <w:t>责任</w:t>
      </w:r>
    </w:p>
    <w:p w14:paraId="57C55EF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14.1.1 发包人支付设计人违约金：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3B8B997B">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.1.2 </w:t>
      </w:r>
      <w:r>
        <w:rPr>
          <w:rFonts w:hint="eastAsia" w:ascii="宋体" w:hAnsi="宋体"/>
          <w:color w:val="000000" w:themeColor="text1"/>
          <w:sz w:val="21"/>
          <w:szCs w:val="21"/>
          <w:highlight w:val="none"/>
          <w14:textFill>
            <w14:solidFill>
              <w14:schemeClr w14:val="tx1"/>
            </w14:solidFill>
          </w14:textFill>
        </w:rPr>
        <w:t>发包人逾期支付设计费的违约金：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22D0B573">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人违约</w:t>
      </w:r>
      <w:r>
        <w:rPr>
          <w:rFonts w:hint="eastAsia" w:ascii="宋体" w:hAnsi="宋体"/>
          <w:color w:val="000000" w:themeColor="text1"/>
          <w:sz w:val="21"/>
          <w:szCs w:val="21"/>
          <w:highlight w:val="none"/>
          <w14:textFill>
            <w14:solidFill>
              <w14:schemeClr w14:val="tx1"/>
            </w14:solidFill>
          </w14:textFill>
        </w:rPr>
        <w:t>责任</w:t>
      </w:r>
    </w:p>
    <w:p w14:paraId="2CEE5BC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14.2.1 设计人支付发包人的违约金：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2B3ED4E">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.2.2</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逾期交付工程设计文件的违约金</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p>
    <w:p w14:paraId="143D33D5">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逾期交付工程设计文件的违约金的上限</w:t>
      </w:r>
      <w:r>
        <w:rPr>
          <w:rFonts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p>
    <w:p w14:paraId="30A6328A">
      <w:pPr>
        <w:spacing w:line="360" w:lineRule="auto"/>
        <w:ind w:left="515" w:leftChars="200" w:hanging="115" w:hangingChars="55"/>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.2.3 </w:t>
      </w:r>
      <w:r>
        <w:rPr>
          <w:rFonts w:hint="eastAsia" w:ascii="宋体" w:hAnsi="宋体"/>
          <w:color w:val="000000" w:themeColor="text1"/>
          <w:sz w:val="21"/>
          <w:szCs w:val="21"/>
          <w:highlight w:val="none"/>
          <w14:textFill>
            <w14:solidFill>
              <w14:schemeClr w14:val="tx1"/>
            </w14:solidFill>
          </w14:textFill>
        </w:rPr>
        <w:t>设计人设计文件不合格的损失赔偿金的上限：</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17DE1A4">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14.2.4 设计人未经发包人同意擅自对工程设计进行分包的违约责任：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1CB92FC7">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74" w:name="_Toc5630"/>
      <w:bookmarkStart w:id="875" w:name="_Toc31654"/>
      <w:bookmarkStart w:id="876" w:name="_Toc8975"/>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5</w:t>
      </w:r>
      <w:r>
        <w:rPr>
          <w:rFonts w:ascii="黑体" w:hAnsi="黑体" w:eastAsia="黑体"/>
          <w:b w:val="0"/>
          <w:color w:val="000000" w:themeColor="text1"/>
          <w:sz w:val="28"/>
          <w:szCs w:val="28"/>
          <w:highlight w:val="none"/>
          <w14:textFill>
            <w14:solidFill>
              <w14:schemeClr w14:val="tx1"/>
            </w14:solidFill>
          </w14:textFill>
        </w:rPr>
        <w:t>.不可抗力</w:t>
      </w:r>
      <w:bookmarkEnd w:id="874"/>
      <w:bookmarkEnd w:id="875"/>
      <w:bookmarkEnd w:id="876"/>
      <w:r>
        <w:rPr>
          <w:rFonts w:ascii="黑体" w:hAnsi="黑体" w:eastAsia="黑体"/>
          <w:b w:val="0"/>
          <w:color w:val="000000" w:themeColor="text1"/>
          <w:sz w:val="28"/>
          <w:szCs w:val="28"/>
          <w:highlight w:val="none"/>
          <w14:textFill>
            <w14:solidFill>
              <w14:schemeClr w14:val="tx1"/>
            </w14:solidFill>
          </w14:textFill>
        </w:rPr>
        <w:t xml:space="preserve"> </w:t>
      </w:r>
    </w:p>
    <w:p w14:paraId="2314B043">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 不可抗力的确认</w:t>
      </w:r>
    </w:p>
    <w:p w14:paraId="501EBFB2">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除通用合同条款约定的不可抗力事件之外，视为不可抗力的其他情形：</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67DE738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6E6B427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77" w:name="_Toc16228"/>
      <w:bookmarkStart w:id="878" w:name="_Toc3549"/>
      <w:bookmarkStart w:id="879" w:name="_Toc13370"/>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6</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合同解除</w:t>
      </w:r>
      <w:bookmarkEnd w:id="877"/>
      <w:bookmarkEnd w:id="878"/>
      <w:bookmarkEnd w:id="879"/>
      <w:r>
        <w:rPr>
          <w:rFonts w:ascii="黑体" w:hAnsi="黑体" w:eastAsia="黑体"/>
          <w:b w:val="0"/>
          <w:color w:val="000000" w:themeColor="text1"/>
          <w:sz w:val="28"/>
          <w:szCs w:val="28"/>
          <w:highlight w:val="none"/>
          <w14:textFill>
            <w14:solidFill>
              <w14:schemeClr w14:val="tx1"/>
            </w14:solidFill>
          </w14:textFill>
        </w:rPr>
        <w:t xml:space="preserve"> </w:t>
      </w:r>
    </w:p>
    <w:p w14:paraId="0A62848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16.2 </w:t>
      </w:r>
      <w:r>
        <w:rPr>
          <w:rFonts w:hint="eastAsia" w:ascii="宋体" w:hAnsi="宋体" w:cs="Courier New"/>
          <w:color w:val="000000" w:themeColor="text1"/>
          <w:sz w:val="21"/>
          <w:szCs w:val="21"/>
          <w:highlight w:val="none"/>
          <w14:textFill>
            <w14:solidFill>
              <w14:schemeClr w14:val="tx1"/>
            </w14:solidFill>
          </w14:textFill>
        </w:rPr>
        <w:t>有下列情形之一的，可以解除合同：</w:t>
      </w:r>
    </w:p>
    <w:p w14:paraId="44836F7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（3）暂停设计期限已连续超过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天。</w:t>
      </w:r>
    </w:p>
    <w:p w14:paraId="17345EA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16.4 </w:t>
      </w:r>
      <w:r>
        <w:rPr>
          <w:rFonts w:hint="eastAsia" w:ascii="宋体" w:hAnsi="宋体" w:cs="Courier New"/>
          <w:color w:val="000000" w:themeColor="text1"/>
          <w:sz w:val="21"/>
          <w:szCs w:val="21"/>
          <w:highlight w:val="none"/>
          <w14:textFill>
            <w14:solidFill>
              <w14:schemeClr w14:val="tx1"/>
            </w14:solidFill>
          </w14:textFill>
        </w:rPr>
        <w:t>发包人向设计人支付已完工作设计费的期限为</w:t>
      </w:r>
      <w:r>
        <w:rPr>
          <w:rFonts w:hint="eastAsia" w:ascii="宋体" w:hAnsi="宋体" w:cs="Courier New"/>
          <w:color w:val="000000" w:themeColor="text1"/>
          <w:sz w:val="21"/>
          <w:szCs w:val="21"/>
          <w:highlight w:val="none"/>
          <w:u w:val="single"/>
          <w14:textFill>
            <w14:solidFill>
              <w14:schemeClr w14:val="tx1"/>
            </w14:solidFill>
          </w14:textFill>
        </w:rPr>
        <w:t xml:space="preserve">    </w:t>
      </w:r>
      <w:r>
        <w:rPr>
          <w:rFonts w:hint="eastAsia" w:ascii="宋体" w:hAnsi="宋体" w:cs="Courier New"/>
          <w:color w:val="000000" w:themeColor="text1"/>
          <w:sz w:val="21"/>
          <w:szCs w:val="21"/>
          <w:highlight w:val="none"/>
          <w14:textFill>
            <w14:solidFill>
              <w14:schemeClr w14:val="tx1"/>
            </w14:solidFill>
          </w14:textFill>
        </w:rPr>
        <w:t>天内。</w:t>
      </w:r>
    </w:p>
    <w:p w14:paraId="782C8A9A">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80" w:name="_Toc8835"/>
      <w:bookmarkStart w:id="881" w:name="_Toc28638"/>
      <w:bookmarkStart w:id="882" w:name="_Toc7211"/>
      <w:r>
        <w:rPr>
          <w:rFonts w:hint="eastAsia" w:ascii="黑体" w:hAnsi="黑体" w:eastAsia="黑体"/>
          <w:b w:val="0"/>
          <w:color w:val="000000" w:themeColor="text1"/>
          <w:sz w:val="28"/>
          <w:szCs w:val="28"/>
          <w:highlight w:val="none"/>
          <w14:textFill>
            <w14:solidFill>
              <w14:schemeClr w14:val="tx1"/>
            </w14:solidFill>
          </w14:textFill>
        </w:rPr>
        <w:t>17</w:t>
      </w:r>
      <w:r>
        <w:rPr>
          <w:rFonts w:ascii="黑体" w:hAnsi="黑体" w:eastAsia="黑体"/>
          <w:b w:val="0"/>
          <w:color w:val="000000" w:themeColor="text1"/>
          <w:sz w:val="28"/>
          <w:szCs w:val="28"/>
          <w:highlight w:val="none"/>
          <w14:textFill>
            <w14:solidFill>
              <w14:schemeClr w14:val="tx1"/>
            </w14:solidFill>
          </w14:textFill>
        </w:rPr>
        <w:t>.争议解决</w:t>
      </w:r>
      <w:bookmarkEnd w:id="880"/>
      <w:bookmarkEnd w:id="881"/>
      <w:bookmarkEnd w:id="882"/>
    </w:p>
    <w:p w14:paraId="3855651A">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 争议评审</w:t>
      </w:r>
    </w:p>
    <w:p w14:paraId="197A687E">
      <w:pPr>
        <w:spacing w:line="360" w:lineRule="auto"/>
        <w:ind w:firstLine="315" w:firstLineChars="15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合同当事人是否同意将工程争议提交争议评审小组决</w:t>
      </w:r>
      <w:r>
        <w:rPr>
          <w:rFonts w:hint="eastAsia" w:ascii="宋体" w:hAnsi="宋体"/>
          <w:color w:val="000000" w:themeColor="text1"/>
          <w:sz w:val="21"/>
          <w:szCs w:val="21"/>
          <w:highlight w:val="none"/>
          <w14:textFill>
            <w14:solidFill>
              <w14:schemeClr w14:val="tx1"/>
            </w14:solidFill>
          </w14:textFill>
        </w:rPr>
        <w:t>定：</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0DF17DC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.3.1 争议评审小组的确定</w:t>
      </w:r>
    </w:p>
    <w:p w14:paraId="393F3A99">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争议评审小组成员的确定：</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6F873DC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选定争议评审员的期限：</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049321C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w:t>
      </w:r>
      <w:r>
        <w:rPr>
          <w:rFonts w:hint="eastAsia" w:ascii="宋体" w:hAnsi="宋体"/>
          <w:color w:val="000000" w:themeColor="text1"/>
          <w:sz w:val="21"/>
          <w:szCs w:val="21"/>
          <w:highlight w:val="none"/>
          <w14:textFill>
            <w14:solidFill>
              <w14:schemeClr w14:val="tx1"/>
            </w14:solidFill>
          </w14:textFill>
        </w:rPr>
        <w:t>所发生的费用</w:t>
      </w:r>
      <w:r>
        <w:rPr>
          <w:rFonts w:ascii="宋体" w:hAnsi="宋体"/>
          <w:color w:val="000000" w:themeColor="text1"/>
          <w:sz w:val="21"/>
          <w:szCs w:val="21"/>
          <w:highlight w:val="none"/>
          <w14:textFill>
            <w14:solidFill>
              <w14:schemeClr w14:val="tx1"/>
            </w14:solidFill>
          </w14:textFill>
        </w:rPr>
        <w:t>承担方式：</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02D3C8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其他事项的约定：</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56C77FF2">
      <w:pPr>
        <w:autoSpaceDE w:val="0"/>
        <w:autoSpaceDN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.3.2 争议评审小组的决定</w:t>
      </w:r>
    </w:p>
    <w:p w14:paraId="1CE45BF9">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合同当事人关于本</w:t>
      </w:r>
      <w:r>
        <w:rPr>
          <w:rFonts w:hint="eastAsia" w:ascii="宋体" w:hAnsi="宋体"/>
          <w:color w:val="000000" w:themeColor="text1"/>
          <w:sz w:val="21"/>
          <w:szCs w:val="21"/>
          <w:highlight w:val="none"/>
          <w14:textFill>
            <w14:solidFill>
              <w14:schemeClr w14:val="tx1"/>
            </w14:solidFill>
          </w14:textFill>
        </w:rPr>
        <w:t>事</w:t>
      </w:r>
      <w:r>
        <w:rPr>
          <w:rFonts w:ascii="宋体" w:hAnsi="宋体"/>
          <w:color w:val="000000" w:themeColor="text1"/>
          <w:sz w:val="21"/>
          <w:szCs w:val="21"/>
          <w:highlight w:val="none"/>
          <w14:textFill>
            <w14:solidFill>
              <w14:schemeClr w14:val="tx1"/>
            </w14:solidFill>
          </w14:textFill>
        </w:rPr>
        <w:t>项的约定：</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7194495A">
      <w:pPr>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w:t>
      </w:r>
      <w:r>
        <w:rPr>
          <w:rFonts w:ascii="宋体" w:hAnsi="宋体"/>
          <w:color w:val="000000" w:themeColor="text1"/>
          <w:sz w:val="21"/>
          <w:szCs w:val="21"/>
          <w:highlight w:val="none"/>
          <w14:textFill>
            <w14:solidFill>
              <w14:schemeClr w14:val="tx1"/>
            </w14:solidFill>
          </w14:textFill>
        </w:rPr>
        <w:t>.4仲裁或诉讼</w:t>
      </w:r>
    </w:p>
    <w:p w14:paraId="1342AA3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因合同及合同有关事项发生的争议，按下列第</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种方式</w:t>
      </w:r>
      <w:r>
        <w:rPr>
          <w:rFonts w:hint="eastAsia" w:ascii="宋体" w:hAnsi="宋体"/>
          <w:color w:val="000000" w:themeColor="text1"/>
          <w:sz w:val="21"/>
          <w:szCs w:val="21"/>
          <w:highlight w:val="none"/>
          <w14:textFill>
            <w14:solidFill>
              <w14:schemeClr w14:val="tx1"/>
            </w14:solidFill>
          </w14:textFill>
        </w:rPr>
        <w:t>解</w:t>
      </w:r>
      <w:r>
        <w:rPr>
          <w:rFonts w:ascii="宋体" w:hAnsi="宋体"/>
          <w:color w:val="000000" w:themeColor="text1"/>
          <w:sz w:val="21"/>
          <w:szCs w:val="21"/>
          <w:highlight w:val="none"/>
          <w14:textFill>
            <w14:solidFill>
              <w14:schemeClr w14:val="tx1"/>
            </w14:solidFill>
          </w14:textFill>
        </w:rPr>
        <w:t>决：</w:t>
      </w:r>
    </w:p>
    <w:p w14:paraId="5635617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（1）向</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仲裁委员会申请仲裁；</w:t>
      </w:r>
    </w:p>
    <w:p w14:paraId="33273C4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（2）向</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人民法院起诉。</w:t>
      </w:r>
    </w:p>
    <w:p w14:paraId="4A142249">
      <w:pPr>
        <w:pStyle w:val="4"/>
        <w:spacing w:beforeLines="50" w:afterLines="50" w:line="360" w:lineRule="auto"/>
        <w:rPr>
          <w:rFonts w:ascii="宋体" w:hAnsi="宋体"/>
          <w:color w:val="000000" w:themeColor="text1"/>
          <w:sz w:val="21"/>
          <w:szCs w:val="21"/>
          <w:highlight w:val="none"/>
          <w14:textFill>
            <w14:solidFill>
              <w14:schemeClr w14:val="tx1"/>
            </w14:solidFill>
          </w14:textFill>
        </w:rPr>
      </w:pPr>
      <w:bookmarkStart w:id="883" w:name="_Toc31481"/>
      <w:bookmarkStart w:id="884" w:name="_Toc28348"/>
      <w:bookmarkStart w:id="885" w:name="_Toc28528"/>
      <w:r>
        <w:rPr>
          <w:rFonts w:hint="eastAsia" w:ascii="黑体" w:hAnsi="黑体" w:eastAsia="黑体"/>
          <w:b w:val="0"/>
          <w:color w:val="000000" w:themeColor="text1"/>
          <w:sz w:val="28"/>
          <w:szCs w:val="28"/>
          <w:highlight w:val="none"/>
          <w14:textFill>
            <w14:solidFill>
              <w14:schemeClr w14:val="tx1"/>
            </w14:solidFill>
          </w14:textFill>
        </w:rPr>
        <w:t>18</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其他</w:t>
      </w:r>
      <w:r>
        <w:rPr>
          <w:rStyle w:val="49"/>
          <w:rFonts w:ascii="黑体" w:hAnsi="黑体" w:eastAsia="黑体"/>
          <w:b w:val="0"/>
          <w:color w:val="000000" w:themeColor="text1"/>
          <w:highlight w:val="none"/>
          <w14:textFill>
            <w14:solidFill>
              <w14:schemeClr w14:val="tx1"/>
            </w14:solidFill>
          </w14:textFill>
        </w:rPr>
        <w:footnoteReference w:id="65"/>
      </w:r>
      <w:bookmarkEnd w:id="883"/>
      <w:bookmarkEnd w:id="884"/>
      <w:bookmarkEnd w:id="885"/>
    </w:p>
    <w:p w14:paraId="53649AE3">
      <w:pPr>
        <w:spacing w:line="440" w:lineRule="exact"/>
        <w:ind w:firstLine="424" w:firstLineChars="202"/>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18.1.设计服务基本要求</w:t>
      </w:r>
    </w:p>
    <w:p w14:paraId="49A7ACE8">
      <w:pPr>
        <w:spacing w:line="440" w:lineRule="exact"/>
        <w:ind w:firstLine="424" w:firstLineChars="202"/>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（1）设计人应依据项目设计合同的规定，通过有效地计划、组织和协调，按时完成合同规定的设计任务，保证设计质量、合理控制工程投资，为建设各方提供优良的设计服务。</w:t>
      </w:r>
    </w:p>
    <w:p w14:paraId="7A309B58">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（2）承担方案优化及其后续设计服务的设计人，若</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或其上级主管部门认为有必要的话，则应按其要求进行技术设计，编制技术设计文件及相应修正概算，设计人应无条件执行，且编制费用已包括在设计费总额中，但涉及重大修改的由双方另行协商。</w:t>
      </w:r>
    </w:p>
    <w:p w14:paraId="0A4FE632">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（3）</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认为有必要分标段进行施工招标的话，则设计人应按其要求分别提交招标项目所需的图纸、文件资料，满足</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的招标需要。</w:t>
      </w:r>
    </w:p>
    <w:p w14:paraId="19552E20">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（4）工程施工时，应按照规定派驻工地设计代表，协助</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解决各种与设计有关的问题，包括修改完善设计或局部变更设计。</w:t>
      </w:r>
    </w:p>
    <w:p w14:paraId="7DC28E25">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（5）设计人所做的设计应当符合设计标准和规范要求，由于设计失误引起重大设计变更造成</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的工程费用增加的，设计人应赔偿损失，且最高赔偿金额不超过合同设计费总额。</w:t>
      </w:r>
    </w:p>
    <w:p w14:paraId="168B2F24">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18.2.对设计人员的基本要求</w:t>
      </w:r>
    </w:p>
    <w:p w14:paraId="5BB8810B">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（1）设计人应当由投标时承诺派出的设计人员承担设计工作，其设计项目负责人和其他主要设计人员应当在相应的设计文件上签字，并参加</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主持召开的与设计有关的会议，处理和解决与设计有关的问题。</w:t>
      </w:r>
    </w:p>
    <w:p w14:paraId="7AD211DF">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（2）设计人不按投标时的承诺派出设计项目负责人的，</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有权拒绝与其签订设计合同；由此给</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造成损失的，设计人应当负责赔偿，</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可以直接将设计人的投标保证金作为赔偿费用予以扣除。</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应当将上述情况向招标监管部门报备。</w:t>
      </w:r>
    </w:p>
    <w:p w14:paraId="4EA97DF8">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（3）中标的设计项目负责人因其单位变动等特殊原因不能出任的，设计人应向</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提出更换设计项目负责人申请，其替换人选的资格、经验和能力不得低于投标所报的人员。为此给</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造成损失的，设计人应当予以赔偿。</w:t>
      </w:r>
    </w:p>
    <w:p w14:paraId="4B533714">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（4）设计人未能按投标时的承诺派出其他主要设计人员的，应事先向</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提出更换主要设计人员的书面申请，其替换人选的资格、经验和能力不得低于投标所报的人员，为此给</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造成损失的，设计人应当予以赔偿。</w:t>
      </w:r>
    </w:p>
    <w:p w14:paraId="328C89A8">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（5）设计人员应有良好的职业道德和严谨的工作作风，在设计过程中不得向施工方介绍指定分包商和供应商。</w:t>
      </w:r>
    </w:p>
    <w:p w14:paraId="618D52E2">
      <w:pPr>
        <w:tabs>
          <w:tab w:val="left" w:pos="624"/>
        </w:tabs>
        <w:spacing w:line="440" w:lineRule="exact"/>
        <w:ind w:firstLine="424" w:firstLineChars="202"/>
        <w:textAlignment w:val="auto"/>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（6）常驻施工现场设计代表，如有不尽其职或虚挂其名的情况，</w:t>
      </w:r>
      <w:r>
        <w:rPr>
          <w:rFonts w:hint="eastAsia" w:ascii="宋体" w:hAnsi="宋体" w:cs="Courier New"/>
          <w:i/>
          <w:iCs/>
          <w:color w:val="000000" w:themeColor="text1"/>
          <w:sz w:val="21"/>
          <w:szCs w:val="21"/>
          <w:highlight w:val="none"/>
          <w:u w:val="single"/>
          <w14:textFill>
            <w14:solidFill>
              <w14:schemeClr w14:val="tx1"/>
            </w14:solidFill>
          </w14:textFill>
        </w:rPr>
        <w:t>发包人</w:t>
      </w:r>
      <w:r>
        <w:rPr>
          <w:rFonts w:hint="eastAsia" w:ascii="宋体" w:hAnsi="宋体"/>
          <w:i/>
          <w:iCs/>
          <w:color w:val="000000" w:themeColor="text1"/>
          <w:sz w:val="21"/>
          <w:szCs w:val="21"/>
          <w:highlight w:val="none"/>
          <w:u w:val="single"/>
          <w14:textFill>
            <w14:solidFill>
              <w14:schemeClr w14:val="tx1"/>
            </w14:solidFill>
          </w14:textFill>
        </w:rPr>
        <w:t>有权要求调换具有相应资历的人选的权利，直至有权要求设计单位退场并单方面终止合同。</w:t>
      </w:r>
    </w:p>
    <w:p w14:paraId="3FDFFE79">
      <w:pPr>
        <w:pStyle w:val="13"/>
        <w:tabs>
          <w:tab w:val="left" w:pos="567"/>
          <w:tab w:val="left" w:pos="1000"/>
        </w:tabs>
        <w:spacing w:line="440" w:lineRule="exact"/>
        <w:ind w:firstLine="424" w:firstLineChars="202"/>
        <w:jc w:val="left"/>
        <w:rPr>
          <w:rFonts w:ascii="宋体" w:hAnsi="宋体" w:eastAsia="宋体"/>
          <w:i/>
          <w:iCs/>
          <w:color w:val="000000" w:themeColor="text1"/>
          <w:szCs w:val="21"/>
          <w:highlight w:val="none"/>
          <w:u w:val="single"/>
          <w14:textFill>
            <w14:solidFill>
              <w14:schemeClr w14:val="tx1"/>
            </w14:solidFill>
          </w14:textFill>
        </w:rPr>
      </w:pPr>
      <w:r>
        <w:rPr>
          <w:rFonts w:hint="eastAsia" w:ascii="宋体" w:hAnsi="宋体" w:eastAsia="宋体"/>
          <w:i/>
          <w:iCs/>
          <w:color w:val="000000" w:themeColor="text1"/>
          <w:szCs w:val="21"/>
          <w:highlight w:val="none"/>
          <w:u w:val="single"/>
          <w14:textFill>
            <w14:solidFill>
              <w14:schemeClr w14:val="tx1"/>
            </w14:solidFill>
          </w14:textFill>
        </w:rPr>
        <w:t>18.3.中标人承担工程勘察的，为满足设计和规范所要求的全部勘察报告和资料，以及工程施工所需要的配合服务（包括收集资料，现场踏勘，制订勘察纲要，进行测绘、勘探、取样、试验、测试、检测、监测等勘察作业，以及编制工程勘察文件和岩土工程设计文件等收取的费用，并包括与设计单位、施工单位的配合，后续服务等内容）的费用应包含在勘察费的投标报价中；承担方案设计的，其为方案获得批准所需要的优化和修改的全部工作的费用也包含在设计费中；承担施工图设计的，其为工程所需的初步设计、概算和施工现场服务的费用也都包含在施工图设计费中。</w:t>
      </w:r>
    </w:p>
    <w:p w14:paraId="1225D1E2">
      <w:pPr>
        <w:spacing w:line="440" w:lineRule="exact"/>
        <w:ind w:firstLine="525" w:firstLineChars="25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18.4.所有根据合同或其他原因应由设计人（勘察人）支付的税金和其他应缴纳的费用都要包括在合同金额中。</w:t>
      </w:r>
    </w:p>
    <w:p w14:paraId="6119BCE5">
      <w:pPr>
        <w:spacing w:line="440" w:lineRule="exact"/>
        <w:ind w:firstLine="525" w:firstLineChars="25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18.5.   ……                                       </w:t>
      </w:r>
    </w:p>
    <w:p w14:paraId="0BC0EB9D">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32AF6738">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4CB1C3DE">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59121BFC">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798A2BBA">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245B5E17">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02567A63">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3DFC9F17">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6855737F">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2A5D917E">
      <w:pPr>
        <w:spacing w:line="440" w:lineRule="exact"/>
        <w:ind w:firstLine="525" w:firstLineChars="250"/>
        <w:jc w:val="left"/>
        <w:rPr>
          <w:rFonts w:ascii="宋体" w:hAnsi="宋体"/>
          <w:color w:val="000000" w:themeColor="text1"/>
          <w:sz w:val="21"/>
          <w:szCs w:val="21"/>
          <w:highlight w:val="none"/>
          <w:u w:val="single"/>
          <w14:textFill>
            <w14:solidFill>
              <w14:schemeClr w14:val="tx1"/>
            </w14:solidFill>
          </w14:textFill>
        </w:rPr>
      </w:pPr>
    </w:p>
    <w:p w14:paraId="1050781D">
      <w:pPr>
        <w:spacing w:line="440" w:lineRule="exact"/>
        <w:ind w:firstLine="0" w:firstLineChars="0"/>
        <w:jc w:val="left"/>
        <w:rPr>
          <w:rFonts w:ascii="宋体" w:hAnsi="宋体"/>
          <w:b/>
          <w:color w:val="000000" w:themeColor="text1"/>
          <w:sz w:val="21"/>
          <w:szCs w:val="21"/>
          <w:highlight w:val="none"/>
          <w:u w:val="single"/>
          <w14:textFill>
            <w14:solidFill>
              <w14:schemeClr w14:val="tx1"/>
            </w14:solidFill>
          </w14:textFill>
        </w:rPr>
      </w:pPr>
    </w:p>
    <w:p w14:paraId="067C6FA5">
      <w:pPr>
        <w:pStyle w:val="50"/>
        <w:rPr>
          <w:color w:val="000000" w:themeColor="text1"/>
          <w:highlight w:val="none"/>
          <w14:textFill>
            <w14:solidFill>
              <w14:schemeClr w14:val="tx1"/>
            </w14:solidFill>
          </w14:textFill>
        </w:rPr>
      </w:pPr>
    </w:p>
    <w:p w14:paraId="0AE4DF2B">
      <w:pPr>
        <w:pStyle w:val="4"/>
        <w:rPr>
          <w:rFonts w:ascii="黑体" w:hAnsi="黑体" w:eastAsia="黑体"/>
          <w:b w:val="0"/>
          <w:color w:val="000000" w:themeColor="text1"/>
          <w:sz w:val="21"/>
          <w:szCs w:val="21"/>
          <w:highlight w:val="none"/>
          <w14:textFill>
            <w14:solidFill>
              <w14:schemeClr w14:val="tx1"/>
            </w14:solidFill>
          </w14:textFill>
        </w:rPr>
      </w:pPr>
      <w:bookmarkStart w:id="886" w:name="_Toc14505"/>
      <w:bookmarkStart w:id="887" w:name="_Toc22922"/>
      <w:bookmarkStart w:id="888" w:name="_Toc11668"/>
      <w:r>
        <w:rPr>
          <w:rFonts w:ascii="黑体" w:hAnsi="黑体" w:eastAsia="黑体"/>
          <w:b w:val="0"/>
          <w:color w:val="000000" w:themeColor="text1"/>
          <w:sz w:val="21"/>
          <w:szCs w:val="21"/>
          <w:highlight w:val="none"/>
          <w14:textFill>
            <w14:solidFill>
              <w14:schemeClr w14:val="tx1"/>
            </w14:solidFill>
          </w14:textFill>
        </w:rPr>
        <w:t>附件</w:t>
      </w:r>
      <w:bookmarkEnd w:id="834"/>
      <w:bookmarkEnd w:id="886"/>
      <w:bookmarkEnd w:id="887"/>
      <w:bookmarkEnd w:id="888"/>
    </w:p>
    <w:p w14:paraId="00BFE17B">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附件</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工程设计（勘察）范围、阶段与服务内容</w:t>
      </w:r>
    </w:p>
    <w:p w14:paraId="3A6FCBF9">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附件</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2：发包人</w:t>
      </w:r>
      <w:r>
        <w:rPr>
          <w:rFonts w:hint="eastAsia" w:ascii="宋体" w:hAnsi="宋体"/>
          <w:color w:val="000000" w:themeColor="text1"/>
          <w:sz w:val="21"/>
          <w:szCs w:val="21"/>
          <w:highlight w:val="none"/>
          <w14:textFill>
            <w14:solidFill>
              <w14:schemeClr w14:val="tx1"/>
            </w14:solidFill>
          </w14:textFill>
        </w:rPr>
        <w:t>向设计人提交的有关资料及文件</w:t>
      </w:r>
      <w:r>
        <w:rPr>
          <w:rFonts w:ascii="宋体" w:hAnsi="宋体"/>
          <w:color w:val="000000" w:themeColor="text1"/>
          <w:sz w:val="21"/>
          <w:szCs w:val="21"/>
          <w:highlight w:val="none"/>
          <w14:textFill>
            <w14:solidFill>
              <w14:schemeClr w14:val="tx1"/>
            </w14:solidFill>
          </w14:textFill>
        </w:rPr>
        <w:t>一览表</w:t>
      </w:r>
    </w:p>
    <w:p w14:paraId="004462CE">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附件</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设计人向发包人交付的工程设计文件</w:t>
      </w:r>
      <w:r>
        <w:rPr>
          <w:rFonts w:ascii="宋体" w:hAnsi="宋体"/>
          <w:color w:val="000000" w:themeColor="text1"/>
          <w:sz w:val="21"/>
          <w:szCs w:val="21"/>
          <w:highlight w:val="none"/>
          <w14:textFill>
            <w14:solidFill>
              <w14:schemeClr w14:val="tx1"/>
            </w14:solidFill>
          </w14:textFill>
        </w:rPr>
        <w:t>目录</w:t>
      </w:r>
    </w:p>
    <w:p w14:paraId="49FF63F6">
      <w:pPr>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附件</w:t>
      </w:r>
      <w:r>
        <w:rPr>
          <w:rFonts w:hint="eastAsia" w:ascii="宋体" w:hAnsi="宋体"/>
          <w:color w:val="000000" w:themeColor="text1"/>
          <w:sz w:val="21"/>
          <w:szCs w:val="21"/>
          <w:highlight w:val="none"/>
          <w14:textFill>
            <w14:solidFill>
              <w14:schemeClr w14:val="tx1"/>
            </w14:solidFill>
          </w14:textFill>
        </w:rPr>
        <w:t>5-4</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人主要</w:t>
      </w:r>
      <w:r>
        <w:rPr>
          <w:rFonts w:hint="eastAsia" w:ascii="宋体" w:hAnsi="宋体"/>
          <w:color w:val="000000" w:themeColor="text1"/>
          <w:sz w:val="21"/>
          <w:szCs w:val="21"/>
          <w:highlight w:val="none"/>
          <w14:textFill>
            <w14:solidFill>
              <w14:schemeClr w14:val="tx1"/>
            </w14:solidFill>
          </w14:textFill>
        </w:rPr>
        <w:t>设计</w:t>
      </w:r>
      <w:r>
        <w:rPr>
          <w:rFonts w:ascii="宋体" w:hAnsi="宋体"/>
          <w:color w:val="000000" w:themeColor="text1"/>
          <w:sz w:val="21"/>
          <w:szCs w:val="21"/>
          <w:highlight w:val="none"/>
          <w14:textFill>
            <w14:solidFill>
              <w14:schemeClr w14:val="tx1"/>
            </w14:solidFill>
          </w14:textFill>
        </w:rPr>
        <w:t>人员表</w:t>
      </w:r>
    </w:p>
    <w:p w14:paraId="49A26BDB">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附件5-5：履约担保、保险格式</w:t>
      </w:r>
    </w:p>
    <w:p w14:paraId="1FCDF3A9">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附件5-6：联合体协议书（如有）</w:t>
      </w:r>
    </w:p>
    <w:p w14:paraId="130395C6">
      <w:pPr>
        <w:spacing w:line="360" w:lineRule="auto"/>
        <w:jc w:val="left"/>
        <w:rPr>
          <w:rFonts w:ascii="宋体" w:hAnsi="宋体"/>
          <w:color w:val="000000" w:themeColor="text1"/>
          <w:sz w:val="30"/>
          <w:szCs w:val="32"/>
          <w:highlight w:val="none"/>
          <w14:textFill>
            <w14:solidFill>
              <w14:schemeClr w14:val="tx1"/>
            </w14:solidFill>
          </w14:textFill>
        </w:rPr>
      </w:pPr>
    </w:p>
    <w:p w14:paraId="1B30656A">
      <w:pPr>
        <w:spacing w:line="360" w:lineRule="auto"/>
        <w:jc w:val="left"/>
        <w:rPr>
          <w:rFonts w:ascii="宋体" w:hAnsi="宋体"/>
          <w:color w:val="000000" w:themeColor="text1"/>
          <w:sz w:val="30"/>
          <w:szCs w:val="32"/>
          <w:highlight w:val="none"/>
          <w14:textFill>
            <w14:solidFill>
              <w14:schemeClr w14:val="tx1"/>
            </w14:solidFill>
          </w14:textFill>
        </w:rPr>
      </w:pPr>
    </w:p>
    <w:p w14:paraId="5E15B4FF">
      <w:pPr>
        <w:spacing w:line="360" w:lineRule="auto"/>
        <w:jc w:val="left"/>
        <w:rPr>
          <w:rFonts w:ascii="宋体" w:hAnsi="宋体"/>
          <w:color w:val="000000" w:themeColor="text1"/>
          <w:sz w:val="30"/>
          <w:szCs w:val="32"/>
          <w:highlight w:val="none"/>
          <w14:textFill>
            <w14:solidFill>
              <w14:schemeClr w14:val="tx1"/>
            </w14:solidFill>
          </w14:textFill>
        </w:rPr>
      </w:pPr>
    </w:p>
    <w:p w14:paraId="1AD9ED3C">
      <w:pPr>
        <w:spacing w:line="360" w:lineRule="auto"/>
        <w:jc w:val="left"/>
        <w:rPr>
          <w:rFonts w:ascii="宋体" w:hAnsi="宋体"/>
          <w:color w:val="000000" w:themeColor="text1"/>
          <w:sz w:val="30"/>
          <w:szCs w:val="32"/>
          <w:highlight w:val="none"/>
          <w14:textFill>
            <w14:solidFill>
              <w14:schemeClr w14:val="tx1"/>
            </w14:solidFill>
          </w14:textFill>
        </w:rPr>
      </w:pPr>
    </w:p>
    <w:p w14:paraId="09A41D8F">
      <w:pPr>
        <w:spacing w:line="360" w:lineRule="auto"/>
        <w:jc w:val="left"/>
        <w:rPr>
          <w:rFonts w:ascii="宋体" w:hAnsi="宋体"/>
          <w:color w:val="000000" w:themeColor="text1"/>
          <w:sz w:val="30"/>
          <w:szCs w:val="32"/>
          <w:highlight w:val="none"/>
          <w14:textFill>
            <w14:solidFill>
              <w14:schemeClr w14:val="tx1"/>
            </w14:solidFill>
          </w14:textFill>
        </w:rPr>
      </w:pPr>
    </w:p>
    <w:p w14:paraId="283606AD">
      <w:pPr>
        <w:spacing w:line="360" w:lineRule="auto"/>
        <w:jc w:val="left"/>
        <w:rPr>
          <w:rFonts w:ascii="宋体" w:hAnsi="宋体"/>
          <w:color w:val="000000" w:themeColor="text1"/>
          <w:sz w:val="30"/>
          <w:szCs w:val="32"/>
          <w:highlight w:val="none"/>
          <w14:textFill>
            <w14:solidFill>
              <w14:schemeClr w14:val="tx1"/>
            </w14:solidFill>
          </w14:textFill>
        </w:rPr>
      </w:pPr>
    </w:p>
    <w:p w14:paraId="50F6ADA2">
      <w:pPr>
        <w:spacing w:line="360" w:lineRule="auto"/>
        <w:jc w:val="left"/>
        <w:rPr>
          <w:rFonts w:ascii="宋体" w:hAnsi="宋体"/>
          <w:color w:val="000000" w:themeColor="text1"/>
          <w:sz w:val="30"/>
          <w:szCs w:val="32"/>
          <w:highlight w:val="none"/>
          <w14:textFill>
            <w14:solidFill>
              <w14:schemeClr w14:val="tx1"/>
            </w14:solidFill>
          </w14:textFill>
        </w:rPr>
      </w:pPr>
    </w:p>
    <w:p w14:paraId="4D7EE0FE">
      <w:pPr>
        <w:spacing w:line="360" w:lineRule="auto"/>
        <w:jc w:val="left"/>
        <w:rPr>
          <w:rFonts w:ascii="宋体" w:hAnsi="宋体"/>
          <w:color w:val="000000" w:themeColor="text1"/>
          <w:sz w:val="30"/>
          <w:szCs w:val="32"/>
          <w:highlight w:val="none"/>
          <w14:textFill>
            <w14:solidFill>
              <w14:schemeClr w14:val="tx1"/>
            </w14:solidFill>
          </w14:textFill>
        </w:rPr>
      </w:pPr>
    </w:p>
    <w:p w14:paraId="78F99BA8">
      <w:pPr>
        <w:spacing w:line="360" w:lineRule="auto"/>
        <w:jc w:val="left"/>
        <w:rPr>
          <w:rFonts w:ascii="宋体" w:hAnsi="宋体"/>
          <w:color w:val="000000" w:themeColor="text1"/>
          <w:sz w:val="30"/>
          <w:szCs w:val="32"/>
          <w:highlight w:val="none"/>
          <w14:textFill>
            <w14:solidFill>
              <w14:schemeClr w14:val="tx1"/>
            </w14:solidFill>
          </w14:textFill>
        </w:rPr>
      </w:pPr>
    </w:p>
    <w:p w14:paraId="2D0ED221">
      <w:pPr>
        <w:spacing w:line="360" w:lineRule="auto"/>
        <w:jc w:val="left"/>
        <w:rPr>
          <w:rFonts w:ascii="宋体" w:hAnsi="宋体"/>
          <w:color w:val="000000" w:themeColor="text1"/>
          <w:sz w:val="30"/>
          <w:szCs w:val="32"/>
          <w:highlight w:val="none"/>
          <w14:textFill>
            <w14:solidFill>
              <w14:schemeClr w14:val="tx1"/>
            </w14:solidFill>
          </w14:textFill>
        </w:rPr>
      </w:pPr>
    </w:p>
    <w:p w14:paraId="50BA9DD4">
      <w:pPr>
        <w:spacing w:line="360" w:lineRule="auto"/>
        <w:jc w:val="left"/>
        <w:rPr>
          <w:rFonts w:ascii="宋体" w:hAnsi="宋体"/>
          <w:color w:val="000000" w:themeColor="text1"/>
          <w:sz w:val="30"/>
          <w:szCs w:val="32"/>
          <w:highlight w:val="none"/>
          <w14:textFill>
            <w14:solidFill>
              <w14:schemeClr w14:val="tx1"/>
            </w14:solidFill>
          </w14:textFill>
        </w:rPr>
      </w:pPr>
    </w:p>
    <w:p w14:paraId="021D69BC">
      <w:pPr>
        <w:spacing w:line="360" w:lineRule="auto"/>
        <w:jc w:val="left"/>
        <w:rPr>
          <w:rFonts w:ascii="宋体" w:hAnsi="宋体"/>
          <w:color w:val="000000" w:themeColor="text1"/>
          <w:sz w:val="30"/>
          <w:szCs w:val="32"/>
          <w:highlight w:val="none"/>
          <w14:textFill>
            <w14:solidFill>
              <w14:schemeClr w14:val="tx1"/>
            </w14:solidFill>
          </w14:textFill>
        </w:rPr>
      </w:pPr>
    </w:p>
    <w:p w14:paraId="4BFC1389">
      <w:pPr>
        <w:spacing w:line="360" w:lineRule="auto"/>
        <w:jc w:val="left"/>
        <w:rPr>
          <w:rFonts w:ascii="宋体" w:hAnsi="宋体"/>
          <w:color w:val="000000" w:themeColor="text1"/>
          <w:sz w:val="30"/>
          <w:szCs w:val="32"/>
          <w:highlight w:val="none"/>
          <w14:textFill>
            <w14:solidFill>
              <w14:schemeClr w14:val="tx1"/>
            </w14:solidFill>
          </w14:textFill>
        </w:rPr>
      </w:pPr>
    </w:p>
    <w:p w14:paraId="5B4F5F13">
      <w:pPr>
        <w:spacing w:line="360" w:lineRule="auto"/>
        <w:jc w:val="left"/>
        <w:rPr>
          <w:rFonts w:ascii="宋体" w:hAnsi="宋体"/>
          <w:b/>
          <w:color w:val="000000" w:themeColor="text1"/>
          <w:sz w:val="24"/>
          <w:szCs w:val="24"/>
          <w:highlight w:val="none"/>
          <w14:textFill>
            <w14:solidFill>
              <w14:schemeClr w14:val="tx1"/>
            </w14:solidFill>
          </w14:textFill>
        </w:rPr>
      </w:pPr>
      <w:bookmarkStart w:id="889" w:name="_Toc278231956"/>
      <w:bookmarkStart w:id="890" w:name="_Toc278309716"/>
    </w:p>
    <w:p w14:paraId="297B7D77">
      <w:pPr>
        <w:spacing w:line="360" w:lineRule="auto"/>
        <w:jc w:val="left"/>
        <w:rPr>
          <w:rFonts w:ascii="宋体" w:hAnsi="宋体"/>
          <w:b/>
          <w:color w:val="000000" w:themeColor="text1"/>
          <w:sz w:val="24"/>
          <w:szCs w:val="24"/>
          <w:highlight w:val="none"/>
          <w14:textFill>
            <w14:solidFill>
              <w14:schemeClr w14:val="tx1"/>
            </w14:solidFill>
          </w14:textFill>
        </w:rPr>
      </w:pPr>
    </w:p>
    <w:p w14:paraId="1D17D3C9">
      <w:pPr>
        <w:spacing w:line="360" w:lineRule="auto"/>
        <w:jc w:val="left"/>
        <w:rPr>
          <w:rFonts w:ascii="宋体" w:hAnsi="宋体"/>
          <w:b/>
          <w:color w:val="000000" w:themeColor="text1"/>
          <w:sz w:val="24"/>
          <w:szCs w:val="24"/>
          <w:highlight w:val="none"/>
          <w14:textFill>
            <w14:solidFill>
              <w14:schemeClr w14:val="tx1"/>
            </w14:solidFill>
          </w14:textFill>
        </w:rPr>
      </w:pPr>
    </w:p>
    <w:p w14:paraId="6CBC6D9D">
      <w:pPr>
        <w:spacing w:line="360" w:lineRule="auto"/>
        <w:jc w:val="left"/>
        <w:rPr>
          <w:rFonts w:ascii="宋体" w:hAnsi="宋体"/>
          <w:b/>
          <w:color w:val="000000" w:themeColor="text1"/>
          <w:sz w:val="24"/>
          <w:szCs w:val="24"/>
          <w:highlight w:val="none"/>
          <w14:textFill>
            <w14:solidFill>
              <w14:schemeClr w14:val="tx1"/>
            </w14:solidFill>
          </w14:textFill>
        </w:rPr>
      </w:pPr>
    </w:p>
    <w:p w14:paraId="6553FE43">
      <w:pPr>
        <w:spacing w:line="360" w:lineRule="auto"/>
        <w:jc w:val="left"/>
        <w:rPr>
          <w:rFonts w:ascii="宋体" w:hAnsi="宋体"/>
          <w:b/>
          <w:color w:val="000000" w:themeColor="text1"/>
          <w:sz w:val="24"/>
          <w:szCs w:val="24"/>
          <w:highlight w:val="none"/>
          <w14:textFill>
            <w14:solidFill>
              <w14:schemeClr w14:val="tx1"/>
            </w14:solidFill>
          </w14:textFill>
        </w:rPr>
      </w:pPr>
    </w:p>
    <w:p w14:paraId="0D1E94EE">
      <w:pP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附件5-1：</w:t>
      </w:r>
    </w:p>
    <w:p w14:paraId="17F04ABD">
      <w:pPr>
        <w:spacing w:afterLines="100" w:line="36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工程设计（勘察）范围、阶段与服务内容</w:t>
      </w:r>
      <w:bookmarkEnd w:id="889"/>
      <w:bookmarkEnd w:id="890"/>
    </w:p>
    <w:p w14:paraId="351D57ED">
      <w:pPr>
        <w:spacing w:line="360" w:lineRule="auto"/>
        <w:jc w:val="left"/>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一、本工程设计（勘察）范围</w:t>
      </w:r>
    </w:p>
    <w:p w14:paraId="071AF950">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785A03E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82707EE">
      <w:pPr>
        <w:spacing w:line="360" w:lineRule="auto"/>
        <w:jc w:val="left"/>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二、</w:t>
      </w:r>
      <w:r>
        <w:rPr>
          <w:rFonts w:hint="eastAsia" w:ascii="宋体" w:hAnsi="宋体"/>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1"/>
          <w:szCs w:val="21"/>
          <w:highlight w:val="none"/>
          <w14:textFill>
            <w14:solidFill>
              <w14:schemeClr w14:val="tx1"/>
            </w14:solidFill>
          </w14:textFill>
        </w:rPr>
        <w:t>本工程设计阶段划分（用于房屋建筑工程）：</w:t>
      </w:r>
    </w:p>
    <w:p w14:paraId="7A188AD7">
      <w:pPr>
        <w:spacing w:line="360" w:lineRule="auto"/>
        <w:ind w:firstLine="315" w:firstLineChars="150"/>
        <w:jc w:val="left"/>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方案设计阶段、初步设计、施工图设计及施工配合四个阶段。</w:t>
      </w:r>
    </w:p>
    <w:p w14:paraId="146B73F7">
      <w:pPr>
        <w:spacing w:line="360" w:lineRule="auto"/>
        <w:ind w:firstLine="420" w:firstLineChars="200"/>
        <w:jc w:val="left"/>
        <w:rPr>
          <w:rFonts w:ascii="黑体" w:hAnsi="黑体" w:eastAsia="黑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1"/>
          <w:szCs w:val="21"/>
          <w:highlight w:val="none"/>
          <w14:textFill>
            <w14:solidFill>
              <w14:schemeClr w14:val="tx1"/>
            </w14:solidFill>
          </w14:textFill>
        </w:rPr>
        <w:t>本工程设计阶段划分（用于市政基础设施工程）：</w:t>
      </w:r>
    </w:p>
    <w:p w14:paraId="47A06FE2">
      <w:pPr>
        <w:spacing w:line="360" w:lineRule="auto"/>
        <w:ind w:firstLine="315" w:firstLineChars="15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初步（基础）设计、非标准设备设计（如有）、施工图设计及施工配合四个阶段。</w:t>
      </w:r>
    </w:p>
    <w:p w14:paraId="658F0FBA">
      <w:pPr>
        <w:spacing w:line="360" w:lineRule="auto"/>
        <w:jc w:val="left"/>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三、</w:t>
      </w:r>
      <w:r>
        <w:rPr>
          <w:rFonts w:hint="eastAsia" w:ascii="宋体" w:hAnsi="宋体"/>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1"/>
          <w:szCs w:val="21"/>
          <w:highlight w:val="none"/>
          <w14:textFill>
            <w14:solidFill>
              <w14:schemeClr w14:val="tx1"/>
            </w14:solidFill>
          </w14:textFill>
        </w:rPr>
        <w:t>各阶段服务内容（用于房屋建筑工程）</w:t>
      </w:r>
    </w:p>
    <w:p w14:paraId="38D88045">
      <w:pPr>
        <w:spacing w:line="360" w:lineRule="auto"/>
        <w:ind w:firstLine="420" w:firstLineChars="200"/>
        <w:jc w:val="left"/>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1.方案设计阶段</w:t>
      </w:r>
    </w:p>
    <w:p w14:paraId="08DCDCB1">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（1）与发包人及发包人聘用的顾问充分沟通，深入研究项目基础资料，协助发包人提出本项目的发展规划和市场潜力； </w:t>
      </w:r>
    </w:p>
    <w:p w14:paraId="73926359">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（2）完成总体规划和方案设计，提供满足深度的方案设计图纸，并制作符合政府部门要求的规划意见书与设计方案报批文件，协助发包人进行报批工作； </w:t>
      </w:r>
    </w:p>
    <w:p w14:paraId="2C134B99">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（3）根据政府部门的审批意见在本合同约定的范围内对设计方案进行修改和必要的调整，以通过政府部门审查批准； </w:t>
      </w:r>
    </w:p>
    <w:p w14:paraId="52E6B5E0">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6D20C153">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（5）配合发包人进行人防、消防、交通、绿化及市政管网等方面的咨询工作；</w:t>
      </w:r>
    </w:p>
    <w:p w14:paraId="2CBA1DC9">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（6）负责完成人防、消防等规划方案，协助发包人完成报批工作。</w:t>
      </w:r>
    </w:p>
    <w:p w14:paraId="33B51893">
      <w:pPr>
        <w:spacing w:line="360" w:lineRule="auto"/>
        <w:ind w:firstLine="420" w:firstLineChars="200"/>
        <w:jc w:val="left"/>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2.初步设计阶段</w:t>
      </w:r>
    </w:p>
    <w:p w14:paraId="17FB9686">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（1）负责完成并制作建筑、结构、给排水、暖通空调、电气、动力、室外管线综合等专业的初步设计文件，设计内容和深度应满足政府相关规定； </w:t>
      </w:r>
    </w:p>
    <w:p w14:paraId="6C3F3AC5">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（2）制作报政府相关部门进行初步设计审查的设计图纸，配合发包人进行交通、园林、人防、消防、供电、市政、气象等各部门的报审工作，提供相关的工程用量参数，并负责有关解释和修改。</w:t>
      </w:r>
    </w:p>
    <w:p w14:paraId="42A53FDC">
      <w:pPr>
        <w:spacing w:line="360" w:lineRule="auto"/>
        <w:ind w:firstLine="420" w:firstLineChars="200"/>
        <w:jc w:val="left"/>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3.施工图设计阶段</w:t>
      </w:r>
    </w:p>
    <w:p w14:paraId="7D2BE6C0">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（1）负责完成并制作总图、建筑、结构、机电、室外管线综合等全部专业的施工图设计文件； </w:t>
      </w:r>
    </w:p>
    <w:p w14:paraId="40D1D22C">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（2）对发包人的审核修改意见进行修改、完善，保证其设计意图的最终实现； </w:t>
      </w:r>
    </w:p>
    <w:p w14:paraId="33629B6B">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1963388B">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（4）协助发包人进行工程招标答疑。</w:t>
      </w:r>
    </w:p>
    <w:p w14:paraId="1C8FCE42">
      <w:pPr>
        <w:spacing w:line="360" w:lineRule="auto"/>
        <w:ind w:firstLine="420" w:firstLineChars="200"/>
        <w:jc w:val="left"/>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4.施工配合阶段</w:t>
      </w:r>
    </w:p>
    <w:p w14:paraId="05E09D2A">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（1）负责工程设计交底，解答施工过程中施工承包人有关施工图的问题，项目负责人及各专业设计负责人，及时对施工中与设计有关的问题做出回应，保证设计满足施工要求； </w:t>
      </w:r>
    </w:p>
    <w:p w14:paraId="165CEC96">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（2）根据发包人要求，及时参加与设计有关的专题会，现场解决技术问题； </w:t>
      </w:r>
    </w:p>
    <w:p w14:paraId="4455446F">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（3）协助发包人处理工程洽商和设计变更，负责有关设计修改，及时办理相关手续； </w:t>
      </w:r>
    </w:p>
    <w:p w14:paraId="25E640BC">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（4）参与与设计人相关的必要的验收以及项目竣工验收工作，并及时办理相关手续； </w:t>
      </w:r>
    </w:p>
    <w:p w14:paraId="0EDC64FD">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 xml:space="preserve">（5）提供产品选型、设备加工订货、建筑材料选择以及分包商考察等技术咨询工作； </w:t>
      </w:r>
    </w:p>
    <w:p w14:paraId="587189EC">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（6）应发包人要求协助审核各分包商的设计文件是否满足接口条件并签署意见，以保证其与总体设计协调一致，并满足工程要求。</w:t>
      </w:r>
    </w:p>
    <w:p w14:paraId="36FA3085">
      <w:pPr>
        <w:spacing w:line="360" w:lineRule="auto"/>
        <w:ind w:firstLine="315" w:firstLineChars="150"/>
        <w:jc w:val="left"/>
        <w:rPr>
          <w:rFonts w:ascii="黑体" w:hAnsi="黑体" w:eastAsia="黑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1"/>
          <w:szCs w:val="21"/>
          <w:highlight w:val="none"/>
          <w14:textFill>
            <w14:solidFill>
              <w14:schemeClr w14:val="tx1"/>
            </w14:solidFill>
          </w14:textFill>
        </w:rPr>
        <w:t>各阶段服务内容（用于市政基础设施工程）</w:t>
      </w:r>
    </w:p>
    <w:p w14:paraId="41D1E0E0">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1.初步（基础）设计阶段</w:t>
      </w:r>
    </w:p>
    <w:p w14:paraId="69410F48">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2.非标准设备设计阶段（如有）</w:t>
      </w:r>
    </w:p>
    <w:p w14:paraId="34B687F5">
      <w:pPr>
        <w:spacing w:line="360" w:lineRule="auto"/>
        <w:ind w:firstLine="392" w:firstLineChars="187"/>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3.施工图设计阶段</w:t>
      </w:r>
    </w:p>
    <w:p w14:paraId="63313EA0">
      <w:pPr>
        <w:spacing w:line="360" w:lineRule="auto"/>
        <w:ind w:firstLine="420" w:firstLineChars="200"/>
        <w:jc w:val="left"/>
        <w:rPr>
          <w:rFonts w:ascii="宋体" w:hAnsi="宋体"/>
          <w:i/>
          <w:iCs/>
          <w:color w:val="000000" w:themeColor="text1"/>
          <w:sz w:val="21"/>
          <w:szCs w:val="21"/>
          <w:highlight w:val="none"/>
          <w:u w:val="single"/>
          <w14:textFill>
            <w14:solidFill>
              <w14:schemeClr w14:val="tx1"/>
            </w14:solidFill>
          </w14:textFill>
        </w:rPr>
      </w:pPr>
      <w:r>
        <w:rPr>
          <w:rFonts w:hint="eastAsia" w:ascii="宋体" w:hAnsi="宋体"/>
          <w:i/>
          <w:iCs/>
          <w:color w:val="000000" w:themeColor="text1"/>
          <w:sz w:val="21"/>
          <w:szCs w:val="21"/>
          <w:highlight w:val="none"/>
          <w:u w:val="single"/>
          <w14:textFill>
            <w14:solidFill>
              <w14:schemeClr w14:val="tx1"/>
            </w14:solidFill>
          </w14:textFill>
        </w:rPr>
        <w:t>4.施工配合阶段（包括设计技术交底、解决施工中设计技术问题、参加试车（试运行）考核和竣工验收）</w:t>
      </w:r>
    </w:p>
    <w:p w14:paraId="3D724802">
      <w:pPr>
        <w:spacing w:line="360" w:lineRule="auto"/>
        <w:jc w:val="left"/>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四、勘察服务内容（如有时）</w:t>
      </w:r>
    </w:p>
    <w:p w14:paraId="5829BC60">
      <w:pPr>
        <w:spacing w:beforeLines="50" w:afterLines="50" w:line="440" w:lineRule="exact"/>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w:t>
      </w:r>
    </w:p>
    <w:p w14:paraId="6574D8FE">
      <w:pPr>
        <w:spacing w:beforeLines="50" w:afterLines="50" w:line="440" w:lineRule="exact"/>
        <w:jc w:val="left"/>
        <w:rPr>
          <w:rFonts w:ascii="宋体" w:hAnsi="宋体"/>
          <w:color w:val="000000" w:themeColor="text1"/>
          <w:sz w:val="30"/>
          <w:szCs w:val="30"/>
          <w:highlight w:val="none"/>
          <w14:textFill>
            <w14:solidFill>
              <w14:schemeClr w14:val="tx1"/>
            </w14:solidFill>
          </w14:textFill>
        </w:rPr>
      </w:pPr>
    </w:p>
    <w:p w14:paraId="3C1E10BF">
      <w:pPr>
        <w:spacing w:line="360" w:lineRule="auto"/>
        <w:jc w:val="left"/>
        <w:rPr>
          <w:rFonts w:ascii="宋体" w:hAnsi="宋体"/>
          <w:b/>
          <w:color w:val="000000" w:themeColor="text1"/>
          <w:sz w:val="21"/>
          <w:szCs w:val="21"/>
          <w:highlight w:val="none"/>
          <w14:textFill>
            <w14:solidFill>
              <w14:schemeClr w14:val="tx1"/>
            </w14:solidFill>
          </w14:textFill>
        </w:rPr>
      </w:pPr>
      <w:bookmarkStart w:id="891" w:name="_Toc278231958"/>
      <w:bookmarkStart w:id="892" w:name="_Toc278309718"/>
    </w:p>
    <w:p w14:paraId="484EDB17">
      <w:pPr>
        <w:spacing w:line="360" w:lineRule="auto"/>
        <w:jc w:val="left"/>
        <w:rPr>
          <w:rFonts w:ascii="宋体" w:hAnsi="宋体"/>
          <w:b/>
          <w:color w:val="000000" w:themeColor="text1"/>
          <w:sz w:val="21"/>
          <w:szCs w:val="21"/>
          <w:highlight w:val="none"/>
          <w14:textFill>
            <w14:solidFill>
              <w14:schemeClr w14:val="tx1"/>
            </w14:solidFill>
          </w14:textFill>
        </w:rPr>
      </w:pPr>
    </w:p>
    <w:p w14:paraId="4A6F4FCA">
      <w:pPr>
        <w:spacing w:line="360" w:lineRule="auto"/>
        <w:jc w:val="left"/>
        <w:rPr>
          <w:rFonts w:ascii="宋体" w:hAnsi="宋体"/>
          <w:b/>
          <w:color w:val="000000" w:themeColor="text1"/>
          <w:sz w:val="21"/>
          <w:szCs w:val="21"/>
          <w:highlight w:val="none"/>
          <w14:textFill>
            <w14:solidFill>
              <w14:schemeClr w14:val="tx1"/>
            </w14:solidFill>
          </w14:textFill>
        </w:rPr>
      </w:pPr>
    </w:p>
    <w:p w14:paraId="6949F1CC">
      <w:pPr>
        <w:spacing w:line="360" w:lineRule="auto"/>
        <w:jc w:val="left"/>
        <w:rPr>
          <w:rFonts w:ascii="宋体" w:hAnsi="宋体"/>
          <w:b/>
          <w:color w:val="000000" w:themeColor="text1"/>
          <w:sz w:val="21"/>
          <w:szCs w:val="21"/>
          <w:highlight w:val="none"/>
          <w14:textFill>
            <w14:solidFill>
              <w14:schemeClr w14:val="tx1"/>
            </w14:solidFill>
          </w14:textFill>
        </w:rPr>
      </w:pPr>
    </w:p>
    <w:p w14:paraId="131AA196">
      <w:pPr>
        <w:rPr>
          <w:rFonts w:ascii="黑体" w:hAnsi="黑体" w:eastAsia="黑体"/>
          <w:color w:val="000000" w:themeColor="text1"/>
          <w:sz w:val="21"/>
          <w:szCs w:val="21"/>
          <w:highlight w:val="none"/>
          <w14:textFill>
            <w14:solidFill>
              <w14:schemeClr w14:val="tx1"/>
            </w14:solidFill>
          </w14:textFill>
        </w:rPr>
      </w:pPr>
    </w:p>
    <w:p w14:paraId="4508D98C">
      <w:pPr>
        <w:rPr>
          <w:rFonts w:ascii="黑体" w:hAnsi="黑体" w:eastAsia="黑体"/>
          <w:color w:val="000000" w:themeColor="text1"/>
          <w:sz w:val="21"/>
          <w:szCs w:val="21"/>
          <w:highlight w:val="none"/>
          <w14:textFill>
            <w14:solidFill>
              <w14:schemeClr w14:val="tx1"/>
            </w14:solidFill>
          </w14:textFill>
        </w:rPr>
      </w:pPr>
    </w:p>
    <w:p w14:paraId="6BBA2B14">
      <w:pP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附件5-2：</w:t>
      </w:r>
    </w:p>
    <w:p w14:paraId="577DA1EC">
      <w:pPr>
        <w:spacing w:line="440" w:lineRule="exact"/>
        <w:jc w:val="center"/>
        <w:rPr>
          <w:rFonts w:ascii="黑体" w:hAnsi="黑体" w:eastAsia="黑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1"/>
          <w:szCs w:val="21"/>
          <w:highlight w:val="none"/>
          <w14:textFill>
            <w14:solidFill>
              <w14:schemeClr w14:val="tx1"/>
            </w14:solidFill>
          </w14:textFill>
        </w:rPr>
        <w:t>发包人向设计人提交有关资料及文件</w:t>
      </w:r>
      <w:bookmarkEnd w:id="891"/>
      <w:bookmarkEnd w:id="892"/>
      <w:r>
        <w:rPr>
          <w:rFonts w:hint="eastAsia" w:ascii="黑体" w:hAnsi="黑体" w:eastAsia="黑体"/>
          <w:color w:val="000000" w:themeColor="text1"/>
          <w:sz w:val="21"/>
          <w:szCs w:val="21"/>
          <w:highlight w:val="none"/>
          <w14:textFill>
            <w14:solidFill>
              <w14:schemeClr w14:val="tx1"/>
            </w14:solidFill>
          </w14:textFill>
        </w:rPr>
        <w:t>一览表（用于房屋建筑工程）</w:t>
      </w:r>
    </w:p>
    <w:tbl>
      <w:tblPr>
        <w:tblStyle w:val="41"/>
        <w:tblW w:w="91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1348D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38" w:type="dxa"/>
            <w:tcBorders>
              <w:tl2br w:val="nil"/>
              <w:tr2bl w:val="nil"/>
            </w:tcBorders>
            <w:vAlign w:val="center"/>
          </w:tcPr>
          <w:p w14:paraId="4EFE5365">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序号</w:t>
            </w:r>
          </w:p>
        </w:tc>
        <w:tc>
          <w:tcPr>
            <w:tcW w:w="3785" w:type="dxa"/>
            <w:tcBorders>
              <w:tl2br w:val="nil"/>
              <w:tr2bl w:val="nil"/>
            </w:tcBorders>
            <w:vAlign w:val="center"/>
          </w:tcPr>
          <w:p w14:paraId="7E8FF8B7">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资料及文件名称</w:t>
            </w:r>
          </w:p>
        </w:tc>
        <w:tc>
          <w:tcPr>
            <w:tcW w:w="720" w:type="dxa"/>
            <w:tcBorders>
              <w:tl2br w:val="nil"/>
              <w:tr2bl w:val="nil"/>
            </w:tcBorders>
            <w:vAlign w:val="center"/>
          </w:tcPr>
          <w:p w14:paraId="4F2CFDFF">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份数</w:t>
            </w:r>
          </w:p>
        </w:tc>
        <w:tc>
          <w:tcPr>
            <w:tcW w:w="2885" w:type="dxa"/>
            <w:tcBorders>
              <w:tl2br w:val="nil"/>
              <w:tr2bl w:val="nil"/>
            </w:tcBorders>
            <w:vAlign w:val="center"/>
          </w:tcPr>
          <w:p w14:paraId="65725151">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提交日期</w:t>
            </w:r>
          </w:p>
        </w:tc>
        <w:tc>
          <w:tcPr>
            <w:tcW w:w="1087" w:type="dxa"/>
            <w:tcBorders>
              <w:tl2br w:val="nil"/>
              <w:tr2bl w:val="nil"/>
            </w:tcBorders>
            <w:vAlign w:val="center"/>
          </w:tcPr>
          <w:p w14:paraId="4BDA886A">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有关事宜</w:t>
            </w:r>
          </w:p>
        </w:tc>
      </w:tr>
      <w:tr w14:paraId="688CC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74D9E066">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3785" w:type="dxa"/>
            <w:tcBorders>
              <w:tl2br w:val="nil"/>
              <w:tr2bl w:val="nil"/>
            </w:tcBorders>
            <w:vAlign w:val="center"/>
          </w:tcPr>
          <w:p w14:paraId="303BB43B">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项目立项报告和审批文件</w:t>
            </w:r>
          </w:p>
        </w:tc>
        <w:tc>
          <w:tcPr>
            <w:tcW w:w="720" w:type="dxa"/>
            <w:tcBorders>
              <w:tl2br w:val="nil"/>
              <w:tr2bl w:val="nil"/>
            </w:tcBorders>
            <w:vAlign w:val="center"/>
          </w:tcPr>
          <w:p w14:paraId="73B0EF3A">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各1</w:t>
            </w:r>
          </w:p>
        </w:tc>
        <w:tc>
          <w:tcPr>
            <w:tcW w:w="2885" w:type="dxa"/>
            <w:tcBorders>
              <w:tl2br w:val="nil"/>
              <w:tr2bl w:val="nil"/>
            </w:tcBorders>
            <w:vAlign w:val="center"/>
          </w:tcPr>
          <w:p w14:paraId="603C4A90">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方案开始3天前</w:t>
            </w:r>
          </w:p>
        </w:tc>
        <w:tc>
          <w:tcPr>
            <w:tcW w:w="1087" w:type="dxa"/>
            <w:vMerge w:val="restart"/>
            <w:tcBorders>
              <w:tl2br w:val="nil"/>
              <w:tr2bl w:val="nil"/>
            </w:tcBorders>
            <w:vAlign w:val="center"/>
          </w:tcPr>
          <w:p w14:paraId="42F04BDB">
            <w:pPr>
              <w:spacing w:line="360" w:lineRule="auto"/>
              <w:jc w:val="center"/>
              <w:rPr>
                <w:rFonts w:ascii="宋体" w:hAnsi="宋体"/>
                <w:color w:val="000000" w:themeColor="text1"/>
                <w:sz w:val="21"/>
                <w:szCs w:val="21"/>
                <w:highlight w:val="none"/>
                <w14:textFill>
                  <w14:solidFill>
                    <w14:schemeClr w14:val="tx1"/>
                  </w14:solidFill>
                </w14:textFill>
              </w:rPr>
            </w:pPr>
          </w:p>
        </w:tc>
      </w:tr>
      <w:tr w14:paraId="6FFC1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026A4E9E">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3785" w:type="dxa"/>
            <w:tcBorders>
              <w:tl2br w:val="nil"/>
              <w:tr2bl w:val="nil"/>
            </w:tcBorders>
            <w:vAlign w:val="center"/>
          </w:tcPr>
          <w:p w14:paraId="474FA0E2">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发包人要求即设计任务书（含对建筑、结构、给水排水、暖通空调、建筑电气、总图等专业的具体要求）</w:t>
            </w:r>
          </w:p>
        </w:tc>
        <w:tc>
          <w:tcPr>
            <w:tcW w:w="720" w:type="dxa"/>
            <w:tcBorders>
              <w:tl2br w:val="nil"/>
              <w:tr2bl w:val="nil"/>
            </w:tcBorders>
            <w:vAlign w:val="center"/>
          </w:tcPr>
          <w:p w14:paraId="3FF6A721">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18BA140B">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方案开始3天前</w:t>
            </w:r>
          </w:p>
        </w:tc>
        <w:tc>
          <w:tcPr>
            <w:tcW w:w="1087" w:type="dxa"/>
            <w:vMerge w:val="continue"/>
            <w:tcBorders>
              <w:tl2br w:val="nil"/>
              <w:tr2bl w:val="nil"/>
            </w:tcBorders>
            <w:vAlign w:val="center"/>
          </w:tcPr>
          <w:p w14:paraId="47CF6FCE">
            <w:pPr>
              <w:spacing w:line="360" w:lineRule="auto"/>
              <w:jc w:val="center"/>
              <w:rPr>
                <w:rFonts w:ascii="宋体" w:hAnsi="宋体"/>
                <w:color w:val="000000" w:themeColor="text1"/>
                <w:sz w:val="21"/>
                <w:szCs w:val="21"/>
                <w:highlight w:val="none"/>
                <w14:textFill>
                  <w14:solidFill>
                    <w14:schemeClr w14:val="tx1"/>
                  </w14:solidFill>
                </w14:textFill>
              </w:rPr>
            </w:pPr>
          </w:p>
        </w:tc>
      </w:tr>
      <w:tr w14:paraId="09B90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75A4B566">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3785" w:type="dxa"/>
            <w:tcBorders>
              <w:tl2br w:val="nil"/>
              <w:tr2bl w:val="nil"/>
            </w:tcBorders>
            <w:vAlign w:val="center"/>
          </w:tcPr>
          <w:p w14:paraId="33DACA43">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建筑红线图，建筑钉桩图</w:t>
            </w:r>
          </w:p>
        </w:tc>
        <w:tc>
          <w:tcPr>
            <w:tcW w:w="720" w:type="dxa"/>
            <w:tcBorders>
              <w:tl2br w:val="nil"/>
              <w:tr2bl w:val="nil"/>
            </w:tcBorders>
            <w:vAlign w:val="center"/>
          </w:tcPr>
          <w:p w14:paraId="5F08CF39">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各1</w:t>
            </w:r>
          </w:p>
        </w:tc>
        <w:tc>
          <w:tcPr>
            <w:tcW w:w="2885" w:type="dxa"/>
            <w:tcBorders>
              <w:tl2br w:val="nil"/>
              <w:tr2bl w:val="nil"/>
            </w:tcBorders>
            <w:vAlign w:val="center"/>
          </w:tcPr>
          <w:p w14:paraId="1C66A446">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方案开始3天前</w:t>
            </w:r>
          </w:p>
        </w:tc>
        <w:tc>
          <w:tcPr>
            <w:tcW w:w="1087" w:type="dxa"/>
            <w:vMerge w:val="continue"/>
            <w:tcBorders>
              <w:tl2br w:val="nil"/>
              <w:tr2bl w:val="nil"/>
            </w:tcBorders>
            <w:vAlign w:val="center"/>
          </w:tcPr>
          <w:p w14:paraId="4C710A8D">
            <w:pPr>
              <w:spacing w:line="360" w:lineRule="auto"/>
              <w:jc w:val="center"/>
              <w:rPr>
                <w:rFonts w:ascii="宋体" w:hAnsi="宋体"/>
                <w:color w:val="000000" w:themeColor="text1"/>
                <w:sz w:val="21"/>
                <w:szCs w:val="21"/>
                <w:highlight w:val="none"/>
                <w14:textFill>
                  <w14:solidFill>
                    <w14:schemeClr w14:val="tx1"/>
                  </w14:solidFill>
                </w14:textFill>
              </w:rPr>
            </w:pPr>
          </w:p>
        </w:tc>
      </w:tr>
      <w:tr w14:paraId="5D5E1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3EDC263A">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3785" w:type="dxa"/>
            <w:tcBorders>
              <w:tl2br w:val="nil"/>
              <w:tr2bl w:val="nil"/>
            </w:tcBorders>
            <w:vAlign w:val="center"/>
          </w:tcPr>
          <w:p w14:paraId="22D14DBA">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当地规划部门的规划意见书</w:t>
            </w:r>
          </w:p>
        </w:tc>
        <w:tc>
          <w:tcPr>
            <w:tcW w:w="720" w:type="dxa"/>
            <w:tcBorders>
              <w:tl2br w:val="nil"/>
              <w:tr2bl w:val="nil"/>
            </w:tcBorders>
            <w:vAlign w:val="center"/>
          </w:tcPr>
          <w:p w14:paraId="2CBA2451">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412AE32A">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方案开始3天前</w:t>
            </w:r>
          </w:p>
        </w:tc>
        <w:tc>
          <w:tcPr>
            <w:tcW w:w="1087" w:type="dxa"/>
            <w:vMerge w:val="continue"/>
            <w:tcBorders>
              <w:tl2br w:val="nil"/>
              <w:tr2bl w:val="nil"/>
            </w:tcBorders>
            <w:vAlign w:val="center"/>
          </w:tcPr>
          <w:p w14:paraId="0D3DE0E2">
            <w:pPr>
              <w:spacing w:line="360" w:lineRule="auto"/>
              <w:jc w:val="center"/>
              <w:rPr>
                <w:rFonts w:ascii="宋体" w:hAnsi="宋体"/>
                <w:color w:val="000000" w:themeColor="text1"/>
                <w:sz w:val="21"/>
                <w:szCs w:val="21"/>
                <w:highlight w:val="none"/>
                <w14:textFill>
                  <w14:solidFill>
                    <w14:schemeClr w14:val="tx1"/>
                  </w14:solidFill>
                </w14:textFill>
              </w:rPr>
            </w:pPr>
          </w:p>
        </w:tc>
      </w:tr>
      <w:tr w14:paraId="58EC9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2CE8453D">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3785" w:type="dxa"/>
            <w:tcBorders>
              <w:tl2br w:val="nil"/>
              <w:tr2bl w:val="nil"/>
            </w:tcBorders>
            <w:vAlign w:val="center"/>
          </w:tcPr>
          <w:p w14:paraId="37DF2EE7">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工程勘察报告（如有时）</w:t>
            </w:r>
          </w:p>
        </w:tc>
        <w:tc>
          <w:tcPr>
            <w:tcW w:w="720" w:type="dxa"/>
            <w:tcBorders>
              <w:tl2br w:val="nil"/>
              <w:tr2bl w:val="nil"/>
            </w:tcBorders>
            <w:vAlign w:val="center"/>
          </w:tcPr>
          <w:p w14:paraId="36B2BDED">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2</w:t>
            </w:r>
          </w:p>
        </w:tc>
        <w:tc>
          <w:tcPr>
            <w:tcW w:w="2885" w:type="dxa"/>
            <w:tcBorders>
              <w:tl2br w:val="nil"/>
              <w:tr2bl w:val="nil"/>
            </w:tcBorders>
            <w:vAlign w:val="center"/>
          </w:tcPr>
          <w:p w14:paraId="4F227C7B">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方案设计开始前3天提供初步勘察报告；初步设计开始3天前提供详细勘察报告</w:t>
            </w:r>
          </w:p>
        </w:tc>
        <w:tc>
          <w:tcPr>
            <w:tcW w:w="1087" w:type="dxa"/>
            <w:vMerge w:val="continue"/>
            <w:tcBorders>
              <w:tl2br w:val="nil"/>
              <w:tr2bl w:val="nil"/>
            </w:tcBorders>
            <w:vAlign w:val="center"/>
          </w:tcPr>
          <w:p w14:paraId="1C34F76E">
            <w:pPr>
              <w:spacing w:line="360" w:lineRule="auto"/>
              <w:jc w:val="center"/>
              <w:rPr>
                <w:rFonts w:ascii="宋体" w:hAnsi="宋体"/>
                <w:color w:val="000000" w:themeColor="text1"/>
                <w:sz w:val="21"/>
                <w:szCs w:val="21"/>
                <w:highlight w:val="none"/>
                <w14:textFill>
                  <w14:solidFill>
                    <w14:schemeClr w14:val="tx1"/>
                  </w14:solidFill>
                </w14:textFill>
              </w:rPr>
            </w:pPr>
          </w:p>
        </w:tc>
      </w:tr>
      <w:tr w14:paraId="018A1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41ABAFCE">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p>
        </w:tc>
        <w:tc>
          <w:tcPr>
            <w:tcW w:w="3785" w:type="dxa"/>
            <w:tcBorders>
              <w:tl2br w:val="nil"/>
              <w:tr2bl w:val="nil"/>
            </w:tcBorders>
            <w:vAlign w:val="center"/>
          </w:tcPr>
          <w:p w14:paraId="67EE1355">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各阶段主管部门的审批意见</w:t>
            </w:r>
          </w:p>
        </w:tc>
        <w:tc>
          <w:tcPr>
            <w:tcW w:w="720" w:type="dxa"/>
            <w:tcBorders>
              <w:tl2br w:val="nil"/>
              <w:tr2bl w:val="nil"/>
            </w:tcBorders>
            <w:vAlign w:val="center"/>
          </w:tcPr>
          <w:p w14:paraId="06A4163E">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12D44B56">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下一个阶段设计开始3天前提供上一个阶段审批意见</w:t>
            </w:r>
          </w:p>
        </w:tc>
        <w:tc>
          <w:tcPr>
            <w:tcW w:w="1087" w:type="dxa"/>
            <w:vMerge w:val="continue"/>
            <w:tcBorders>
              <w:tl2br w:val="nil"/>
              <w:tr2bl w:val="nil"/>
            </w:tcBorders>
            <w:vAlign w:val="center"/>
          </w:tcPr>
          <w:p w14:paraId="6E4BEDA8">
            <w:pPr>
              <w:spacing w:line="360" w:lineRule="auto"/>
              <w:jc w:val="center"/>
              <w:rPr>
                <w:rFonts w:ascii="宋体" w:hAnsi="宋体"/>
                <w:color w:val="000000" w:themeColor="text1"/>
                <w:sz w:val="21"/>
                <w:szCs w:val="21"/>
                <w:highlight w:val="none"/>
                <w14:textFill>
                  <w14:solidFill>
                    <w14:schemeClr w14:val="tx1"/>
                  </w14:solidFill>
                </w14:textFill>
              </w:rPr>
            </w:pPr>
          </w:p>
        </w:tc>
      </w:tr>
      <w:tr w14:paraId="04CB6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48CDB5E3">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p>
        </w:tc>
        <w:tc>
          <w:tcPr>
            <w:tcW w:w="3785" w:type="dxa"/>
            <w:tcBorders>
              <w:tl2br w:val="nil"/>
              <w:tr2bl w:val="nil"/>
            </w:tcBorders>
            <w:vAlign w:val="center"/>
          </w:tcPr>
          <w:p w14:paraId="05E08287">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方案设计确认单（含初设开工令）</w:t>
            </w:r>
          </w:p>
        </w:tc>
        <w:tc>
          <w:tcPr>
            <w:tcW w:w="720" w:type="dxa"/>
            <w:tcBorders>
              <w:tl2br w:val="nil"/>
              <w:tr2bl w:val="nil"/>
            </w:tcBorders>
            <w:vAlign w:val="center"/>
          </w:tcPr>
          <w:p w14:paraId="4A50A895">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0E98BEE8">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初步设计开始3天前</w:t>
            </w:r>
          </w:p>
        </w:tc>
        <w:tc>
          <w:tcPr>
            <w:tcW w:w="1087" w:type="dxa"/>
            <w:vMerge w:val="continue"/>
            <w:tcBorders>
              <w:tl2br w:val="nil"/>
              <w:tr2bl w:val="nil"/>
            </w:tcBorders>
            <w:vAlign w:val="center"/>
          </w:tcPr>
          <w:p w14:paraId="1FFB2BCF">
            <w:pPr>
              <w:spacing w:line="360" w:lineRule="auto"/>
              <w:jc w:val="center"/>
              <w:rPr>
                <w:rFonts w:ascii="宋体" w:hAnsi="宋体"/>
                <w:color w:val="000000" w:themeColor="text1"/>
                <w:sz w:val="21"/>
                <w:szCs w:val="21"/>
                <w:highlight w:val="none"/>
                <w14:textFill>
                  <w14:solidFill>
                    <w14:schemeClr w14:val="tx1"/>
                  </w14:solidFill>
                </w14:textFill>
              </w:rPr>
            </w:pPr>
          </w:p>
        </w:tc>
      </w:tr>
      <w:tr w14:paraId="73233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69D0416B">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w:t>
            </w:r>
          </w:p>
        </w:tc>
        <w:tc>
          <w:tcPr>
            <w:tcW w:w="3785" w:type="dxa"/>
            <w:tcBorders>
              <w:tl2br w:val="nil"/>
              <w:tr2bl w:val="nil"/>
            </w:tcBorders>
            <w:vAlign w:val="center"/>
          </w:tcPr>
          <w:p w14:paraId="74A41AB9">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工程所在地地形图（1/500）电子版及区域位置图</w:t>
            </w:r>
          </w:p>
        </w:tc>
        <w:tc>
          <w:tcPr>
            <w:tcW w:w="720" w:type="dxa"/>
            <w:tcBorders>
              <w:tl2br w:val="nil"/>
              <w:tr2bl w:val="nil"/>
            </w:tcBorders>
            <w:vAlign w:val="center"/>
          </w:tcPr>
          <w:p w14:paraId="75E067C3">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3FECF486">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初步设计开始3天前</w:t>
            </w:r>
          </w:p>
        </w:tc>
        <w:tc>
          <w:tcPr>
            <w:tcW w:w="1087" w:type="dxa"/>
            <w:vMerge w:val="continue"/>
            <w:tcBorders>
              <w:tl2br w:val="nil"/>
              <w:tr2bl w:val="nil"/>
            </w:tcBorders>
            <w:vAlign w:val="center"/>
          </w:tcPr>
          <w:p w14:paraId="33B0A7A8">
            <w:pPr>
              <w:spacing w:line="360" w:lineRule="auto"/>
              <w:jc w:val="center"/>
              <w:rPr>
                <w:rFonts w:ascii="宋体" w:hAnsi="宋体"/>
                <w:color w:val="000000" w:themeColor="text1"/>
                <w:sz w:val="21"/>
                <w:szCs w:val="21"/>
                <w:highlight w:val="none"/>
                <w14:textFill>
                  <w14:solidFill>
                    <w14:schemeClr w14:val="tx1"/>
                  </w14:solidFill>
                </w14:textFill>
              </w:rPr>
            </w:pPr>
          </w:p>
        </w:tc>
      </w:tr>
      <w:tr w14:paraId="41080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4055EE5F">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w:t>
            </w:r>
          </w:p>
        </w:tc>
        <w:tc>
          <w:tcPr>
            <w:tcW w:w="3785" w:type="dxa"/>
            <w:tcBorders>
              <w:tl2br w:val="nil"/>
              <w:tr2bl w:val="nil"/>
            </w:tcBorders>
            <w:vAlign w:val="center"/>
          </w:tcPr>
          <w:p w14:paraId="62EA2291">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初步设计确认单（含施工图开工令）</w:t>
            </w:r>
          </w:p>
        </w:tc>
        <w:tc>
          <w:tcPr>
            <w:tcW w:w="720" w:type="dxa"/>
            <w:tcBorders>
              <w:tl2br w:val="nil"/>
              <w:tr2bl w:val="nil"/>
            </w:tcBorders>
            <w:vAlign w:val="center"/>
          </w:tcPr>
          <w:p w14:paraId="0F4703B2">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2E1CB62E">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施工图设计开始3天前</w:t>
            </w:r>
          </w:p>
        </w:tc>
        <w:tc>
          <w:tcPr>
            <w:tcW w:w="1087" w:type="dxa"/>
            <w:vMerge w:val="continue"/>
            <w:tcBorders>
              <w:tl2br w:val="nil"/>
              <w:tr2bl w:val="nil"/>
            </w:tcBorders>
            <w:vAlign w:val="center"/>
          </w:tcPr>
          <w:p w14:paraId="7A7F10D0">
            <w:pPr>
              <w:spacing w:line="360" w:lineRule="auto"/>
              <w:jc w:val="center"/>
              <w:rPr>
                <w:rFonts w:ascii="宋体" w:hAnsi="宋体"/>
                <w:color w:val="000000" w:themeColor="text1"/>
                <w:sz w:val="21"/>
                <w:szCs w:val="21"/>
                <w:highlight w:val="none"/>
                <w14:textFill>
                  <w14:solidFill>
                    <w14:schemeClr w14:val="tx1"/>
                  </w14:solidFill>
                </w14:textFill>
              </w:rPr>
            </w:pPr>
          </w:p>
        </w:tc>
      </w:tr>
      <w:tr w14:paraId="45FBA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11A07F1F">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w:t>
            </w:r>
          </w:p>
        </w:tc>
        <w:tc>
          <w:tcPr>
            <w:tcW w:w="3785" w:type="dxa"/>
            <w:tcBorders>
              <w:tl2br w:val="nil"/>
              <w:tr2bl w:val="nil"/>
            </w:tcBorders>
            <w:vAlign w:val="center"/>
          </w:tcPr>
          <w:p w14:paraId="652E45B3">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施工图审查合格意见书</w:t>
            </w:r>
          </w:p>
        </w:tc>
        <w:tc>
          <w:tcPr>
            <w:tcW w:w="720" w:type="dxa"/>
            <w:tcBorders>
              <w:tl2br w:val="nil"/>
              <w:tr2bl w:val="nil"/>
            </w:tcBorders>
            <w:vAlign w:val="center"/>
          </w:tcPr>
          <w:p w14:paraId="5041B8F0">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3D30B005">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施工图审查通过后5天内</w:t>
            </w:r>
          </w:p>
        </w:tc>
        <w:tc>
          <w:tcPr>
            <w:tcW w:w="1087" w:type="dxa"/>
            <w:vMerge w:val="continue"/>
            <w:tcBorders>
              <w:tl2br w:val="nil"/>
              <w:tr2bl w:val="nil"/>
            </w:tcBorders>
            <w:vAlign w:val="center"/>
          </w:tcPr>
          <w:p w14:paraId="254004EA">
            <w:pPr>
              <w:spacing w:line="360" w:lineRule="auto"/>
              <w:jc w:val="center"/>
              <w:rPr>
                <w:rFonts w:ascii="宋体" w:hAnsi="宋体"/>
                <w:color w:val="000000" w:themeColor="text1"/>
                <w:sz w:val="21"/>
                <w:szCs w:val="21"/>
                <w:highlight w:val="none"/>
                <w14:textFill>
                  <w14:solidFill>
                    <w14:schemeClr w14:val="tx1"/>
                  </w14:solidFill>
                </w14:textFill>
              </w:rPr>
            </w:pPr>
          </w:p>
        </w:tc>
      </w:tr>
      <w:tr w14:paraId="5BD4DE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701F57A3">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w:t>
            </w:r>
          </w:p>
        </w:tc>
        <w:tc>
          <w:tcPr>
            <w:tcW w:w="3785" w:type="dxa"/>
            <w:tcBorders>
              <w:tl2br w:val="nil"/>
              <w:tr2bl w:val="nil"/>
            </w:tcBorders>
            <w:vAlign w:val="center"/>
          </w:tcPr>
          <w:p w14:paraId="565D526D">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市政条件（包括给排水、暖通、电力、道路、热力、通讯等）</w:t>
            </w:r>
          </w:p>
        </w:tc>
        <w:tc>
          <w:tcPr>
            <w:tcW w:w="720" w:type="dxa"/>
            <w:tcBorders>
              <w:tl2br w:val="nil"/>
              <w:tr2bl w:val="nil"/>
            </w:tcBorders>
            <w:vAlign w:val="center"/>
          </w:tcPr>
          <w:p w14:paraId="6FA5F330">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79D75E21">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方案设计开始3天前</w:t>
            </w:r>
          </w:p>
        </w:tc>
        <w:tc>
          <w:tcPr>
            <w:tcW w:w="1087" w:type="dxa"/>
            <w:vMerge w:val="continue"/>
            <w:tcBorders>
              <w:tl2br w:val="nil"/>
              <w:tr2bl w:val="nil"/>
            </w:tcBorders>
            <w:vAlign w:val="center"/>
          </w:tcPr>
          <w:p w14:paraId="6A351E59">
            <w:pPr>
              <w:spacing w:line="360" w:lineRule="auto"/>
              <w:jc w:val="center"/>
              <w:rPr>
                <w:rFonts w:ascii="宋体" w:hAnsi="宋体"/>
                <w:color w:val="000000" w:themeColor="text1"/>
                <w:sz w:val="21"/>
                <w:szCs w:val="21"/>
                <w:highlight w:val="none"/>
                <w14:textFill>
                  <w14:solidFill>
                    <w14:schemeClr w14:val="tx1"/>
                  </w14:solidFill>
                </w14:textFill>
              </w:rPr>
            </w:pPr>
          </w:p>
        </w:tc>
      </w:tr>
      <w:tr w14:paraId="6142F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6C18D078">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w:t>
            </w:r>
          </w:p>
        </w:tc>
        <w:tc>
          <w:tcPr>
            <w:tcW w:w="3785" w:type="dxa"/>
            <w:tcBorders>
              <w:tl2br w:val="nil"/>
              <w:tr2bl w:val="nil"/>
            </w:tcBorders>
            <w:vAlign w:val="center"/>
          </w:tcPr>
          <w:p w14:paraId="67A41454">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其它设计资料</w:t>
            </w:r>
          </w:p>
        </w:tc>
        <w:tc>
          <w:tcPr>
            <w:tcW w:w="720" w:type="dxa"/>
            <w:tcBorders>
              <w:tl2br w:val="nil"/>
              <w:tr2bl w:val="nil"/>
            </w:tcBorders>
            <w:vAlign w:val="center"/>
          </w:tcPr>
          <w:p w14:paraId="4302E62A">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62CAD4E0">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各设计阶段设计开始3天前</w:t>
            </w:r>
          </w:p>
        </w:tc>
        <w:tc>
          <w:tcPr>
            <w:tcW w:w="1087" w:type="dxa"/>
            <w:vMerge w:val="continue"/>
            <w:tcBorders>
              <w:tl2br w:val="nil"/>
              <w:tr2bl w:val="nil"/>
            </w:tcBorders>
            <w:vAlign w:val="center"/>
          </w:tcPr>
          <w:p w14:paraId="6229E70F">
            <w:pPr>
              <w:spacing w:line="360" w:lineRule="auto"/>
              <w:jc w:val="center"/>
              <w:rPr>
                <w:rFonts w:ascii="宋体" w:hAnsi="宋体"/>
                <w:color w:val="000000" w:themeColor="text1"/>
                <w:sz w:val="21"/>
                <w:szCs w:val="21"/>
                <w:highlight w:val="none"/>
                <w14:textFill>
                  <w14:solidFill>
                    <w14:schemeClr w14:val="tx1"/>
                  </w14:solidFill>
                </w14:textFill>
              </w:rPr>
            </w:pPr>
          </w:p>
        </w:tc>
      </w:tr>
      <w:tr w14:paraId="2A39F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6BC5E4EA">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w:t>
            </w:r>
          </w:p>
        </w:tc>
        <w:tc>
          <w:tcPr>
            <w:tcW w:w="3785" w:type="dxa"/>
            <w:tcBorders>
              <w:tl2br w:val="nil"/>
              <w:tr2bl w:val="nil"/>
            </w:tcBorders>
            <w:vAlign w:val="center"/>
          </w:tcPr>
          <w:p w14:paraId="5E737B76">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竣工验收报告</w:t>
            </w:r>
          </w:p>
        </w:tc>
        <w:tc>
          <w:tcPr>
            <w:tcW w:w="720" w:type="dxa"/>
            <w:tcBorders>
              <w:tl2br w:val="nil"/>
              <w:tr2bl w:val="nil"/>
            </w:tcBorders>
            <w:vAlign w:val="center"/>
          </w:tcPr>
          <w:p w14:paraId="27DD8E28">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17D6BA08">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工程竣工验收通过后5天内</w:t>
            </w:r>
          </w:p>
        </w:tc>
        <w:tc>
          <w:tcPr>
            <w:tcW w:w="1087" w:type="dxa"/>
            <w:vMerge w:val="continue"/>
            <w:tcBorders>
              <w:tl2br w:val="nil"/>
              <w:tr2bl w:val="nil"/>
            </w:tcBorders>
            <w:vAlign w:val="center"/>
          </w:tcPr>
          <w:p w14:paraId="2DB16E3F">
            <w:pPr>
              <w:spacing w:line="360" w:lineRule="auto"/>
              <w:jc w:val="center"/>
              <w:rPr>
                <w:rFonts w:ascii="宋体" w:hAnsi="宋体"/>
                <w:color w:val="000000" w:themeColor="text1"/>
                <w:sz w:val="21"/>
                <w:szCs w:val="21"/>
                <w:highlight w:val="none"/>
                <w14:textFill>
                  <w14:solidFill>
                    <w14:schemeClr w14:val="tx1"/>
                  </w14:solidFill>
                </w14:textFill>
              </w:rPr>
            </w:pPr>
          </w:p>
        </w:tc>
      </w:tr>
    </w:tbl>
    <w:p w14:paraId="74913798">
      <w:pPr>
        <w:spacing w:afterLines="50" w:line="400" w:lineRule="exact"/>
        <w:rPr>
          <w:rFonts w:ascii="宋体" w:hAnsi="宋体" w:cs="Courier New"/>
          <w:color w:val="000000" w:themeColor="text1"/>
          <w:szCs w:val="21"/>
          <w:highlight w:val="none"/>
          <w14:textFill>
            <w14:solidFill>
              <w14:schemeClr w14:val="tx1"/>
            </w14:solidFill>
          </w14:textFill>
        </w:rPr>
      </w:pPr>
      <w:bookmarkStart w:id="893" w:name="_Toc278309719"/>
      <w:bookmarkStart w:id="894" w:name="_Toc278231959"/>
      <w:r>
        <w:rPr>
          <w:rFonts w:hint="eastAsia" w:ascii="宋体" w:hAnsi="宋体" w:cs="Courier New"/>
          <w:color w:val="000000" w:themeColor="text1"/>
          <w:szCs w:val="21"/>
          <w:highlight w:val="none"/>
          <w14:textFill>
            <w14:solidFill>
              <w14:schemeClr w14:val="tx1"/>
            </w14:solidFill>
          </w14:textFill>
        </w:rPr>
        <w:t>（上表内容仅供参考，发包人和设计人应当根据项目具体情况详细列举）</w:t>
      </w:r>
    </w:p>
    <w:p w14:paraId="059EE9AF">
      <w:pPr>
        <w:spacing w:line="440" w:lineRule="exact"/>
        <w:jc w:val="center"/>
        <w:rPr>
          <w:rFonts w:ascii="宋体" w:hAnsi="宋体"/>
          <w:b/>
          <w:color w:val="000000" w:themeColor="text1"/>
          <w:sz w:val="21"/>
          <w:szCs w:val="21"/>
          <w:highlight w:val="none"/>
          <w14:textFill>
            <w14:solidFill>
              <w14:schemeClr w14:val="tx1"/>
            </w14:solidFill>
          </w14:textFill>
        </w:rPr>
      </w:pPr>
    </w:p>
    <w:p w14:paraId="1D4F00E1">
      <w:pPr>
        <w:spacing w:line="440" w:lineRule="exact"/>
        <w:jc w:val="center"/>
        <w:rPr>
          <w:rFonts w:ascii="宋体" w:hAnsi="宋体"/>
          <w:b/>
          <w:color w:val="000000" w:themeColor="text1"/>
          <w:sz w:val="21"/>
          <w:szCs w:val="21"/>
          <w:highlight w:val="none"/>
          <w14:textFill>
            <w14:solidFill>
              <w14:schemeClr w14:val="tx1"/>
            </w14:solidFill>
          </w14:textFill>
        </w:rPr>
      </w:pPr>
    </w:p>
    <w:p w14:paraId="52C58059">
      <w:pPr>
        <w:spacing w:line="440" w:lineRule="exact"/>
        <w:jc w:val="center"/>
        <w:rPr>
          <w:rFonts w:ascii="宋体" w:hAnsi="宋体"/>
          <w:b/>
          <w:color w:val="000000" w:themeColor="text1"/>
          <w:sz w:val="21"/>
          <w:szCs w:val="21"/>
          <w:highlight w:val="none"/>
          <w14:textFill>
            <w14:solidFill>
              <w14:schemeClr w14:val="tx1"/>
            </w14:solidFill>
          </w14:textFill>
        </w:rPr>
      </w:pPr>
    </w:p>
    <w:p w14:paraId="3B077961">
      <w:pPr>
        <w:spacing w:line="440" w:lineRule="exact"/>
        <w:jc w:val="center"/>
        <w:rPr>
          <w:rFonts w:ascii="黑体" w:hAnsi="黑体" w:eastAsia="黑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1"/>
          <w:szCs w:val="21"/>
          <w:highlight w:val="none"/>
          <w14:textFill>
            <w14:solidFill>
              <w14:schemeClr w14:val="tx1"/>
            </w14:solidFill>
          </w14:textFill>
        </w:rPr>
        <w:t>发包人向设计人提交有关资料及文件一览表（用于市政基础设施工程）</w:t>
      </w:r>
    </w:p>
    <w:tbl>
      <w:tblPr>
        <w:tblStyle w:val="41"/>
        <w:tblW w:w="91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11400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38" w:type="dxa"/>
            <w:tcBorders>
              <w:tl2br w:val="nil"/>
              <w:tr2bl w:val="nil"/>
            </w:tcBorders>
            <w:vAlign w:val="center"/>
          </w:tcPr>
          <w:p w14:paraId="0BB3329A">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序号</w:t>
            </w:r>
          </w:p>
        </w:tc>
        <w:tc>
          <w:tcPr>
            <w:tcW w:w="3785" w:type="dxa"/>
            <w:tcBorders>
              <w:tl2br w:val="nil"/>
              <w:tr2bl w:val="nil"/>
            </w:tcBorders>
            <w:vAlign w:val="center"/>
          </w:tcPr>
          <w:p w14:paraId="0556A0BB">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资料及文件名称</w:t>
            </w:r>
          </w:p>
        </w:tc>
        <w:tc>
          <w:tcPr>
            <w:tcW w:w="720" w:type="dxa"/>
            <w:tcBorders>
              <w:tl2br w:val="nil"/>
              <w:tr2bl w:val="nil"/>
            </w:tcBorders>
            <w:vAlign w:val="center"/>
          </w:tcPr>
          <w:p w14:paraId="09DE80EE">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份数</w:t>
            </w:r>
          </w:p>
        </w:tc>
        <w:tc>
          <w:tcPr>
            <w:tcW w:w="2885" w:type="dxa"/>
            <w:tcBorders>
              <w:tl2br w:val="nil"/>
              <w:tr2bl w:val="nil"/>
            </w:tcBorders>
            <w:vAlign w:val="center"/>
          </w:tcPr>
          <w:p w14:paraId="68E99439">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提交日期</w:t>
            </w:r>
          </w:p>
        </w:tc>
        <w:tc>
          <w:tcPr>
            <w:tcW w:w="1087" w:type="dxa"/>
            <w:tcBorders>
              <w:tl2br w:val="nil"/>
              <w:tr2bl w:val="nil"/>
            </w:tcBorders>
            <w:vAlign w:val="center"/>
          </w:tcPr>
          <w:p w14:paraId="37503830">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有关事宜</w:t>
            </w:r>
          </w:p>
        </w:tc>
      </w:tr>
      <w:tr w14:paraId="084BB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7ED4DED9">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3785" w:type="dxa"/>
            <w:tcBorders>
              <w:tl2br w:val="nil"/>
              <w:tr2bl w:val="nil"/>
            </w:tcBorders>
            <w:vAlign w:val="center"/>
          </w:tcPr>
          <w:p w14:paraId="2E37D345">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项目立项报告和审批文件</w:t>
            </w:r>
          </w:p>
        </w:tc>
        <w:tc>
          <w:tcPr>
            <w:tcW w:w="720" w:type="dxa"/>
            <w:tcBorders>
              <w:tl2br w:val="nil"/>
              <w:tr2bl w:val="nil"/>
            </w:tcBorders>
            <w:vAlign w:val="center"/>
          </w:tcPr>
          <w:p w14:paraId="24E15D0F">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各1</w:t>
            </w:r>
          </w:p>
        </w:tc>
        <w:tc>
          <w:tcPr>
            <w:tcW w:w="2885" w:type="dxa"/>
            <w:tcBorders>
              <w:tl2br w:val="nil"/>
              <w:tr2bl w:val="nil"/>
            </w:tcBorders>
            <w:vAlign w:val="center"/>
          </w:tcPr>
          <w:p w14:paraId="31642823">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初步设计开始3天前</w:t>
            </w:r>
          </w:p>
        </w:tc>
        <w:tc>
          <w:tcPr>
            <w:tcW w:w="1087" w:type="dxa"/>
            <w:vMerge w:val="restart"/>
            <w:tcBorders>
              <w:tl2br w:val="nil"/>
              <w:tr2bl w:val="nil"/>
            </w:tcBorders>
            <w:vAlign w:val="center"/>
          </w:tcPr>
          <w:p w14:paraId="111C4ED1">
            <w:pPr>
              <w:spacing w:line="360" w:lineRule="auto"/>
              <w:jc w:val="center"/>
              <w:rPr>
                <w:rFonts w:ascii="宋体" w:hAnsi="宋体"/>
                <w:color w:val="000000" w:themeColor="text1"/>
                <w:sz w:val="21"/>
                <w:szCs w:val="21"/>
                <w:highlight w:val="none"/>
                <w14:textFill>
                  <w14:solidFill>
                    <w14:schemeClr w14:val="tx1"/>
                  </w14:solidFill>
                </w14:textFill>
              </w:rPr>
            </w:pPr>
          </w:p>
        </w:tc>
      </w:tr>
      <w:tr w14:paraId="591DF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30372F52">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3785" w:type="dxa"/>
            <w:tcBorders>
              <w:tl2br w:val="nil"/>
              <w:tr2bl w:val="nil"/>
            </w:tcBorders>
            <w:vAlign w:val="center"/>
          </w:tcPr>
          <w:p w14:paraId="22EF046F">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发包人要求即设计任务书（含对工艺、土建、设备等专业的具体要求）</w:t>
            </w:r>
          </w:p>
        </w:tc>
        <w:tc>
          <w:tcPr>
            <w:tcW w:w="720" w:type="dxa"/>
            <w:tcBorders>
              <w:tl2br w:val="nil"/>
              <w:tr2bl w:val="nil"/>
            </w:tcBorders>
            <w:vAlign w:val="center"/>
          </w:tcPr>
          <w:p w14:paraId="09C9D960">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0A3BEBB7">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初步设计开始3天前</w:t>
            </w:r>
          </w:p>
        </w:tc>
        <w:tc>
          <w:tcPr>
            <w:tcW w:w="1087" w:type="dxa"/>
            <w:vMerge w:val="continue"/>
            <w:tcBorders>
              <w:tl2br w:val="nil"/>
              <w:tr2bl w:val="nil"/>
            </w:tcBorders>
            <w:vAlign w:val="center"/>
          </w:tcPr>
          <w:p w14:paraId="04772DF3">
            <w:pPr>
              <w:spacing w:line="360" w:lineRule="auto"/>
              <w:jc w:val="center"/>
              <w:rPr>
                <w:rFonts w:ascii="宋体" w:hAnsi="宋体"/>
                <w:color w:val="000000" w:themeColor="text1"/>
                <w:sz w:val="21"/>
                <w:szCs w:val="21"/>
                <w:highlight w:val="none"/>
                <w14:textFill>
                  <w14:solidFill>
                    <w14:schemeClr w14:val="tx1"/>
                  </w14:solidFill>
                </w14:textFill>
              </w:rPr>
            </w:pPr>
          </w:p>
        </w:tc>
      </w:tr>
      <w:tr w14:paraId="775B4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5A3E1C20">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3785" w:type="dxa"/>
            <w:tcBorders>
              <w:tl2br w:val="nil"/>
              <w:tr2bl w:val="nil"/>
            </w:tcBorders>
            <w:vAlign w:val="center"/>
          </w:tcPr>
          <w:p w14:paraId="5E87A454">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场址选择报告、土地使用协议、建筑红线图，建筑钉桩图</w:t>
            </w:r>
          </w:p>
        </w:tc>
        <w:tc>
          <w:tcPr>
            <w:tcW w:w="720" w:type="dxa"/>
            <w:tcBorders>
              <w:tl2br w:val="nil"/>
              <w:tr2bl w:val="nil"/>
            </w:tcBorders>
            <w:vAlign w:val="center"/>
          </w:tcPr>
          <w:p w14:paraId="18BD13C7">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各1</w:t>
            </w:r>
          </w:p>
        </w:tc>
        <w:tc>
          <w:tcPr>
            <w:tcW w:w="2885" w:type="dxa"/>
            <w:tcBorders>
              <w:tl2br w:val="nil"/>
              <w:tr2bl w:val="nil"/>
            </w:tcBorders>
            <w:vAlign w:val="center"/>
          </w:tcPr>
          <w:p w14:paraId="16A50D1F">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初步设计开始3天前</w:t>
            </w:r>
          </w:p>
        </w:tc>
        <w:tc>
          <w:tcPr>
            <w:tcW w:w="1087" w:type="dxa"/>
            <w:vMerge w:val="continue"/>
            <w:tcBorders>
              <w:tl2br w:val="nil"/>
              <w:tr2bl w:val="nil"/>
            </w:tcBorders>
            <w:vAlign w:val="center"/>
          </w:tcPr>
          <w:p w14:paraId="20D43B2C">
            <w:pPr>
              <w:spacing w:line="360" w:lineRule="auto"/>
              <w:jc w:val="center"/>
              <w:rPr>
                <w:rFonts w:ascii="宋体" w:hAnsi="宋体"/>
                <w:color w:val="000000" w:themeColor="text1"/>
                <w:sz w:val="21"/>
                <w:szCs w:val="21"/>
                <w:highlight w:val="none"/>
                <w14:textFill>
                  <w14:solidFill>
                    <w14:schemeClr w14:val="tx1"/>
                  </w14:solidFill>
                </w14:textFill>
              </w:rPr>
            </w:pPr>
          </w:p>
        </w:tc>
      </w:tr>
      <w:tr w14:paraId="3F507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04F8371D">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3785" w:type="dxa"/>
            <w:tcBorders>
              <w:tl2br w:val="nil"/>
              <w:tr2bl w:val="nil"/>
            </w:tcBorders>
            <w:vAlign w:val="center"/>
          </w:tcPr>
          <w:p w14:paraId="698220D8">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当地规划部门的规划意见书</w:t>
            </w:r>
          </w:p>
        </w:tc>
        <w:tc>
          <w:tcPr>
            <w:tcW w:w="720" w:type="dxa"/>
            <w:tcBorders>
              <w:tl2br w:val="nil"/>
              <w:tr2bl w:val="nil"/>
            </w:tcBorders>
            <w:vAlign w:val="center"/>
          </w:tcPr>
          <w:p w14:paraId="18E534DF">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4392C93A">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初步设计开始3天前</w:t>
            </w:r>
          </w:p>
        </w:tc>
        <w:tc>
          <w:tcPr>
            <w:tcW w:w="1087" w:type="dxa"/>
            <w:vMerge w:val="continue"/>
            <w:tcBorders>
              <w:tl2br w:val="nil"/>
              <w:tr2bl w:val="nil"/>
            </w:tcBorders>
            <w:vAlign w:val="center"/>
          </w:tcPr>
          <w:p w14:paraId="435E94E9">
            <w:pPr>
              <w:spacing w:line="360" w:lineRule="auto"/>
              <w:jc w:val="center"/>
              <w:rPr>
                <w:rFonts w:ascii="宋体" w:hAnsi="宋体"/>
                <w:color w:val="000000" w:themeColor="text1"/>
                <w:sz w:val="21"/>
                <w:szCs w:val="21"/>
                <w:highlight w:val="none"/>
                <w14:textFill>
                  <w14:solidFill>
                    <w14:schemeClr w14:val="tx1"/>
                  </w14:solidFill>
                </w14:textFill>
              </w:rPr>
            </w:pPr>
          </w:p>
        </w:tc>
      </w:tr>
      <w:tr w14:paraId="56E62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63152798">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3785" w:type="dxa"/>
            <w:tcBorders>
              <w:tl2br w:val="nil"/>
              <w:tr2bl w:val="nil"/>
            </w:tcBorders>
            <w:vAlign w:val="center"/>
          </w:tcPr>
          <w:p w14:paraId="2302CE9D">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自然资源、气象条件、地形地貌、水文及工程详细地质勘察报告（如有时）</w:t>
            </w:r>
          </w:p>
        </w:tc>
        <w:tc>
          <w:tcPr>
            <w:tcW w:w="720" w:type="dxa"/>
            <w:tcBorders>
              <w:tl2br w:val="nil"/>
              <w:tr2bl w:val="nil"/>
            </w:tcBorders>
            <w:vAlign w:val="center"/>
          </w:tcPr>
          <w:p w14:paraId="07694A51">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各1</w:t>
            </w:r>
          </w:p>
        </w:tc>
        <w:tc>
          <w:tcPr>
            <w:tcW w:w="2885" w:type="dxa"/>
            <w:tcBorders>
              <w:tl2br w:val="nil"/>
              <w:tr2bl w:val="nil"/>
            </w:tcBorders>
            <w:vAlign w:val="center"/>
          </w:tcPr>
          <w:p w14:paraId="547AE95A">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初步设计开始3天前</w:t>
            </w:r>
          </w:p>
        </w:tc>
        <w:tc>
          <w:tcPr>
            <w:tcW w:w="1087" w:type="dxa"/>
            <w:vMerge w:val="continue"/>
            <w:tcBorders>
              <w:tl2br w:val="nil"/>
              <w:tr2bl w:val="nil"/>
            </w:tcBorders>
            <w:vAlign w:val="center"/>
          </w:tcPr>
          <w:p w14:paraId="68D929DF">
            <w:pPr>
              <w:spacing w:line="360" w:lineRule="auto"/>
              <w:jc w:val="center"/>
              <w:rPr>
                <w:rFonts w:ascii="宋体" w:hAnsi="宋体"/>
                <w:color w:val="000000" w:themeColor="text1"/>
                <w:sz w:val="21"/>
                <w:szCs w:val="21"/>
                <w:highlight w:val="none"/>
                <w14:textFill>
                  <w14:solidFill>
                    <w14:schemeClr w14:val="tx1"/>
                  </w14:solidFill>
                </w14:textFill>
              </w:rPr>
            </w:pPr>
          </w:p>
        </w:tc>
      </w:tr>
      <w:tr w14:paraId="09B6A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43FEB0FF">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p>
        </w:tc>
        <w:tc>
          <w:tcPr>
            <w:tcW w:w="3785" w:type="dxa"/>
            <w:tcBorders>
              <w:tl2br w:val="nil"/>
              <w:tr2bl w:val="nil"/>
            </w:tcBorders>
            <w:vAlign w:val="center"/>
          </w:tcPr>
          <w:p w14:paraId="29A12342">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各阶段主管部门的审批意见</w:t>
            </w:r>
          </w:p>
        </w:tc>
        <w:tc>
          <w:tcPr>
            <w:tcW w:w="720" w:type="dxa"/>
            <w:tcBorders>
              <w:tl2br w:val="nil"/>
              <w:tr2bl w:val="nil"/>
            </w:tcBorders>
            <w:vAlign w:val="center"/>
          </w:tcPr>
          <w:p w14:paraId="3749CB52">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各1</w:t>
            </w:r>
          </w:p>
        </w:tc>
        <w:tc>
          <w:tcPr>
            <w:tcW w:w="2885" w:type="dxa"/>
            <w:tcBorders>
              <w:tl2br w:val="nil"/>
              <w:tr2bl w:val="nil"/>
            </w:tcBorders>
            <w:vAlign w:val="center"/>
          </w:tcPr>
          <w:p w14:paraId="09681E2F">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下一个阶段设计开始3天前提供上一个阶段审批意见</w:t>
            </w:r>
          </w:p>
        </w:tc>
        <w:tc>
          <w:tcPr>
            <w:tcW w:w="1087" w:type="dxa"/>
            <w:vMerge w:val="continue"/>
            <w:tcBorders>
              <w:tl2br w:val="nil"/>
              <w:tr2bl w:val="nil"/>
            </w:tcBorders>
            <w:vAlign w:val="center"/>
          </w:tcPr>
          <w:p w14:paraId="47F5C8F4">
            <w:pPr>
              <w:spacing w:line="360" w:lineRule="auto"/>
              <w:jc w:val="center"/>
              <w:rPr>
                <w:rFonts w:ascii="宋体" w:hAnsi="宋体"/>
                <w:color w:val="000000" w:themeColor="text1"/>
                <w:sz w:val="21"/>
                <w:szCs w:val="21"/>
                <w:highlight w:val="none"/>
                <w14:textFill>
                  <w14:solidFill>
                    <w14:schemeClr w14:val="tx1"/>
                  </w14:solidFill>
                </w14:textFill>
              </w:rPr>
            </w:pPr>
          </w:p>
        </w:tc>
      </w:tr>
      <w:tr w14:paraId="6E784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7135F519">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p>
        </w:tc>
        <w:tc>
          <w:tcPr>
            <w:tcW w:w="3785" w:type="dxa"/>
            <w:tcBorders>
              <w:tl2br w:val="nil"/>
              <w:tr2bl w:val="nil"/>
            </w:tcBorders>
            <w:vAlign w:val="center"/>
          </w:tcPr>
          <w:p w14:paraId="0B3B384D">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初步设计确认单（含非标准设备设计图开工令）</w:t>
            </w:r>
          </w:p>
        </w:tc>
        <w:tc>
          <w:tcPr>
            <w:tcW w:w="720" w:type="dxa"/>
            <w:tcBorders>
              <w:tl2br w:val="nil"/>
              <w:tr2bl w:val="nil"/>
            </w:tcBorders>
            <w:vAlign w:val="center"/>
          </w:tcPr>
          <w:p w14:paraId="6B039465">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5A9F0A3D">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施工图设计开始3天前</w:t>
            </w:r>
          </w:p>
        </w:tc>
        <w:tc>
          <w:tcPr>
            <w:tcW w:w="1087" w:type="dxa"/>
            <w:vMerge w:val="continue"/>
            <w:tcBorders>
              <w:tl2br w:val="nil"/>
              <w:tr2bl w:val="nil"/>
            </w:tcBorders>
            <w:vAlign w:val="center"/>
          </w:tcPr>
          <w:p w14:paraId="5E6E21A5">
            <w:pPr>
              <w:spacing w:line="360" w:lineRule="auto"/>
              <w:jc w:val="center"/>
              <w:rPr>
                <w:rFonts w:ascii="宋体" w:hAnsi="宋体"/>
                <w:color w:val="000000" w:themeColor="text1"/>
                <w:sz w:val="21"/>
                <w:szCs w:val="21"/>
                <w:highlight w:val="none"/>
                <w14:textFill>
                  <w14:solidFill>
                    <w14:schemeClr w14:val="tx1"/>
                  </w14:solidFill>
                </w14:textFill>
              </w:rPr>
            </w:pPr>
          </w:p>
        </w:tc>
      </w:tr>
      <w:tr w14:paraId="299BD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0C055F4E">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w:t>
            </w:r>
          </w:p>
        </w:tc>
        <w:tc>
          <w:tcPr>
            <w:tcW w:w="3785" w:type="dxa"/>
            <w:tcBorders>
              <w:tl2br w:val="nil"/>
              <w:tr2bl w:val="nil"/>
            </w:tcBorders>
            <w:vAlign w:val="center"/>
          </w:tcPr>
          <w:p w14:paraId="306E1408">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非标准设备设计确认单（含施工图设计开工令）</w:t>
            </w:r>
          </w:p>
        </w:tc>
        <w:tc>
          <w:tcPr>
            <w:tcW w:w="720" w:type="dxa"/>
            <w:tcBorders>
              <w:tl2br w:val="nil"/>
              <w:tr2bl w:val="nil"/>
            </w:tcBorders>
            <w:vAlign w:val="center"/>
          </w:tcPr>
          <w:p w14:paraId="2D1165E8">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1441601C">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施工图设计开始3天前</w:t>
            </w:r>
          </w:p>
        </w:tc>
        <w:tc>
          <w:tcPr>
            <w:tcW w:w="1087" w:type="dxa"/>
            <w:vMerge w:val="continue"/>
            <w:tcBorders>
              <w:tl2br w:val="nil"/>
              <w:tr2bl w:val="nil"/>
            </w:tcBorders>
            <w:vAlign w:val="center"/>
          </w:tcPr>
          <w:p w14:paraId="35FDAA09">
            <w:pPr>
              <w:spacing w:line="360" w:lineRule="auto"/>
              <w:jc w:val="center"/>
              <w:rPr>
                <w:rFonts w:ascii="宋体" w:hAnsi="宋体"/>
                <w:color w:val="000000" w:themeColor="text1"/>
                <w:sz w:val="21"/>
                <w:szCs w:val="21"/>
                <w:highlight w:val="none"/>
                <w14:textFill>
                  <w14:solidFill>
                    <w14:schemeClr w14:val="tx1"/>
                  </w14:solidFill>
                </w14:textFill>
              </w:rPr>
            </w:pPr>
          </w:p>
        </w:tc>
      </w:tr>
      <w:tr w14:paraId="30679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560A9CAB">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w:t>
            </w:r>
          </w:p>
        </w:tc>
        <w:tc>
          <w:tcPr>
            <w:tcW w:w="3785" w:type="dxa"/>
            <w:tcBorders>
              <w:tl2br w:val="nil"/>
              <w:tr2bl w:val="nil"/>
            </w:tcBorders>
            <w:vAlign w:val="center"/>
          </w:tcPr>
          <w:p w14:paraId="57ECE4D5">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工程所在地地形图（1/500）电子版及区域位置图</w:t>
            </w:r>
          </w:p>
        </w:tc>
        <w:tc>
          <w:tcPr>
            <w:tcW w:w="720" w:type="dxa"/>
            <w:tcBorders>
              <w:tl2br w:val="nil"/>
              <w:tr2bl w:val="nil"/>
            </w:tcBorders>
            <w:vAlign w:val="center"/>
          </w:tcPr>
          <w:p w14:paraId="7A509B2E">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62E8E81B">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施工图设计开始3天前</w:t>
            </w:r>
          </w:p>
        </w:tc>
        <w:tc>
          <w:tcPr>
            <w:tcW w:w="1087" w:type="dxa"/>
            <w:vMerge w:val="continue"/>
            <w:tcBorders>
              <w:tl2br w:val="nil"/>
              <w:tr2bl w:val="nil"/>
            </w:tcBorders>
            <w:vAlign w:val="center"/>
          </w:tcPr>
          <w:p w14:paraId="58129EB1">
            <w:pPr>
              <w:spacing w:line="360" w:lineRule="auto"/>
              <w:jc w:val="center"/>
              <w:rPr>
                <w:rFonts w:ascii="宋体" w:hAnsi="宋体"/>
                <w:color w:val="000000" w:themeColor="text1"/>
                <w:sz w:val="21"/>
                <w:szCs w:val="21"/>
                <w:highlight w:val="none"/>
                <w14:textFill>
                  <w14:solidFill>
                    <w14:schemeClr w14:val="tx1"/>
                  </w14:solidFill>
                </w14:textFill>
              </w:rPr>
            </w:pPr>
          </w:p>
        </w:tc>
      </w:tr>
      <w:tr w14:paraId="2529E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544D997D">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w:t>
            </w:r>
          </w:p>
        </w:tc>
        <w:tc>
          <w:tcPr>
            <w:tcW w:w="3785" w:type="dxa"/>
            <w:tcBorders>
              <w:tl2br w:val="nil"/>
              <w:tr2bl w:val="nil"/>
            </w:tcBorders>
            <w:vAlign w:val="center"/>
          </w:tcPr>
          <w:p w14:paraId="7FA13CA5">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交通、原料、外部供水、排水、供电、电信等位置、标高、坐标、管径或能力等资料</w:t>
            </w:r>
          </w:p>
        </w:tc>
        <w:tc>
          <w:tcPr>
            <w:tcW w:w="720" w:type="dxa"/>
            <w:tcBorders>
              <w:tl2br w:val="nil"/>
              <w:tr2bl w:val="nil"/>
            </w:tcBorders>
            <w:vAlign w:val="center"/>
          </w:tcPr>
          <w:p w14:paraId="3793489E">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613ED0C6">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初步设计开始3天前</w:t>
            </w:r>
          </w:p>
        </w:tc>
        <w:tc>
          <w:tcPr>
            <w:tcW w:w="1087" w:type="dxa"/>
            <w:vMerge w:val="continue"/>
            <w:tcBorders>
              <w:tl2br w:val="nil"/>
              <w:tr2bl w:val="nil"/>
            </w:tcBorders>
            <w:vAlign w:val="center"/>
          </w:tcPr>
          <w:p w14:paraId="2DC8791D">
            <w:pPr>
              <w:spacing w:line="360" w:lineRule="auto"/>
              <w:jc w:val="center"/>
              <w:rPr>
                <w:rFonts w:ascii="宋体" w:hAnsi="宋体"/>
                <w:color w:val="000000" w:themeColor="text1"/>
                <w:sz w:val="21"/>
                <w:szCs w:val="21"/>
                <w:highlight w:val="none"/>
                <w14:textFill>
                  <w14:solidFill>
                    <w14:schemeClr w14:val="tx1"/>
                  </w14:solidFill>
                </w14:textFill>
              </w:rPr>
            </w:pPr>
          </w:p>
        </w:tc>
      </w:tr>
      <w:tr w14:paraId="74CF3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19D785A4">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w:t>
            </w:r>
          </w:p>
        </w:tc>
        <w:tc>
          <w:tcPr>
            <w:tcW w:w="3785" w:type="dxa"/>
            <w:tcBorders>
              <w:tl2br w:val="nil"/>
              <w:tr2bl w:val="nil"/>
            </w:tcBorders>
            <w:vAlign w:val="center"/>
          </w:tcPr>
          <w:p w14:paraId="122D3EB5">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其它设计资料</w:t>
            </w:r>
          </w:p>
        </w:tc>
        <w:tc>
          <w:tcPr>
            <w:tcW w:w="720" w:type="dxa"/>
            <w:tcBorders>
              <w:tl2br w:val="nil"/>
              <w:tr2bl w:val="nil"/>
            </w:tcBorders>
            <w:vAlign w:val="center"/>
          </w:tcPr>
          <w:p w14:paraId="262584BE">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4874CE36">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各设计阶段设计开始3天前</w:t>
            </w:r>
          </w:p>
        </w:tc>
        <w:tc>
          <w:tcPr>
            <w:tcW w:w="1087" w:type="dxa"/>
            <w:vMerge w:val="continue"/>
            <w:tcBorders>
              <w:tl2br w:val="nil"/>
              <w:tr2bl w:val="nil"/>
            </w:tcBorders>
            <w:vAlign w:val="center"/>
          </w:tcPr>
          <w:p w14:paraId="2221ED20">
            <w:pPr>
              <w:spacing w:line="360" w:lineRule="auto"/>
              <w:jc w:val="center"/>
              <w:rPr>
                <w:rFonts w:ascii="宋体" w:hAnsi="宋体"/>
                <w:color w:val="000000" w:themeColor="text1"/>
                <w:sz w:val="21"/>
                <w:szCs w:val="21"/>
                <w:highlight w:val="none"/>
                <w14:textFill>
                  <w14:solidFill>
                    <w14:schemeClr w14:val="tx1"/>
                  </w14:solidFill>
                </w14:textFill>
              </w:rPr>
            </w:pPr>
          </w:p>
        </w:tc>
      </w:tr>
      <w:tr w14:paraId="5F74F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75D8DF4B">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w:t>
            </w:r>
          </w:p>
        </w:tc>
        <w:tc>
          <w:tcPr>
            <w:tcW w:w="3785" w:type="dxa"/>
            <w:tcBorders>
              <w:tl2br w:val="nil"/>
              <w:tr2bl w:val="nil"/>
            </w:tcBorders>
            <w:vAlign w:val="center"/>
          </w:tcPr>
          <w:p w14:paraId="3FFE0666">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竣工验收报告</w:t>
            </w:r>
          </w:p>
        </w:tc>
        <w:tc>
          <w:tcPr>
            <w:tcW w:w="720" w:type="dxa"/>
            <w:tcBorders>
              <w:tl2br w:val="nil"/>
              <w:tr2bl w:val="nil"/>
            </w:tcBorders>
            <w:vAlign w:val="center"/>
          </w:tcPr>
          <w:p w14:paraId="7DDC180E">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1</w:t>
            </w:r>
          </w:p>
        </w:tc>
        <w:tc>
          <w:tcPr>
            <w:tcW w:w="2885" w:type="dxa"/>
            <w:tcBorders>
              <w:tl2br w:val="nil"/>
              <w:tr2bl w:val="nil"/>
            </w:tcBorders>
            <w:vAlign w:val="center"/>
          </w:tcPr>
          <w:p w14:paraId="38AD0927">
            <w:pPr>
              <w:spacing w:line="360" w:lineRule="auto"/>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工程竣工验收通过后5天内</w:t>
            </w:r>
          </w:p>
        </w:tc>
        <w:tc>
          <w:tcPr>
            <w:tcW w:w="1087" w:type="dxa"/>
            <w:vMerge w:val="continue"/>
            <w:tcBorders>
              <w:tl2br w:val="nil"/>
              <w:tr2bl w:val="nil"/>
            </w:tcBorders>
            <w:vAlign w:val="center"/>
          </w:tcPr>
          <w:p w14:paraId="0C108600">
            <w:pPr>
              <w:spacing w:line="360" w:lineRule="auto"/>
              <w:jc w:val="center"/>
              <w:rPr>
                <w:rFonts w:ascii="宋体" w:hAnsi="宋体"/>
                <w:color w:val="000000" w:themeColor="text1"/>
                <w:sz w:val="21"/>
                <w:szCs w:val="21"/>
                <w:highlight w:val="none"/>
                <w14:textFill>
                  <w14:solidFill>
                    <w14:schemeClr w14:val="tx1"/>
                  </w14:solidFill>
                </w14:textFill>
              </w:rPr>
            </w:pPr>
          </w:p>
        </w:tc>
      </w:tr>
    </w:tbl>
    <w:p w14:paraId="42D93A3D">
      <w:pPr>
        <w:spacing w:afterLines="50" w:line="400" w:lineRule="exact"/>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（上表内容仅供参考，发包人和设计人应当根据项目具体情况详细列举）</w:t>
      </w:r>
    </w:p>
    <w:p w14:paraId="21889B48">
      <w:pPr>
        <w:spacing w:afterLines="50" w:line="400" w:lineRule="exact"/>
        <w:rPr>
          <w:rFonts w:ascii="宋体" w:hAnsi="宋体"/>
          <w:bCs/>
          <w:color w:val="000000" w:themeColor="text1"/>
          <w:sz w:val="28"/>
          <w:highlight w:val="none"/>
          <w14:textFill>
            <w14:solidFill>
              <w14:schemeClr w14:val="tx1"/>
            </w14:solidFill>
          </w14:textFill>
        </w:rPr>
      </w:pPr>
    </w:p>
    <w:p w14:paraId="47E5739E">
      <w:pPr>
        <w:spacing w:line="360" w:lineRule="auto"/>
        <w:jc w:val="left"/>
        <w:rPr>
          <w:rFonts w:ascii="宋体" w:hAnsi="宋体"/>
          <w:b/>
          <w:color w:val="000000" w:themeColor="text1"/>
          <w:sz w:val="30"/>
          <w:szCs w:val="32"/>
          <w:highlight w:val="none"/>
          <w14:textFill>
            <w14:solidFill>
              <w14:schemeClr w14:val="tx1"/>
            </w14:solidFill>
          </w14:textFill>
        </w:rPr>
      </w:pPr>
    </w:p>
    <w:p w14:paraId="6B6ECC53">
      <w:pPr>
        <w:spacing w:line="360" w:lineRule="auto"/>
        <w:jc w:val="left"/>
        <w:rPr>
          <w:rFonts w:ascii="宋体" w:hAnsi="宋体"/>
          <w:b/>
          <w:color w:val="000000" w:themeColor="text1"/>
          <w:sz w:val="21"/>
          <w:szCs w:val="21"/>
          <w:highlight w:val="none"/>
          <w14:textFill>
            <w14:solidFill>
              <w14:schemeClr w14:val="tx1"/>
            </w14:solidFill>
          </w14:textFill>
        </w:rPr>
      </w:pPr>
    </w:p>
    <w:p w14:paraId="2BBEDDCB">
      <w:pP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附件5-3 ：</w:t>
      </w:r>
    </w:p>
    <w:p w14:paraId="46C09039">
      <w:pPr>
        <w:spacing w:line="440" w:lineRule="exact"/>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设计人向发包人交付的工程设计文件</w:t>
      </w:r>
      <w:bookmarkEnd w:id="893"/>
      <w:bookmarkEnd w:id="894"/>
      <w:r>
        <w:rPr>
          <w:rFonts w:hint="eastAsia" w:ascii="黑体" w:hAnsi="黑体" w:eastAsia="黑体"/>
          <w:color w:val="000000" w:themeColor="text1"/>
          <w:sz w:val="21"/>
          <w:szCs w:val="21"/>
          <w:highlight w:val="none"/>
          <w14:textFill>
            <w14:solidFill>
              <w14:schemeClr w14:val="tx1"/>
            </w14:solidFill>
          </w14:textFill>
        </w:rPr>
        <w:t>目录</w:t>
      </w:r>
    </w:p>
    <w:tbl>
      <w:tblPr>
        <w:tblStyle w:val="41"/>
        <w:tblW w:w="91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5A224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38" w:type="dxa"/>
            <w:tcBorders>
              <w:tl2br w:val="nil"/>
              <w:tr2bl w:val="nil"/>
            </w:tcBorders>
            <w:vAlign w:val="center"/>
          </w:tcPr>
          <w:p w14:paraId="56A1EEEE">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序号</w:t>
            </w:r>
          </w:p>
        </w:tc>
        <w:tc>
          <w:tcPr>
            <w:tcW w:w="3785" w:type="dxa"/>
            <w:tcBorders>
              <w:tl2br w:val="nil"/>
              <w:tr2bl w:val="nil"/>
            </w:tcBorders>
            <w:vAlign w:val="center"/>
          </w:tcPr>
          <w:p w14:paraId="2D4A642C">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资料及文件名称</w:t>
            </w:r>
          </w:p>
        </w:tc>
        <w:tc>
          <w:tcPr>
            <w:tcW w:w="720" w:type="dxa"/>
            <w:tcBorders>
              <w:tl2br w:val="nil"/>
              <w:tr2bl w:val="nil"/>
            </w:tcBorders>
            <w:vAlign w:val="center"/>
          </w:tcPr>
          <w:p w14:paraId="56E26A2D">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份数</w:t>
            </w:r>
          </w:p>
        </w:tc>
        <w:tc>
          <w:tcPr>
            <w:tcW w:w="2885" w:type="dxa"/>
            <w:tcBorders>
              <w:tl2br w:val="nil"/>
              <w:tr2bl w:val="nil"/>
            </w:tcBorders>
            <w:vAlign w:val="center"/>
          </w:tcPr>
          <w:p w14:paraId="11693BF8">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提交日期</w:t>
            </w:r>
          </w:p>
        </w:tc>
        <w:tc>
          <w:tcPr>
            <w:tcW w:w="1087" w:type="dxa"/>
            <w:tcBorders>
              <w:tl2br w:val="nil"/>
              <w:tr2bl w:val="nil"/>
            </w:tcBorders>
            <w:vAlign w:val="center"/>
          </w:tcPr>
          <w:p w14:paraId="21345D7A">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有关事宜</w:t>
            </w:r>
          </w:p>
        </w:tc>
      </w:tr>
      <w:tr w14:paraId="66495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6AF29672">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3785" w:type="dxa"/>
            <w:tcBorders>
              <w:tl2br w:val="nil"/>
              <w:tr2bl w:val="nil"/>
            </w:tcBorders>
            <w:vAlign w:val="center"/>
          </w:tcPr>
          <w:p w14:paraId="40781C28">
            <w:pPr>
              <w:spacing w:line="360" w:lineRule="auto"/>
              <w:jc w:val="center"/>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方案设计文件</w:t>
            </w:r>
          </w:p>
        </w:tc>
        <w:tc>
          <w:tcPr>
            <w:tcW w:w="720" w:type="dxa"/>
            <w:tcBorders>
              <w:tl2br w:val="nil"/>
              <w:tr2bl w:val="nil"/>
            </w:tcBorders>
            <w:vAlign w:val="center"/>
          </w:tcPr>
          <w:p w14:paraId="38AF8B90">
            <w:pPr>
              <w:spacing w:line="360" w:lineRule="auto"/>
              <w:jc w:val="center"/>
              <w:rPr>
                <w:rFonts w:ascii="宋体" w:hAnsi="宋体"/>
                <w:b/>
                <w:i/>
                <w:iCs/>
                <w:color w:val="000000" w:themeColor="text1"/>
                <w:sz w:val="21"/>
                <w:szCs w:val="21"/>
                <w:highlight w:val="none"/>
                <w14:textFill>
                  <w14:solidFill>
                    <w14:schemeClr w14:val="tx1"/>
                  </w14:solidFill>
                </w14:textFill>
              </w:rPr>
            </w:pPr>
          </w:p>
        </w:tc>
        <w:tc>
          <w:tcPr>
            <w:tcW w:w="2885" w:type="dxa"/>
            <w:tcBorders>
              <w:tl2br w:val="nil"/>
              <w:tr2bl w:val="nil"/>
            </w:tcBorders>
            <w:vAlign w:val="center"/>
          </w:tcPr>
          <w:p w14:paraId="39C2E0DE">
            <w:pPr>
              <w:spacing w:line="360" w:lineRule="auto"/>
              <w:jc w:val="center"/>
              <w:rPr>
                <w:rFonts w:ascii="宋体" w:hAnsi="宋体"/>
                <w:b/>
                <w:i/>
                <w:iCs/>
                <w:color w:val="000000" w:themeColor="text1"/>
                <w:sz w:val="21"/>
                <w:szCs w:val="21"/>
                <w:highlight w:val="none"/>
                <w14:textFill>
                  <w14:solidFill>
                    <w14:schemeClr w14:val="tx1"/>
                  </w14:solidFill>
                </w14:textFill>
              </w:rPr>
            </w:pPr>
            <w:r>
              <w:rPr>
                <w:rFonts w:hint="eastAsia" w:ascii="宋体" w:hAnsi="宋体"/>
                <w:b/>
                <w:i/>
                <w:iCs/>
                <w:color w:val="000000" w:themeColor="text1"/>
                <w:sz w:val="21"/>
                <w:szCs w:val="21"/>
                <w:highlight w:val="none"/>
                <w:u w:val="single"/>
                <w14:textFill>
                  <w14:solidFill>
                    <w14:schemeClr w14:val="tx1"/>
                  </w14:solidFill>
                </w14:textFill>
              </w:rPr>
              <w:t xml:space="preserve">    </w:t>
            </w:r>
            <w:r>
              <w:rPr>
                <w:rFonts w:hint="eastAsia" w:ascii="宋体" w:hAnsi="宋体"/>
                <w:b/>
                <w:i/>
                <w:iCs/>
                <w:color w:val="000000" w:themeColor="text1"/>
                <w:sz w:val="21"/>
                <w:szCs w:val="21"/>
                <w:highlight w:val="none"/>
                <w14:textFill>
                  <w14:solidFill>
                    <w14:schemeClr w14:val="tx1"/>
                  </w14:solidFill>
                </w14:textFill>
              </w:rPr>
              <w:t>天</w:t>
            </w:r>
          </w:p>
        </w:tc>
        <w:tc>
          <w:tcPr>
            <w:tcW w:w="1087" w:type="dxa"/>
            <w:vMerge w:val="restart"/>
            <w:tcBorders>
              <w:tl2br w:val="nil"/>
              <w:tr2bl w:val="nil"/>
            </w:tcBorders>
            <w:vAlign w:val="center"/>
          </w:tcPr>
          <w:p w14:paraId="7899AA0D">
            <w:pPr>
              <w:spacing w:line="360" w:lineRule="auto"/>
              <w:jc w:val="center"/>
              <w:rPr>
                <w:rFonts w:ascii="宋体" w:hAnsi="宋体"/>
                <w:color w:val="000000" w:themeColor="text1"/>
                <w:sz w:val="21"/>
                <w:szCs w:val="21"/>
                <w:highlight w:val="none"/>
                <w14:textFill>
                  <w14:solidFill>
                    <w14:schemeClr w14:val="tx1"/>
                  </w14:solidFill>
                </w14:textFill>
              </w:rPr>
            </w:pPr>
          </w:p>
        </w:tc>
      </w:tr>
      <w:tr w14:paraId="2E6F9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l2br w:val="nil"/>
              <w:tr2bl w:val="nil"/>
            </w:tcBorders>
            <w:vAlign w:val="center"/>
          </w:tcPr>
          <w:p w14:paraId="00CDDE45">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3785" w:type="dxa"/>
            <w:tcBorders>
              <w:tl2br w:val="nil"/>
              <w:tr2bl w:val="nil"/>
            </w:tcBorders>
            <w:vAlign w:val="center"/>
          </w:tcPr>
          <w:p w14:paraId="19109923">
            <w:pPr>
              <w:spacing w:line="360" w:lineRule="auto"/>
              <w:jc w:val="center"/>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初步设计文件</w:t>
            </w:r>
          </w:p>
        </w:tc>
        <w:tc>
          <w:tcPr>
            <w:tcW w:w="720" w:type="dxa"/>
            <w:tcBorders>
              <w:tl2br w:val="nil"/>
              <w:tr2bl w:val="nil"/>
            </w:tcBorders>
            <w:vAlign w:val="center"/>
          </w:tcPr>
          <w:p w14:paraId="57284873">
            <w:pPr>
              <w:spacing w:line="360" w:lineRule="auto"/>
              <w:jc w:val="center"/>
              <w:rPr>
                <w:rFonts w:ascii="宋体" w:hAnsi="宋体"/>
                <w:b/>
                <w:i/>
                <w:iCs/>
                <w:color w:val="000000" w:themeColor="text1"/>
                <w:sz w:val="21"/>
                <w:szCs w:val="21"/>
                <w:highlight w:val="none"/>
                <w14:textFill>
                  <w14:solidFill>
                    <w14:schemeClr w14:val="tx1"/>
                  </w14:solidFill>
                </w14:textFill>
              </w:rPr>
            </w:pPr>
          </w:p>
        </w:tc>
        <w:tc>
          <w:tcPr>
            <w:tcW w:w="2885" w:type="dxa"/>
            <w:tcBorders>
              <w:tl2br w:val="nil"/>
              <w:tr2bl w:val="nil"/>
            </w:tcBorders>
            <w:vAlign w:val="center"/>
          </w:tcPr>
          <w:p w14:paraId="0467819D">
            <w:pPr>
              <w:spacing w:line="360" w:lineRule="auto"/>
              <w:jc w:val="center"/>
              <w:rPr>
                <w:rFonts w:ascii="宋体" w:hAnsi="宋体"/>
                <w:b/>
                <w:i/>
                <w:iCs/>
                <w:color w:val="000000" w:themeColor="text1"/>
                <w:sz w:val="21"/>
                <w:szCs w:val="21"/>
                <w:highlight w:val="none"/>
                <w14:textFill>
                  <w14:solidFill>
                    <w14:schemeClr w14:val="tx1"/>
                  </w14:solidFill>
                </w14:textFill>
              </w:rPr>
            </w:pPr>
            <w:r>
              <w:rPr>
                <w:rFonts w:hint="eastAsia" w:ascii="宋体" w:hAnsi="宋体"/>
                <w:b/>
                <w:i/>
                <w:iCs/>
                <w:color w:val="000000" w:themeColor="text1"/>
                <w:sz w:val="21"/>
                <w:szCs w:val="21"/>
                <w:highlight w:val="none"/>
                <w:u w:val="single"/>
                <w14:textFill>
                  <w14:solidFill>
                    <w14:schemeClr w14:val="tx1"/>
                  </w14:solidFill>
                </w14:textFill>
              </w:rPr>
              <w:t xml:space="preserve">    </w:t>
            </w:r>
            <w:r>
              <w:rPr>
                <w:rFonts w:hint="eastAsia" w:ascii="宋体" w:hAnsi="宋体"/>
                <w:b/>
                <w:i/>
                <w:iCs/>
                <w:color w:val="000000" w:themeColor="text1"/>
                <w:sz w:val="21"/>
                <w:szCs w:val="21"/>
                <w:highlight w:val="none"/>
                <w14:textFill>
                  <w14:solidFill>
                    <w14:schemeClr w14:val="tx1"/>
                  </w14:solidFill>
                </w14:textFill>
              </w:rPr>
              <w:t>天</w:t>
            </w:r>
          </w:p>
        </w:tc>
        <w:tc>
          <w:tcPr>
            <w:tcW w:w="1087" w:type="dxa"/>
            <w:vMerge w:val="continue"/>
            <w:tcBorders>
              <w:tl2br w:val="nil"/>
              <w:tr2bl w:val="nil"/>
            </w:tcBorders>
            <w:vAlign w:val="center"/>
          </w:tcPr>
          <w:p w14:paraId="35F734B0">
            <w:pPr>
              <w:spacing w:line="360" w:lineRule="auto"/>
              <w:jc w:val="center"/>
              <w:rPr>
                <w:rFonts w:ascii="宋体" w:hAnsi="宋体"/>
                <w:color w:val="000000" w:themeColor="text1"/>
                <w:sz w:val="21"/>
                <w:szCs w:val="21"/>
                <w:highlight w:val="none"/>
                <w14:textFill>
                  <w14:solidFill>
                    <w14:schemeClr w14:val="tx1"/>
                  </w14:solidFill>
                </w14:textFill>
              </w:rPr>
            </w:pPr>
          </w:p>
        </w:tc>
      </w:tr>
      <w:tr w14:paraId="00A8D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599A4302">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3785" w:type="dxa"/>
            <w:tcBorders>
              <w:tl2br w:val="nil"/>
              <w:tr2bl w:val="nil"/>
            </w:tcBorders>
            <w:vAlign w:val="center"/>
          </w:tcPr>
          <w:p w14:paraId="7879E307">
            <w:pPr>
              <w:spacing w:line="360" w:lineRule="auto"/>
              <w:jc w:val="center"/>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施工图设计文件</w:t>
            </w:r>
          </w:p>
        </w:tc>
        <w:tc>
          <w:tcPr>
            <w:tcW w:w="720" w:type="dxa"/>
            <w:tcBorders>
              <w:tl2br w:val="nil"/>
              <w:tr2bl w:val="nil"/>
            </w:tcBorders>
            <w:vAlign w:val="center"/>
          </w:tcPr>
          <w:p w14:paraId="26F957A3">
            <w:pPr>
              <w:spacing w:line="360" w:lineRule="auto"/>
              <w:jc w:val="center"/>
              <w:rPr>
                <w:rFonts w:ascii="宋体" w:hAnsi="宋体"/>
                <w:b/>
                <w:i/>
                <w:iCs/>
                <w:color w:val="000000" w:themeColor="text1"/>
                <w:sz w:val="21"/>
                <w:szCs w:val="21"/>
                <w:highlight w:val="none"/>
                <w14:textFill>
                  <w14:solidFill>
                    <w14:schemeClr w14:val="tx1"/>
                  </w14:solidFill>
                </w14:textFill>
              </w:rPr>
            </w:pPr>
          </w:p>
        </w:tc>
        <w:tc>
          <w:tcPr>
            <w:tcW w:w="2885" w:type="dxa"/>
            <w:tcBorders>
              <w:tl2br w:val="nil"/>
              <w:tr2bl w:val="nil"/>
            </w:tcBorders>
            <w:vAlign w:val="center"/>
          </w:tcPr>
          <w:p w14:paraId="072BD49A">
            <w:pPr>
              <w:spacing w:line="360" w:lineRule="auto"/>
              <w:jc w:val="center"/>
              <w:rPr>
                <w:rFonts w:ascii="宋体" w:hAnsi="宋体"/>
                <w:b/>
                <w:i/>
                <w:iCs/>
                <w:color w:val="000000" w:themeColor="text1"/>
                <w:sz w:val="21"/>
                <w:szCs w:val="21"/>
                <w:highlight w:val="none"/>
                <w14:textFill>
                  <w14:solidFill>
                    <w14:schemeClr w14:val="tx1"/>
                  </w14:solidFill>
                </w14:textFill>
              </w:rPr>
            </w:pPr>
            <w:r>
              <w:rPr>
                <w:rFonts w:hint="eastAsia" w:ascii="宋体" w:hAnsi="宋体"/>
                <w:b/>
                <w:i/>
                <w:iCs/>
                <w:color w:val="000000" w:themeColor="text1"/>
                <w:sz w:val="21"/>
                <w:szCs w:val="21"/>
                <w:highlight w:val="none"/>
                <w:u w:val="single"/>
                <w14:textFill>
                  <w14:solidFill>
                    <w14:schemeClr w14:val="tx1"/>
                  </w14:solidFill>
                </w14:textFill>
              </w:rPr>
              <w:t xml:space="preserve">    </w:t>
            </w:r>
            <w:r>
              <w:rPr>
                <w:rFonts w:hint="eastAsia" w:ascii="宋体" w:hAnsi="宋体"/>
                <w:b/>
                <w:i/>
                <w:iCs/>
                <w:color w:val="000000" w:themeColor="text1"/>
                <w:sz w:val="21"/>
                <w:szCs w:val="21"/>
                <w:highlight w:val="none"/>
                <w14:textFill>
                  <w14:solidFill>
                    <w14:schemeClr w14:val="tx1"/>
                  </w14:solidFill>
                </w14:textFill>
              </w:rPr>
              <w:t>天</w:t>
            </w:r>
          </w:p>
        </w:tc>
        <w:tc>
          <w:tcPr>
            <w:tcW w:w="1087" w:type="dxa"/>
            <w:vMerge w:val="continue"/>
            <w:tcBorders>
              <w:tl2br w:val="nil"/>
              <w:tr2bl w:val="nil"/>
            </w:tcBorders>
            <w:vAlign w:val="center"/>
          </w:tcPr>
          <w:p w14:paraId="76CDC861">
            <w:pPr>
              <w:spacing w:line="360" w:lineRule="auto"/>
              <w:jc w:val="center"/>
              <w:rPr>
                <w:rFonts w:ascii="宋体" w:hAnsi="宋体"/>
                <w:color w:val="000000" w:themeColor="text1"/>
                <w:sz w:val="21"/>
                <w:szCs w:val="21"/>
                <w:highlight w:val="none"/>
                <w14:textFill>
                  <w14:solidFill>
                    <w14:schemeClr w14:val="tx1"/>
                  </w14:solidFill>
                </w14:textFill>
              </w:rPr>
            </w:pPr>
          </w:p>
        </w:tc>
      </w:tr>
      <w:tr w14:paraId="1056A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l2br w:val="nil"/>
              <w:tr2bl w:val="nil"/>
            </w:tcBorders>
            <w:vAlign w:val="center"/>
          </w:tcPr>
          <w:p w14:paraId="0C53E728">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3785" w:type="dxa"/>
            <w:tcBorders>
              <w:tl2br w:val="nil"/>
              <w:tr2bl w:val="nil"/>
            </w:tcBorders>
            <w:vAlign w:val="center"/>
          </w:tcPr>
          <w:p w14:paraId="318A3D1C">
            <w:pPr>
              <w:spacing w:line="360" w:lineRule="auto"/>
              <w:jc w:val="center"/>
              <w:rPr>
                <w:rFonts w:ascii="宋体" w:hAnsi="宋体"/>
                <w:i/>
                <w:iCs/>
                <w:color w:val="000000" w:themeColor="text1"/>
                <w:sz w:val="21"/>
                <w:szCs w:val="21"/>
                <w:highlight w:val="none"/>
                <w14:textFill>
                  <w14:solidFill>
                    <w14:schemeClr w14:val="tx1"/>
                  </w14:solidFill>
                </w14:textFill>
              </w:rPr>
            </w:pPr>
            <w:r>
              <w:rPr>
                <w:rFonts w:hint="eastAsia" w:ascii="宋体" w:hAnsi="宋体"/>
                <w:i/>
                <w:iCs/>
                <w:color w:val="000000" w:themeColor="text1"/>
                <w:sz w:val="21"/>
                <w:szCs w:val="21"/>
                <w:highlight w:val="none"/>
                <w14:textFill>
                  <w14:solidFill>
                    <w14:schemeClr w14:val="tx1"/>
                  </w14:solidFill>
                </w14:textFill>
              </w:rPr>
              <w:t>勘察文件</w:t>
            </w:r>
          </w:p>
        </w:tc>
        <w:tc>
          <w:tcPr>
            <w:tcW w:w="720" w:type="dxa"/>
            <w:tcBorders>
              <w:tl2br w:val="nil"/>
              <w:tr2bl w:val="nil"/>
            </w:tcBorders>
            <w:vAlign w:val="center"/>
          </w:tcPr>
          <w:p w14:paraId="5A2227B7">
            <w:pPr>
              <w:spacing w:line="360" w:lineRule="auto"/>
              <w:jc w:val="center"/>
              <w:rPr>
                <w:rFonts w:ascii="宋体" w:hAnsi="宋体"/>
                <w:b/>
                <w:i/>
                <w:iCs/>
                <w:color w:val="000000" w:themeColor="text1"/>
                <w:sz w:val="21"/>
                <w:szCs w:val="21"/>
                <w:highlight w:val="none"/>
                <w14:textFill>
                  <w14:solidFill>
                    <w14:schemeClr w14:val="tx1"/>
                  </w14:solidFill>
                </w14:textFill>
              </w:rPr>
            </w:pPr>
          </w:p>
        </w:tc>
        <w:tc>
          <w:tcPr>
            <w:tcW w:w="2885" w:type="dxa"/>
            <w:tcBorders>
              <w:tl2br w:val="nil"/>
              <w:tr2bl w:val="nil"/>
            </w:tcBorders>
            <w:vAlign w:val="center"/>
          </w:tcPr>
          <w:p w14:paraId="035272D9">
            <w:pPr>
              <w:spacing w:line="360" w:lineRule="auto"/>
              <w:jc w:val="center"/>
              <w:rPr>
                <w:rFonts w:ascii="宋体" w:hAnsi="宋体"/>
                <w:b/>
                <w:i/>
                <w:iCs/>
                <w:color w:val="000000" w:themeColor="text1"/>
                <w:sz w:val="21"/>
                <w:szCs w:val="21"/>
                <w:highlight w:val="none"/>
                <w:u w:val="single"/>
                <w14:textFill>
                  <w14:solidFill>
                    <w14:schemeClr w14:val="tx1"/>
                  </w14:solidFill>
                </w14:textFill>
              </w:rPr>
            </w:pPr>
            <w:r>
              <w:rPr>
                <w:rFonts w:hint="eastAsia" w:ascii="宋体" w:hAnsi="宋体"/>
                <w:b/>
                <w:i/>
                <w:iCs/>
                <w:color w:val="000000" w:themeColor="text1"/>
                <w:sz w:val="21"/>
                <w:szCs w:val="21"/>
                <w:highlight w:val="none"/>
                <w:u w:val="single"/>
                <w14:textFill>
                  <w14:solidFill>
                    <w14:schemeClr w14:val="tx1"/>
                  </w14:solidFill>
                </w14:textFill>
              </w:rPr>
              <w:t xml:space="preserve">    </w:t>
            </w:r>
            <w:r>
              <w:rPr>
                <w:rFonts w:hint="eastAsia" w:ascii="宋体" w:hAnsi="宋体"/>
                <w:b/>
                <w:i/>
                <w:iCs/>
                <w:color w:val="000000" w:themeColor="text1"/>
                <w:sz w:val="21"/>
                <w:szCs w:val="21"/>
                <w:highlight w:val="none"/>
                <w14:textFill>
                  <w14:solidFill>
                    <w14:schemeClr w14:val="tx1"/>
                  </w14:solidFill>
                </w14:textFill>
              </w:rPr>
              <w:t>天</w:t>
            </w:r>
          </w:p>
        </w:tc>
        <w:tc>
          <w:tcPr>
            <w:tcW w:w="1087" w:type="dxa"/>
            <w:vMerge w:val="continue"/>
            <w:tcBorders>
              <w:tl2br w:val="nil"/>
              <w:tr2bl w:val="nil"/>
            </w:tcBorders>
            <w:vAlign w:val="center"/>
          </w:tcPr>
          <w:p w14:paraId="10D0D11C">
            <w:pPr>
              <w:spacing w:line="360" w:lineRule="auto"/>
              <w:jc w:val="center"/>
              <w:rPr>
                <w:rFonts w:ascii="宋体" w:hAnsi="宋体"/>
                <w:color w:val="000000" w:themeColor="text1"/>
                <w:sz w:val="21"/>
                <w:szCs w:val="21"/>
                <w:highlight w:val="none"/>
                <w14:textFill>
                  <w14:solidFill>
                    <w14:schemeClr w14:val="tx1"/>
                  </w14:solidFill>
                </w14:textFill>
              </w:rPr>
            </w:pPr>
          </w:p>
        </w:tc>
      </w:tr>
    </w:tbl>
    <w:p w14:paraId="7913CB7E">
      <w:pPr>
        <w:autoSpaceDE w:val="0"/>
        <w:autoSpaceDN w:val="0"/>
        <w:spacing w:line="360" w:lineRule="auto"/>
        <w:ind w:left="1200" w:hanging="1200" w:hangingChars="400"/>
        <w:jc w:val="left"/>
        <w:rPr>
          <w:rFonts w:ascii="宋体" w:hAnsi="宋体" w:cs="Courier New"/>
          <w:color w:val="000000" w:themeColor="text1"/>
          <w:sz w:val="30"/>
          <w:szCs w:val="28"/>
          <w:highlight w:val="none"/>
          <w14:textFill>
            <w14:solidFill>
              <w14:schemeClr w14:val="tx1"/>
            </w14:solidFill>
          </w14:textFill>
        </w:rPr>
      </w:pPr>
    </w:p>
    <w:p w14:paraId="098CD025">
      <w:pPr>
        <w:autoSpaceDE w:val="0"/>
        <w:autoSpaceDN w:val="0"/>
        <w:spacing w:line="360" w:lineRule="auto"/>
        <w:ind w:firstLine="77" w:firstLineChars="37"/>
        <w:jc w:val="left"/>
        <w:rPr>
          <w:rFonts w:ascii="宋体" w:hAnsi="宋体" w:cs="Courier New"/>
          <w:b/>
          <w:color w:val="000000" w:themeColor="text1"/>
          <w:sz w:val="21"/>
          <w:szCs w:val="21"/>
          <w:highlight w:val="none"/>
          <w14:textFill>
            <w14:solidFill>
              <w14:schemeClr w14:val="tx1"/>
            </w14:solidFill>
          </w14:textFill>
        </w:rPr>
      </w:pPr>
      <w:r>
        <w:rPr>
          <w:rFonts w:hint="eastAsia" w:ascii="宋体" w:hAnsi="宋体" w:cs="Courier New"/>
          <w:b/>
          <w:color w:val="000000" w:themeColor="text1"/>
          <w:sz w:val="21"/>
          <w:szCs w:val="21"/>
          <w:highlight w:val="none"/>
          <w14:textFill>
            <w14:solidFill>
              <w14:schemeClr w14:val="tx1"/>
            </w14:solidFill>
          </w14:textFill>
        </w:rPr>
        <w:t>特别约定：</w:t>
      </w:r>
    </w:p>
    <w:p w14:paraId="00BDED11">
      <w:pPr>
        <w:autoSpaceDE w:val="0"/>
        <w:autoSpaceDN w:val="0"/>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1.在发包人所提供的设计资料（含设计确认单、规划部门批文、政府各部门批文等）能满足设计人进行各阶段设计的前提下开始计算各阶段的设计时间。</w:t>
      </w:r>
    </w:p>
    <w:p w14:paraId="7D422B0D">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2.上述设计时间不包括法定的节假日。</w:t>
      </w:r>
    </w:p>
    <w:p w14:paraId="3BA5011C">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3.图纸交付地点：设计人工作地（或发包人指定地）。发包人要求设计人提供电子版设计文件时，设计人有权对电子版设计文件采取加密、设置访问权限、限期使用等保护措施</w:t>
      </w:r>
      <w:r>
        <w:rPr>
          <w:rFonts w:hint="eastAsia" w:ascii="宋体" w:hAnsi="宋体" w:cs="Courier New"/>
          <w:b/>
          <w:color w:val="000000" w:themeColor="text1"/>
          <w:sz w:val="21"/>
          <w:szCs w:val="21"/>
          <w:highlight w:val="none"/>
          <w14:textFill>
            <w14:solidFill>
              <w14:schemeClr w14:val="tx1"/>
            </w14:solidFill>
          </w14:textFill>
        </w:rPr>
        <w:t>。</w:t>
      </w:r>
    </w:p>
    <w:p w14:paraId="3E682293">
      <w:pPr>
        <w:spacing w:line="360" w:lineRule="auto"/>
        <w:ind w:firstLine="420" w:firstLineChars="200"/>
        <w:jc w:val="left"/>
        <w:rPr>
          <w:rFonts w:ascii="宋体" w:hAnsi="宋体" w:cs="Courier New"/>
          <w:color w:val="000000" w:themeColor="text1"/>
          <w:sz w:val="21"/>
          <w:szCs w:val="21"/>
          <w:highlight w:val="none"/>
          <w14:textFill>
            <w14:solidFill>
              <w14:schemeClr w14:val="tx1"/>
            </w14:solidFill>
          </w14:textFill>
        </w:rPr>
      </w:pPr>
      <w:r>
        <w:rPr>
          <w:rFonts w:hint="eastAsia" w:ascii="宋体" w:hAnsi="宋体" w:cs="Courier New"/>
          <w:color w:val="000000" w:themeColor="text1"/>
          <w:sz w:val="21"/>
          <w:szCs w:val="21"/>
          <w:highlight w:val="none"/>
          <w14:textFill>
            <w14:solidFill>
              <w14:schemeClr w14:val="tx1"/>
            </w14:solidFill>
          </w14:textFill>
        </w:rPr>
        <w:t>4.如发包人要求提供超过合同约定份数的工程设计文件，则设计人仍应按发包人的要求提供，但发包人应向设计人支付工本费。</w:t>
      </w:r>
    </w:p>
    <w:p w14:paraId="7EE60EFF">
      <w:pPr>
        <w:spacing w:beforeLines="50" w:afterLines="50" w:line="440" w:lineRule="exact"/>
        <w:jc w:val="left"/>
        <w:rPr>
          <w:rFonts w:ascii="宋体" w:hAnsi="宋体"/>
          <w:color w:val="000000" w:themeColor="text1"/>
          <w:sz w:val="30"/>
          <w:szCs w:val="30"/>
          <w:highlight w:val="none"/>
          <w14:textFill>
            <w14:solidFill>
              <w14:schemeClr w14:val="tx1"/>
            </w14:solidFill>
          </w14:textFill>
        </w:rPr>
      </w:pPr>
    </w:p>
    <w:p w14:paraId="0F21F00F">
      <w:pPr>
        <w:spacing w:beforeLines="50" w:afterLines="50" w:line="440" w:lineRule="exact"/>
        <w:jc w:val="left"/>
        <w:rPr>
          <w:rFonts w:ascii="宋体" w:hAnsi="宋体"/>
          <w:color w:val="000000" w:themeColor="text1"/>
          <w:sz w:val="30"/>
          <w:szCs w:val="30"/>
          <w:highlight w:val="none"/>
          <w14:textFill>
            <w14:solidFill>
              <w14:schemeClr w14:val="tx1"/>
            </w14:solidFill>
          </w14:textFill>
        </w:rPr>
      </w:pPr>
    </w:p>
    <w:p w14:paraId="48A6EEF3">
      <w:pPr>
        <w:spacing w:beforeLines="50" w:afterLines="50" w:line="440" w:lineRule="exact"/>
        <w:jc w:val="left"/>
        <w:rPr>
          <w:rFonts w:ascii="宋体" w:hAnsi="宋体"/>
          <w:color w:val="000000" w:themeColor="text1"/>
          <w:sz w:val="30"/>
          <w:szCs w:val="30"/>
          <w:highlight w:val="none"/>
          <w14:textFill>
            <w14:solidFill>
              <w14:schemeClr w14:val="tx1"/>
            </w14:solidFill>
          </w14:textFill>
        </w:rPr>
      </w:pPr>
    </w:p>
    <w:p w14:paraId="2800CBFF">
      <w:pPr>
        <w:spacing w:line="440" w:lineRule="exact"/>
        <w:rPr>
          <w:rFonts w:ascii="宋体" w:hAnsi="宋体"/>
          <w:b/>
          <w:color w:val="000000" w:themeColor="text1"/>
          <w:sz w:val="30"/>
          <w:szCs w:val="30"/>
          <w:highlight w:val="none"/>
          <w14:textFill>
            <w14:solidFill>
              <w14:schemeClr w14:val="tx1"/>
            </w14:solidFill>
          </w14:textFill>
        </w:rPr>
      </w:pPr>
    </w:p>
    <w:p w14:paraId="472794F6">
      <w:pPr>
        <w:spacing w:line="440" w:lineRule="exact"/>
        <w:rPr>
          <w:rFonts w:ascii="宋体" w:hAnsi="宋体"/>
          <w:b/>
          <w:color w:val="000000" w:themeColor="text1"/>
          <w:sz w:val="30"/>
          <w:szCs w:val="30"/>
          <w:highlight w:val="none"/>
          <w14:textFill>
            <w14:solidFill>
              <w14:schemeClr w14:val="tx1"/>
            </w14:solidFill>
          </w14:textFill>
        </w:rPr>
      </w:pPr>
    </w:p>
    <w:p w14:paraId="4D8C6F76">
      <w:pPr>
        <w:spacing w:line="440" w:lineRule="exact"/>
        <w:rPr>
          <w:rFonts w:ascii="宋体" w:hAnsi="宋体"/>
          <w:b/>
          <w:color w:val="000000" w:themeColor="text1"/>
          <w:sz w:val="30"/>
          <w:szCs w:val="30"/>
          <w:highlight w:val="none"/>
          <w14:textFill>
            <w14:solidFill>
              <w14:schemeClr w14:val="tx1"/>
            </w14:solidFill>
          </w14:textFill>
        </w:rPr>
      </w:pPr>
    </w:p>
    <w:p w14:paraId="1E3F5F3C">
      <w:pPr>
        <w:spacing w:line="440" w:lineRule="exact"/>
        <w:rPr>
          <w:rFonts w:ascii="宋体" w:hAnsi="宋体"/>
          <w:b/>
          <w:color w:val="000000" w:themeColor="text1"/>
          <w:sz w:val="30"/>
          <w:szCs w:val="30"/>
          <w:highlight w:val="none"/>
          <w14:textFill>
            <w14:solidFill>
              <w14:schemeClr w14:val="tx1"/>
            </w14:solidFill>
          </w14:textFill>
        </w:rPr>
      </w:pPr>
    </w:p>
    <w:p w14:paraId="2EAC780A">
      <w:pPr>
        <w:spacing w:line="440" w:lineRule="exact"/>
        <w:rPr>
          <w:rFonts w:ascii="宋体" w:hAnsi="宋体"/>
          <w:b/>
          <w:color w:val="000000" w:themeColor="text1"/>
          <w:sz w:val="30"/>
          <w:szCs w:val="30"/>
          <w:highlight w:val="none"/>
          <w14:textFill>
            <w14:solidFill>
              <w14:schemeClr w14:val="tx1"/>
            </w14:solidFill>
          </w14:textFill>
        </w:rPr>
      </w:pPr>
    </w:p>
    <w:p w14:paraId="48EED923">
      <w:pPr>
        <w:spacing w:line="440" w:lineRule="exact"/>
        <w:rPr>
          <w:rFonts w:ascii="宋体" w:hAnsi="宋体"/>
          <w:b/>
          <w:color w:val="000000" w:themeColor="text1"/>
          <w:sz w:val="30"/>
          <w:szCs w:val="30"/>
          <w:highlight w:val="none"/>
          <w14:textFill>
            <w14:solidFill>
              <w14:schemeClr w14:val="tx1"/>
            </w14:solidFill>
          </w14:textFill>
        </w:rPr>
      </w:pPr>
    </w:p>
    <w:p w14:paraId="747A1C53">
      <w:pPr>
        <w:spacing w:line="440" w:lineRule="exact"/>
        <w:rPr>
          <w:rFonts w:ascii="宋体" w:hAnsi="宋体"/>
          <w:b/>
          <w:color w:val="000000" w:themeColor="text1"/>
          <w:sz w:val="30"/>
          <w:szCs w:val="30"/>
          <w:highlight w:val="none"/>
          <w14:textFill>
            <w14:solidFill>
              <w14:schemeClr w14:val="tx1"/>
            </w14:solidFill>
          </w14:textFill>
        </w:rPr>
      </w:pPr>
    </w:p>
    <w:p w14:paraId="4B2BD4FA">
      <w:pPr>
        <w:spacing w:line="440" w:lineRule="exact"/>
        <w:rPr>
          <w:rFonts w:ascii="宋体" w:hAnsi="宋体"/>
          <w:b/>
          <w:color w:val="000000" w:themeColor="text1"/>
          <w:sz w:val="30"/>
          <w:szCs w:val="30"/>
          <w:highlight w:val="none"/>
          <w14:textFill>
            <w14:solidFill>
              <w14:schemeClr w14:val="tx1"/>
            </w14:solidFill>
          </w14:textFill>
        </w:rPr>
      </w:pPr>
    </w:p>
    <w:p w14:paraId="4DE0C5A6">
      <w:pPr>
        <w:spacing w:line="440" w:lineRule="exact"/>
        <w:rPr>
          <w:rFonts w:ascii="宋体" w:hAnsi="宋体"/>
          <w:b/>
          <w:color w:val="000000" w:themeColor="text1"/>
          <w:sz w:val="30"/>
          <w:szCs w:val="30"/>
          <w:highlight w:val="none"/>
          <w14:textFill>
            <w14:solidFill>
              <w14:schemeClr w14:val="tx1"/>
            </w14:solidFill>
          </w14:textFill>
        </w:rPr>
      </w:pPr>
    </w:p>
    <w:p w14:paraId="76F82061">
      <w:pPr>
        <w:rPr>
          <w:rFonts w:ascii="黑体" w:hAnsi="黑体" w:eastAsia="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t>附件</w:t>
      </w:r>
      <w:r>
        <w:rPr>
          <w:rFonts w:hint="eastAsia" w:ascii="黑体" w:hAnsi="黑体" w:eastAsia="黑体"/>
          <w:color w:val="000000" w:themeColor="text1"/>
          <w:sz w:val="21"/>
          <w:szCs w:val="21"/>
          <w:highlight w:val="none"/>
          <w14:textFill>
            <w14:solidFill>
              <w14:schemeClr w14:val="tx1"/>
            </w14:solidFill>
          </w14:textFill>
        </w:rPr>
        <w:t xml:space="preserve">5-4 ：              </w:t>
      </w:r>
    </w:p>
    <w:p w14:paraId="0ADE146A">
      <w:pPr>
        <w:spacing w:line="440" w:lineRule="exact"/>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设计（勘察）</w:t>
      </w:r>
      <w:r>
        <w:rPr>
          <w:rFonts w:ascii="黑体" w:hAnsi="黑体" w:eastAsia="黑体"/>
          <w:color w:val="000000" w:themeColor="text1"/>
          <w:sz w:val="21"/>
          <w:szCs w:val="21"/>
          <w:highlight w:val="none"/>
          <w14:textFill>
            <w14:solidFill>
              <w14:schemeClr w14:val="tx1"/>
            </w14:solidFill>
          </w14:textFill>
        </w:rPr>
        <w:t>人主要</w:t>
      </w:r>
      <w:r>
        <w:rPr>
          <w:rFonts w:hint="eastAsia" w:ascii="黑体" w:hAnsi="黑体" w:eastAsia="黑体"/>
          <w:color w:val="000000" w:themeColor="text1"/>
          <w:sz w:val="21"/>
          <w:szCs w:val="21"/>
          <w:highlight w:val="none"/>
          <w14:textFill>
            <w14:solidFill>
              <w14:schemeClr w14:val="tx1"/>
            </w14:solidFill>
          </w14:textFill>
        </w:rPr>
        <w:t>设计</w:t>
      </w:r>
      <w:r>
        <w:rPr>
          <w:rFonts w:ascii="黑体" w:hAnsi="黑体" w:eastAsia="黑体"/>
          <w:color w:val="000000" w:themeColor="text1"/>
          <w:sz w:val="21"/>
          <w:szCs w:val="21"/>
          <w:highlight w:val="none"/>
          <w14:textFill>
            <w14:solidFill>
              <w14:schemeClr w14:val="tx1"/>
            </w14:solidFill>
          </w14:textFill>
        </w:rPr>
        <w:t>人员表</w:t>
      </w:r>
    </w:p>
    <w:tbl>
      <w:tblPr>
        <w:tblStyle w:val="41"/>
        <w:tblW w:w="95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73"/>
        <w:gridCol w:w="1418"/>
        <w:gridCol w:w="1134"/>
        <w:gridCol w:w="1702"/>
        <w:gridCol w:w="3684"/>
      </w:tblGrid>
      <w:tr w14:paraId="78361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1" w:hRule="atLeast"/>
          <w:jc w:val="center"/>
        </w:trPr>
        <w:tc>
          <w:tcPr>
            <w:tcW w:w="1573" w:type="dxa"/>
            <w:tcBorders>
              <w:tl2br w:val="nil"/>
              <w:tr2bl w:val="nil"/>
            </w:tcBorders>
            <w:vAlign w:val="center"/>
          </w:tcPr>
          <w:p w14:paraId="5A2ED5DB">
            <w:pPr>
              <w:pStyle w:val="17"/>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名    称</w:t>
            </w:r>
          </w:p>
        </w:tc>
        <w:tc>
          <w:tcPr>
            <w:tcW w:w="1418" w:type="dxa"/>
            <w:tcBorders>
              <w:tl2br w:val="nil"/>
              <w:tr2bl w:val="nil"/>
            </w:tcBorders>
            <w:vAlign w:val="center"/>
          </w:tcPr>
          <w:p w14:paraId="260969E2">
            <w:pPr>
              <w:pStyle w:val="17"/>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姓名</w:t>
            </w:r>
          </w:p>
        </w:tc>
        <w:tc>
          <w:tcPr>
            <w:tcW w:w="1134" w:type="dxa"/>
            <w:tcBorders>
              <w:tl2br w:val="nil"/>
              <w:tr2bl w:val="nil"/>
            </w:tcBorders>
            <w:vAlign w:val="center"/>
          </w:tcPr>
          <w:p w14:paraId="0F433239">
            <w:pPr>
              <w:pStyle w:val="17"/>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职务</w:t>
            </w:r>
          </w:p>
        </w:tc>
        <w:tc>
          <w:tcPr>
            <w:tcW w:w="1702" w:type="dxa"/>
            <w:tcBorders>
              <w:tl2br w:val="nil"/>
              <w:tr2bl w:val="nil"/>
            </w:tcBorders>
            <w:vAlign w:val="center"/>
          </w:tcPr>
          <w:p w14:paraId="3D2DFE9C">
            <w:pPr>
              <w:pStyle w:val="17"/>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注册执业资格</w:t>
            </w:r>
          </w:p>
        </w:tc>
        <w:tc>
          <w:tcPr>
            <w:tcW w:w="3684" w:type="dxa"/>
            <w:tcBorders>
              <w:tl2br w:val="nil"/>
              <w:tr2bl w:val="nil"/>
            </w:tcBorders>
            <w:vAlign w:val="center"/>
          </w:tcPr>
          <w:p w14:paraId="64E55F2B">
            <w:pPr>
              <w:pStyle w:val="17"/>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承担过的主要项目</w:t>
            </w:r>
          </w:p>
        </w:tc>
      </w:tr>
      <w:tr w14:paraId="6D0CC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4" w:hRule="atLeast"/>
          <w:jc w:val="center"/>
        </w:trPr>
        <w:tc>
          <w:tcPr>
            <w:tcW w:w="9511" w:type="dxa"/>
            <w:gridSpan w:val="5"/>
            <w:tcBorders>
              <w:tl2br w:val="nil"/>
              <w:tr2bl w:val="nil"/>
            </w:tcBorders>
            <w:vAlign w:val="center"/>
          </w:tcPr>
          <w:p w14:paraId="43A80BA8">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一、总部人员</w:t>
            </w:r>
          </w:p>
        </w:tc>
      </w:tr>
      <w:tr w14:paraId="356DC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5" w:hRule="atLeast"/>
          <w:jc w:val="center"/>
        </w:trPr>
        <w:tc>
          <w:tcPr>
            <w:tcW w:w="1573" w:type="dxa"/>
            <w:tcBorders>
              <w:tl2br w:val="nil"/>
              <w:tr2bl w:val="nil"/>
            </w:tcBorders>
            <w:vAlign w:val="center"/>
          </w:tcPr>
          <w:p w14:paraId="233EF217">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项目主管</w:t>
            </w:r>
          </w:p>
        </w:tc>
        <w:tc>
          <w:tcPr>
            <w:tcW w:w="1418" w:type="dxa"/>
            <w:tcBorders>
              <w:tl2br w:val="nil"/>
              <w:tr2bl w:val="nil"/>
            </w:tcBorders>
            <w:vAlign w:val="center"/>
          </w:tcPr>
          <w:p w14:paraId="54FBE897">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43AB6384">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6A4B6625">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02AC0CFC">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36C96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9" w:hRule="atLeast"/>
          <w:jc w:val="center"/>
        </w:trPr>
        <w:tc>
          <w:tcPr>
            <w:tcW w:w="1573" w:type="dxa"/>
            <w:tcBorders>
              <w:tl2br w:val="nil"/>
              <w:tr2bl w:val="nil"/>
            </w:tcBorders>
            <w:vAlign w:val="center"/>
          </w:tcPr>
          <w:p w14:paraId="2EDC0BAE">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其他人员</w:t>
            </w:r>
          </w:p>
        </w:tc>
        <w:tc>
          <w:tcPr>
            <w:tcW w:w="1418" w:type="dxa"/>
            <w:tcBorders>
              <w:tl2br w:val="nil"/>
              <w:tr2bl w:val="nil"/>
            </w:tcBorders>
            <w:vAlign w:val="center"/>
          </w:tcPr>
          <w:p w14:paraId="2749CA78">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7E21092A">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247EECCF">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7E64007D">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2341A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9511" w:type="dxa"/>
            <w:gridSpan w:val="5"/>
            <w:tcBorders>
              <w:tl2br w:val="nil"/>
              <w:tr2bl w:val="nil"/>
            </w:tcBorders>
            <w:vAlign w:val="center"/>
          </w:tcPr>
          <w:p w14:paraId="4C0787BB">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二、项目组成员</w:t>
            </w:r>
          </w:p>
        </w:tc>
      </w:tr>
      <w:tr w14:paraId="6D4CC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1573" w:type="dxa"/>
            <w:tcBorders>
              <w:tl2br w:val="nil"/>
              <w:tr2bl w:val="nil"/>
            </w:tcBorders>
            <w:vAlign w:val="center"/>
          </w:tcPr>
          <w:p w14:paraId="22B932DE">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tcBorders>
              <w:tl2br w:val="nil"/>
              <w:tr2bl w:val="nil"/>
            </w:tcBorders>
            <w:vAlign w:val="center"/>
          </w:tcPr>
          <w:p w14:paraId="3D67D0E1">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54E4B8C0">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4BC49B49">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13084130">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7B12C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atLeast"/>
          <w:jc w:val="center"/>
        </w:trPr>
        <w:tc>
          <w:tcPr>
            <w:tcW w:w="1573" w:type="dxa"/>
            <w:tcBorders>
              <w:tl2br w:val="nil"/>
              <w:tr2bl w:val="nil"/>
            </w:tcBorders>
            <w:vAlign w:val="center"/>
          </w:tcPr>
          <w:p w14:paraId="0F157FB1">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tcBorders>
              <w:tl2br w:val="nil"/>
              <w:tr2bl w:val="nil"/>
            </w:tcBorders>
            <w:vAlign w:val="center"/>
          </w:tcPr>
          <w:p w14:paraId="4E58FDA3">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4CE1DF3D">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708B14ED">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0DECBC38">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63568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atLeast"/>
          <w:jc w:val="center"/>
        </w:trPr>
        <w:tc>
          <w:tcPr>
            <w:tcW w:w="1573" w:type="dxa"/>
            <w:tcBorders>
              <w:tl2br w:val="nil"/>
              <w:tr2bl w:val="nil"/>
            </w:tcBorders>
            <w:vAlign w:val="center"/>
          </w:tcPr>
          <w:p w14:paraId="1729DAF2">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tcBorders>
              <w:tl2br w:val="nil"/>
              <w:tr2bl w:val="nil"/>
            </w:tcBorders>
            <w:vAlign w:val="center"/>
          </w:tcPr>
          <w:p w14:paraId="75DA1FF5">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6E1429BD">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3F2F93C8">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773372E7">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2A7A8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atLeast"/>
          <w:jc w:val="center"/>
        </w:trPr>
        <w:tc>
          <w:tcPr>
            <w:tcW w:w="1573" w:type="dxa"/>
            <w:tcBorders>
              <w:tl2br w:val="nil"/>
              <w:tr2bl w:val="nil"/>
            </w:tcBorders>
            <w:vAlign w:val="center"/>
          </w:tcPr>
          <w:p w14:paraId="5D65086D">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tcBorders>
              <w:tl2br w:val="nil"/>
              <w:tr2bl w:val="nil"/>
            </w:tcBorders>
            <w:vAlign w:val="center"/>
          </w:tcPr>
          <w:p w14:paraId="155573B0">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19E2BB9A">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16BBC306">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3BCEBD7A">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6487C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atLeast"/>
          <w:jc w:val="center"/>
        </w:trPr>
        <w:tc>
          <w:tcPr>
            <w:tcW w:w="1573" w:type="dxa"/>
            <w:tcBorders>
              <w:tl2br w:val="nil"/>
              <w:tr2bl w:val="nil"/>
            </w:tcBorders>
            <w:vAlign w:val="center"/>
          </w:tcPr>
          <w:p w14:paraId="1BFD6DEB">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tcBorders>
              <w:tl2br w:val="nil"/>
              <w:tr2bl w:val="nil"/>
            </w:tcBorders>
            <w:vAlign w:val="center"/>
          </w:tcPr>
          <w:p w14:paraId="0A947D02">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217538F6">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57A5E971">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714F2685">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4241F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atLeast"/>
          <w:jc w:val="center"/>
        </w:trPr>
        <w:tc>
          <w:tcPr>
            <w:tcW w:w="1573" w:type="dxa"/>
            <w:tcBorders>
              <w:tl2br w:val="nil"/>
              <w:tr2bl w:val="nil"/>
            </w:tcBorders>
            <w:vAlign w:val="center"/>
          </w:tcPr>
          <w:p w14:paraId="7437A62F">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tcBorders>
              <w:tl2br w:val="nil"/>
              <w:tr2bl w:val="nil"/>
            </w:tcBorders>
            <w:vAlign w:val="center"/>
          </w:tcPr>
          <w:p w14:paraId="00F7450E">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03EEE67A">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648B41A3">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09A46345">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36FC5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atLeast"/>
          <w:jc w:val="center"/>
        </w:trPr>
        <w:tc>
          <w:tcPr>
            <w:tcW w:w="1573" w:type="dxa"/>
            <w:tcBorders>
              <w:tl2br w:val="nil"/>
              <w:tr2bl w:val="nil"/>
            </w:tcBorders>
            <w:vAlign w:val="center"/>
          </w:tcPr>
          <w:p w14:paraId="2481A8BA">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tcBorders>
              <w:tl2br w:val="nil"/>
              <w:tr2bl w:val="nil"/>
            </w:tcBorders>
            <w:vAlign w:val="center"/>
          </w:tcPr>
          <w:p w14:paraId="40711213">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2C3B0284">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23F6B7FE">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14588FEC">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14:paraId="40FA7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5" w:hRule="atLeast"/>
          <w:jc w:val="center"/>
        </w:trPr>
        <w:tc>
          <w:tcPr>
            <w:tcW w:w="1573" w:type="dxa"/>
            <w:tcBorders>
              <w:tl2br w:val="nil"/>
              <w:tr2bl w:val="nil"/>
            </w:tcBorders>
            <w:vAlign w:val="center"/>
          </w:tcPr>
          <w:p w14:paraId="1E123687">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tcBorders>
              <w:tl2br w:val="nil"/>
              <w:tr2bl w:val="nil"/>
            </w:tcBorders>
            <w:vAlign w:val="center"/>
          </w:tcPr>
          <w:p w14:paraId="78F0AB9D">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l2br w:val="nil"/>
              <w:tr2bl w:val="nil"/>
            </w:tcBorders>
            <w:vAlign w:val="center"/>
          </w:tcPr>
          <w:p w14:paraId="5214E06F">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l2br w:val="nil"/>
              <w:tr2bl w:val="nil"/>
            </w:tcBorders>
            <w:vAlign w:val="center"/>
          </w:tcPr>
          <w:p w14:paraId="66E8F0CA">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l2br w:val="nil"/>
              <w:tr2bl w:val="nil"/>
            </w:tcBorders>
            <w:vAlign w:val="center"/>
          </w:tcPr>
          <w:p w14:paraId="5A5F9FEF">
            <w:pPr>
              <w:pStyle w:val="17"/>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bl>
    <w:p w14:paraId="4482B062">
      <w:pPr>
        <w:spacing w:line="440" w:lineRule="exact"/>
        <w:rPr>
          <w:rFonts w:ascii="宋体" w:hAnsi="宋体"/>
          <w:color w:val="000000" w:themeColor="text1"/>
          <w:sz w:val="30"/>
          <w:szCs w:val="30"/>
          <w:highlight w:val="none"/>
          <w14:textFill>
            <w14:solidFill>
              <w14:schemeClr w14:val="tx1"/>
            </w14:solidFill>
          </w14:textFill>
        </w:rPr>
      </w:pPr>
    </w:p>
    <w:p w14:paraId="3AE29C1D">
      <w:pPr>
        <w:spacing w:line="440" w:lineRule="exact"/>
        <w:rPr>
          <w:rFonts w:ascii="宋体" w:hAnsi="宋体"/>
          <w:b/>
          <w:color w:val="000000" w:themeColor="text1"/>
          <w:sz w:val="21"/>
          <w:szCs w:val="21"/>
          <w:highlight w:val="none"/>
          <w14:textFill>
            <w14:solidFill>
              <w14:schemeClr w14:val="tx1"/>
            </w14:solidFill>
          </w14:textFill>
        </w:rPr>
      </w:pPr>
    </w:p>
    <w:p w14:paraId="75254CF9">
      <w:pPr>
        <w:spacing w:line="440" w:lineRule="exact"/>
        <w:rPr>
          <w:rFonts w:ascii="宋体" w:hAnsi="宋体"/>
          <w:b/>
          <w:color w:val="000000" w:themeColor="text1"/>
          <w:sz w:val="21"/>
          <w:szCs w:val="21"/>
          <w:highlight w:val="none"/>
          <w14:textFill>
            <w14:solidFill>
              <w14:schemeClr w14:val="tx1"/>
            </w14:solidFill>
          </w14:textFill>
        </w:rPr>
      </w:pPr>
    </w:p>
    <w:p w14:paraId="5FB138A9">
      <w:pP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附件5-5：履约担保（格式）</w:t>
      </w:r>
    </w:p>
    <w:p w14:paraId="6C9B6C0B">
      <w:pPr>
        <w:spacing w:line="360" w:lineRule="auto"/>
        <w:jc w:val="center"/>
        <w:rPr>
          <w:rFonts w:ascii="黑体" w:hAnsi="黑体" w:eastAsia="黑体"/>
          <w:b/>
          <w:color w:val="000000" w:themeColor="text1"/>
          <w:sz w:val="21"/>
          <w:szCs w:val="21"/>
          <w:highlight w:val="none"/>
          <w14:textFill>
            <w14:solidFill>
              <w14:schemeClr w14:val="tx1"/>
            </w14:solidFill>
          </w14:textFill>
        </w:rPr>
      </w:pPr>
      <w:r>
        <w:rPr>
          <w:rFonts w:hint="eastAsia" w:ascii="黑体" w:hAnsi="黑体" w:eastAsia="黑体"/>
          <w:b/>
          <w:color w:val="000000" w:themeColor="text1"/>
          <w:sz w:val="21"/>
          <w:szCs w:val="21"/>
          <w:highlight w:val="none"/>
          <w14:textFill>
            <w14:solidFill>
              <w14:schemeClr w14:val="tx1"/>
            </w14:solidFill>
          </w14:textFill>
        </w:rPr>
        <w:t>履约担保</w:t>
      </w:r>
    </w:p>
    <w:p w14:paraId="6D19E40D">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（发包人名称）：</w:t>
      </w:r>
    </w:p>
    <w:p w14:paraId="6B13BA96">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鉴于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（发包人名称，以下简称“发包人”）与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（设计人名称）（以下称“设计人”）于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日就</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（工程名称）设计（勘察）及有关事项协商一致共同签订《建设工程设计合同》。我方愿意无条件地、不可撤销地就设计人履行与你方签订的合同，向你方提供连带责任担保。 </w:t>
      </w:r>
    </w:p>
    <w:p w14:paraId="7E5AD58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1.担保金额人民币（大写）</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78B2CA7">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2.担保有效期自你方与设计人签订的合同生效之日起至发包人签收最后一批设计（勘察）成果文件之日起28日后失效。</w:t>
      </w:r>
    </w:p>
    <w:p w14:paraId="1084C55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3.在本担保有效期内，因设计人违反合同约定的义务给你方造成经济损失时，我方在收到你方以书面形式提出的在担保金额内的赔偿要求后，在7天内无条件支付。</w:t>
      </w:r>
    </w:p>
    <w:p w14:paraId="7A1646C8">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4.你方和设计人按合同约定变更合同时，我方承担本担保规定的义务不变。</w:t>
      </w:r>
    </w:p>
    <w:p w14:paraId="109D717B">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5.因本保函发生的纠纷，可由双方协商解决；协商不成的，任何一方应向《建设工程设计合同》专用条款第17.4款约定的同一仲裁或诉讼机构提起仲裁或诉讼。</w:t>
      </w:r>
    </w:p>
    <w:p w14:paraId="701BB6F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6.本保函自我方法定代表人（或其委托代理人）签字并加盖公章之日起生效。</w:t>
      </w:r>
    </w:p>
    <w:p w14:paraId="076E4538">
      <w:pPr>
        <w:spacing w:line="360" w:lineRule="auto"/>
        <w:jc w:val="left"/>
        <w:rPr>
          <w:rFonts w:ascii="宋体" w:hAnsi="宋体"/>
          <w:color w:val="000000" w:themeColor="text1"/>
          <w:sz w:val="21"/>
          <w:szCs w:val="21"/>
          <w:highlight w:val="none"/>
          <w14:textFill>
            <w14:solidFill>
              <w14:schemeClr w14:val="tx1"/>
            </w14:solidFill>
          </w14:textFill>
        </w:rPr>
      </w:pPr>
    </w:p>
    <w:p w14:paraId="7040C106">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担 保 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（盖单位公章）</w:t>
      </w:r>
    </w:p>
    <w:p w14:paraId="5D261337">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32799239">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u w:val="single"/>
          <w14:textFill>
            <w14:solidFill>
              <w14:schemeClr w14:val="tx1"/>
            </w14:solidFill>
          </w14:textFill>
        </w:rPr>
        <w:t xml:space="preserve">                                      </w:t>
      </w:r>
    </w:p>
    <w:p w14:paraId="7CF57DA3">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r>
        <w:rPr>
          <w:rFonts w:hint="eastAsia" w:ascii="宋体" w:hAnsi="宋体"/>
          <w:color w:val="000000" w:themeColor="text1"/>
          <w:sz w:val="21"/>
          <w:szCs w:val="21"/>
          <w:highlight w:val="none"/>
          <w:u w:val="single"/>
          <w14:textFill>
            <w14:solidFill>
              <w14:schemeClr w14:val="tx1"/>
            </w14:solidFill>
          </w14:textFill>
        </w:rPr>
        <w:t xml:space="preserve">                                      </w:t>
      </w:r>
    </w:p>
    <w:p w14:paraId="150D43FF">
      <w:pPr>
        <w:spacing w:line="360" w:lineRule="auto"/>
        <w:ind w:firstLine="2205" w:firstLineChars="105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w:t>
      </w:r>
      <w:r>
        <w:rPr>
          <w:rFonts w:hint="eastAsia" w:ascii="宋体" w:hAnsi="宋体"/>
          <w:color w:val="000000" w:themeColor="text1"/>
          <w:sz w:val="21"/>
          <w:szCs w:val="21"/>
          <w:highlight w:val="none"/>
          <w:u w:val="single"/>
          <w14:textFill>
            <w14:solidFill>
              <w14:schemeClr w14:val="tx1"/>
            </w14:solidFill>
          </w14:textFill>
        </w:rPr>
        <w:t xml:space="preserve">                                      </w:t>
      </w:r>
    </w:p>
    <w:p w14:paraId="5BF1A422">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传    真：</w:t>
      </w:r>
      <w:r>
        <w:rPr>
          <w:rFonts w:hint="eastAsia" w:ascii="宋体" w:hAnsi="宋体"/>
          <w:color w:val="000000" w:themeColor="text1"/>
          <w:sz w:val="21"/>
          <w:szCs w:val="21"/>
          <w:highlight w:val="none"/>
          <w:u w:val="single"/>
          <w14:textFill>
            <w14:solidFill>
              <w14:schemeClr w14:val="tx1"/>
            </w14:solidFill>
          </w14:textFill>
        </w:rPr>
        <w:t xml:space="preserve">                                      </w:t>
      </w:r>
    </w:p>
    <w:p w14:paraId="551DF539">
      <w:pPr>
        <w:spacing w:line="360" w:lineRule="auto"/>
        <w:ind w:left="1329" w:hanging="1329" w:hangingChars="633"/>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7F81331D">
      <w:pPr>
        <w:spacing w:line="360" w:lineRule="auto"/>
        <w:ind w:left="1329" w:hanging="1329" w:hangingChars="633"/>
        <w:jc w:val="left"/>
        <w:rPr>
          <w:rFonts w:ascii="宋体" w:hAnsi="宋体"/>
          <w:color w:val="000000" w:themeColor="text1"/>
          <w:sz w:val="21"/>
          <w:szCs w:val="21"/>
          <w:highlight w:val="none"/>
          <w14:textFill>
            <w14:solidFill>
              <w14:schemeClr w14:val="tx1"/>
            </w14:solidFill>
          </w14:textFill>
        </w:rPr>
      </w:pPr>
    </w:p>
    <w:p w14:paraId="1569758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注：本履约担保格式可以采用经发包人同意的其他格式，但相关内容不得违背合同约定的实质性内容。</w:t>
      </w:r>
    </w:p>
    <w:p w14:paraId="4FBB584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p>
    <w:p w14:paraId="131253B4">
      <w:pPr>
        <w:spacing w:line="360" w:lineRule="auto"/>
        <w:jc w:val="center"/>
        <w:rPr>
          <w:rFonts w:ascii="宋体" w:hAnsi="宋体" w:cs="黑体"/>
          <w:b/>
          <w:color w:val="000000" w:themeColor="text1"/>
          <w:sz w:val="21"/>
          <w:szCs w:val="21"/>
          <w:highlight w:val="none"/>
          <w14:textFill>
            <w14:solidFill>
              <w14:schemeClr w14:val="tx1"/>
            </w14:solidFill>
          </w14:textFill>
        </w:rPr>
      </w:pPr>
    </w:p>
    <w:p w14:paraId="58F11E3E">
      <w:pPr>
        <w:spacing w:line="360" w:lineRule="auto"/>
        <w:rPr>
          <w:rFonts w:ascii="宋体" w:hAnsi="宋体" w:cs="黑体"/>
          <w:b/>
          <w:color w:val="000000" w:themeColor="text1"/>
          <w:sz w:val="21"/>
          <w:szCs w:val="21"/>
          <w:highlight w:val="none"/>
          <w14:textFill>
            <w14:solidFill>
              <w14:schemeClr w14:val="tx1"/>
            </w14:solidFill>
          </w14:textFill>
        </w:rPr>
      </w:pPr>
    </w:p>
    <w:p w14:paraId="23D4E915">
      <w:pPr>
        <w:spacing w:line="360" w:lineRule="auto"/>
        <w:jc w:val="center"/>
        <w:rPr>
          <w:rFonts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b/>
          <w:color w:val="000000" w:themeColor="text1"/>
          <w:sz w:val="21"/>
          <w:szCs w:val="21"/>
          <w:highlight w:val="none"/>
          <w14:textFill>
            <w14:solidFill>
              <w14:schemeClr w14:val="tx1"/>
            </w14:solidFill>
          </w14:textFill>
        </w:rPr>
        <w:t>履约保证保险（凭证）</w:t>
      </w:r>
    </w:p>
    <w:p w14:paraId="7A721B12">
      <w:pPr>
        <w:pStyle w:val="66"/>
        <w:spacing w:after="0"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（发包人名称）：</w:t>
      </w:r>
      <w:r>
        <w:rPr>
          <w:rFonts w:hAnsi="宋体" w:cs="宋体"/>
          <w:color w:val="000000" w:themeColor="text1"/>
          <w:sz w:val="21"/>
          <w:szCs w:val="21"/>
          <w:highlight w:val="none"/>
          <w14:textFill>
            <w14:solidFill>
              <w14:schemeClr w14:val="tx1"/>
            </w14:solidFill>
          </w14:textFill>
        </w:rPr>
        <w:t xml:space="preserve"> </w:t>
      </w:r>
    </w:p>
    <w:p w14:paraId="234B64FB">
      <w:pPr>
        <w:pStyle w:val="124"/>
        <w:spacing w:line="360" w:lineRule="auto"/>
        <w:ind w:firstLine="42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鉴于</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（发包人名称，以下简称</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发包人</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）接受</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（设计人名称，以下称</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设计人</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）于</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日参加</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（项目名称）设计</w:t>
      </w:r>
      <w:r>
        <w:rPr>
          <w:rFonts w:hint="eastAsia" w:hAnsi="宋体"/>
          <w:color w:val="000000" w:themeColor="text1"/>
          <w:sz w:val="21"/>
          <w:szCs w:val="21"/>
          <w:highlight w:val="none"/>
          <w14:textFill>
            <w14:solidFill>
              <w14:schemeClr w14:val="tx1"/>
            </w14:solidFill>
          </w14:textFill>
        </w:rPr>
        <w:t>（勘察）</w:t>
      </w:r>
      <w:r>
        <w:rPr>
          <w:rFonts w:hint="eastAsia" w:hAnsi="宋体" w:cs="宋体"/>
          <w:color w:val="000000" w:themeColor="text1"/>
          <w:sz w:val="21"/>
          <w:szCs w:val="21"/>
          <w:highlight w:val="none"/>
          <w14:textFill>
            <w14:solidFill>
              <w14:schemeClr w14:val="tx1"/>
            </w14:solidFill>
          </w14:textFill>
        </w:rPr>
        <w:t>的投标。我方愿意无条件地、不可撤销地就设计人履行与你方订立的合同，向你方提供履约保证保险。</w:t>
      </w:r>
    </w:p>
    <w:p w14:paraId="1B9BC8D0">
      <w:pPr>
        <w:pStyle w:val="124"/>
        <w:spacing w:line="360" w:lineRule="auto"/>
        <w:ind w:firstLine="371" w:firstLineChars="177"/>
        <w:rPr>
          <w:rFonts w:hAnsi="宋体" w:cs="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1.保险单号：</w:t>
      </w:r>
      <w:r>
        <w:rPr>
          <w:rFonts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w:t>
      </w:r>
    </w:p>
    <w:p w14:paraId="14FAD930">
      <w:pPr>
        <w:pStyle w:val="124"/>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履约保证保险金额人民币（大写）</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元（</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w:t>
      </w:r>
    </w:p>
    <w:p w14:paraId="38E40E44">
      <w:pPr>
        <w:pStyle w:val="57"/>
        <w:spacing w:line="36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3</w:t>
      </w:r>
      <w:r>
        <w:rPr>
          <w:rFonts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保险有效期自发包人与设计人签订的合同生效之日起至发包人签收最后一批设计（勘察）成果文件之日起28日后失效。</w:t>
      </w:r>
    </w:p>
    <w:p w14:paraId="13985FC6">
      <w:pPr>
        <w:pStyle w:val="57"/>
        <w:spacing w:line="36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4</w:t>
      </w:r>
      <w:r>
        <w:rPr>
          <w:rFonts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在本保险有效期内，因设计人违反合同约定的义务给你方造成经济损失时，我方在收到你方以书面形式提出的在履约保证保险金额内的赔偿要求后，在</w:t>
      </w:r>
      <w:r>
        <w:rPr>
          <w:rFonts w:ascii="宋体" w:hAnsi="宋体" w:eastAsia="宋体"/>
          <w:color w:val="000000" w:themeColor="text1"/>
          <w:sz w:val="21"/>
          <w:szCs w:val="21"/>
          <w:highlight w:val="none"/>
          <w14:textFill>
            <w14:solidFill>
              <w14:schemeClr w14:val="tx1"/>
            </w14:solidFill>
          </w14:textFill>
        </w:rPr>
        <w:t>7</w:t>
      </w:r>
      <w:r>
        <w:rPr>
          <w:rFonts w:hint="eastAsia" w:ascii="宋体" w:hAnsi="宋体" w:eastAsia="宋体"/>
          <w:color w:val="000000" w:themeColor="text1"/>
          <w:sz w:val="21"/>
          <w:szCs w:val="21"/>
          <w:highlight w:val="none"/>
          <w14:textFill>
            <w14:solidFill>
              <w14:schemeClr w14:val="tx1"/>
            </w14:solidFill>
          </w14:textFill>
        </w:rPr>
        <w:t>天内无条件支付。</w:t>
      </w:r>
    </w:p>
    <w:p w14:paraId="47C050FF">
      <w:pPr>
        <w:pStyle w:val="57"/>
        <w:spacing w:line="360" w:lineRule="auto"/>
        <w:ind w:firstLine="426"/>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w:t>
      </w:r>
      <w:r>
        <w:rPr>
          <w:rFonts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发包人和设计人按合同约定变更合同时，我方承担保险合同约定的义务不变。</w:t>
      </w:r>
    </w:p>
    <w:p w14:paraId="1F390A16">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6.因本</w:t>
      </w:r>
      <w:r>
        <w:rPr>
          <w:rFonts w:hint="eastAsia" w:ascii="宋体" w:hAnsi="宋体" w:cs="宋体"/>
          <w:color w:val="000000" w:themeColor="text1"/>
          <w:sz w:val="21"/>
          <w:szCs w:val="21"/>
          <w:highlight w:val="none"/>
          <w14:textFill>
            <w14:solidFill>
              <w14:schemeClr w14:val="tx1"/>
            </w14:solidFill>
          </w14:textFill>
        </w:rPr>
        <w:t>保险</w:t>
      </w:r>
      <w:r>
        <w:rPr>
          <w:rFonts w:hint="eastAsia" w:ascii="宋体" w:hAnsi="宋体"/>
          <w:color w:val="000000" w:themeColor="text1"/>
          <w:sz w:val="21"/>
          <w:szCs w:val="21"/>
          <w:highlight w:val="none"/>
          <w14:textFill>
            <w14:solidFill>
              <w14:schemeClr w14:val="tx1"/>
            </w14:solidFill>
          </w14:textFill>
        </w:rPr>
        <w:t>发生的纠纷，可由双方协商解决，协商不成的，任何一方应向《建设工程设计合同》专用条款第17.4款约定的同一仲裁或诉讼机构提起仲裁或诉讼。</w:t>
      </w:r>
    </w:p>
    <w:p w14:paraId="6B6C6D9C">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7.本</w:t>
      </w:r>
      <w:r>
        <w:rPr>
          <w:rFonts w:hint="eastAsia" w:ascii="宋体" w:hAnsi="宋体" w:cs="宋体"/>
          <w:color w:val="000000" w:themeColor="text1"/>
          <w:sz w:val="21"/>
          <w:szCs w:val="21"/>
          <w:highlight w:val="none"/>
          <w14:textFill>
            <w14:solidFill>
              <w14:schemeClr w14:val="tx1"/>
            </w14:solidFill>
          </w14:textFill>
        </w:rPr>
        <w:t>保险</w:t>
      </w:r>
      <w:r>
        <w:rPr>
          <w:rFonts w:hint="eastAsia" w:ascii="宋体" w:hAnsi="宋体"/>
          <w:color w:val="000000" w:themeColor="text1"/>
          <w:sz w:val="21"/>
          <w:szCs w:val="21"/>
          <w:highlight w:val="none"/>
          <w14:textFill>
            <w14:solidFill>
              <w14:schemeClr w14:val="tx1"/>
            </w14:solidFill>
          </w14:textFill>
        </w:rPr>
        <w:t>自我方法定代表人（或其委托代理人）签字并加盖公章之日起生效。</w:t>
      </w:r>
    </w:p>
    <w:p w14:paraId="7CF6448C">
      <w:pPr>
        <w:pStyle w:val="57"/>
        <w:spacing w:line="360" w:lineRule="auto"/>
        <w:rPr>
          <w:rFonts w:ascii="宋体" w:hAnsi="宋体" w:eastAsia="宋体"/>
          <w:color w:val="000000" w:themeColor="text1"/>
          <w:sz w:val="21"/>
          <w:szCs w:val="21"/>
          <w:highlight w:val="none"/>
          <w14:textFill>
            <w14:solidFill>
              <w14:schemeClr w14:val="tx1"/>
            </w14:solidFill>
          </w14:textFill>
        </w:rPr>
      </w:pPr>
    </w:p>
    <w:p w14:paraId="179239A8">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保 险 人：</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（盖单位公章）</w:t>
      </w:r>
    </w:p>
    <w:p w14:paraId="78862B74">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法定代表人或其委托代理人：</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（签字）</w:t>
      </w:r>
    </w:p>
    <w:p w14:paraId="6729D153">
      <w:pPr>
        <w:pStyle w:val="65"/>
        <w:spacing w:after="0" w:line="360" w:lineRule="auto"/>
        <w:ind w:firstLine="3968" w:firstLineChars="189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    址：</w:t>
      </w:r>
      <w:r>
        <w:rPr>
          <w:rFonts w:hint="eastAsia"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674E0345">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邮政编码：</w:t>
      </w:r>
      <w:r>
        <w:rPr>
          <w:rFonts w:hint="eastAsia"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37D7A69B">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    话：</w:t>
      </w:r>
      <w:r>
        <w:rPr>
          <w:rFonts w:hint="eastAsia"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7738957D">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传    真：</w:t>
      </w:r>
      <w:r>
        <w:rPr>
          <w:rFonts w:hint="eastAsia"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67BF5560">
      <w:pPr>
        <w:spacing w:line="360" w:lineRule="auto"/>
        <w:ind w:firstLine="4095" w:firstLineChars="19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01E0810E">
      <w:pPr>
        <w:spacing w:line="360" w:lineRule="auto"/>
        <w:ind w:firstLine="6090" w:firstLineChars="2900"/>
        <w:jc w:val="left"/>
        <w:rPr>
          <w:rFonts w:ascii="宋体" w:hAnsi="宋体"/>
          <w:color w:val="000000" w:themeColor="text1"/>
          <w:sz w:val="21"/>
          <w:szCs w:val="21"/>
          <w:highlight w:val="none"/>
          <w14:textFill>
            <w14:solidFill>
              <w14:schemeClr w14:val="tx1"/>
            </w14:solidFill>
          </w14:textFill>
        </w:rPr>
      </w:pPr>
    </w:p>
    <w:p w14:paraId="3EE268BE">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注：</w:t>
      </w:r>
      <w:r>
        <w:rPr>
          <w:rFonts w:hint="eastAsia" w:ascii="宋体" w:hAnsi="宋体"/>
          <w:color w:val="000000" w:themeColor="text1"/>
          <w:sz w:val="21"/>
          <w:szCs w:val="21"/>
          <w:highlight w:val="none"/>
          <w14:textFill>
            <w14:solidFill>
              <w14:schemeClr w14:val="tx1"/>
            </w14:solidFill>
          </w14:textFill>
        </w:rPr>
        <w:t>本履约保证保险（凭证）格式可以采用经发包人同意的其他格式，但相关内容不得违背合同约定的实质性内容。</w:t>
      </w:r>
    </w:p>
    <w:p w14:paraId="3BDBE6FC">
      <w:pPr>
        <w:spacing w:line="360" w:lineRule="auto"/>
        <w:jc w:val="left"/>
        <w:rPr>
          <w:rFonts w:ascii="宋体" w:hAnsi="宋体"/>
          <w:b/>
          <w:color w:val="000000" w:themeColor="text1"/>
          <w:sz w:val="21"/>
          <w:szCs w:val="21"/>
          <w:highlight w:val="none"/>
          <w14:textFill>
            <w14:solidFill>
              <w14:schemeClr w14:val="tx1"/>
            </w14:solidFill>
          </w14:textFill>
        </w:rPr>
      </w:pPr>
    </w:p>
    <w:p w14:paraId="3B0E9846">
      <w:pPr>
        <w:spacing w:line="360" w:lineRule="auto"/>
        <w:jc w:val="left"/>
        <w:rPr>
          <w:rFonts w:ascii="宋体" w:hAnsi="宋体"/>
          <w:b/>
          <w:color w:val="000000" w:themeColor="text1"/>
          <w:sz w:val="21"/>
          <w:szCs w:val="21"/>
          <w:highlight w:val="none"/>
          <w14:textFill>
            <w14:solidFill>
              <w14:schemeClr w14:val="tx1"/>
            </w14:solidFill>
          </w14:textFill>
        </w:rPr>
      </w:pPr>
    </w:p>
    <w:p w14:paraId="1CBC05CD">
      <w:pPr>
        <w:rPr>
          <w:rFonts w:ascii="黑体" w:hAnsi="黑体" w:eastAsia="黑体"/>
          <w:color w:val="000000" w:themeColor="text1"/>
          <w:sz w:val="21"/>
          <w:szCs w:val="21"/>
          <w:highlight w:val="none"/>
          <w14:textFill>
            <w14:solidFill>
              <w14:schemeClr w14:val="tx1"/>
            </w14:solidFill>
          </w14:textFill>
        </w:rPr>
      </w:pPr>
    </w:p>
    <w:p w14:paraId="4762B4C5">
      <w:pP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附件5-6：</w:t>
      </w:r>
    </w:p>
    <w:p w14:paraId="523D1C77">
      <w:pPr>
        <w:spacing w:line="440" w:lineRule="exact"/>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联合体协议书（如有）</w:t>
      </w:r>
    </w:p>
    <w:p w14:paraId="21474A07">
      <w:pPr>
        <w:spacing w:line="440" w:lineRule="exact"/>
        <w:rPr>
          <w:rFonts w:ascii="宋体" w:hAnsi="宋体"/>
          <w:color w:val="000000" w:themeColor="text1"/>
          <w:sz w:val="30"/>
          <w:szCs w:val="30"/>
          <w:highlight w:val="none"/>
          <w14:textFill>
            <w14:solidFill>
              <w14:schemeClr w14:val="tx1"/>
            </w14:solidFill>
          </w14:textFill>
        </w:rPr>
      </w:pPr>
    </w:p>
    <w:p w14:paraId="13F60242">
      <w:pPr>
        <w:spacing w:line="440" w:lineRule="exact"/>
        <w:rPr>
          <w:rFonts w:ascii="宋体" w:hAnsi="宋体"/>
          <w:color w:val="000000" w:themeColor="text1"/>
          <w:sz w:val="30"/>
          <w:szCs w:val="30"/>
          <w:highlight w:val="none"/>
          <w14:textFill>
            <w14:solidFill>
              <w14:schemeClr w14:val="tx1"/>
            </w14:solidFill>
          </w14:textFill>
        </w:rPr>
      </w:pPr>
    </w:p>
    <w:p w14:paraId="51F7B0B9">
      <w:pPr>
        <w:spacing w:line="440" w:lineRule="exact"/>
        <w:rPr>
          <w:rFonts w:ascii="宋体" w:hAnsi="宋体"/>
          <w:color w:val="000000" w:themeColor="text1"/>
          <w:sz w:val="30"/>
          <w:szCs w:val="30"/>
          <w:highlight w:val="none"/>
          <w14:textFill>
            <w14:solidFill>
              <w14:schemeClr w14:val="tx1"/>
            </w14:solidFill>
          </w14:textFill>
        </w:rPr>
      </w:pPr>
    </w:p>
    <w:p w14:paraId="1D828E60">
      <w:pPr>
        <w:spacing w:line="440" w:lineRule="exact"/>
        <w:rPr>
          <w:rFonts w:ascii="宋体" w:hAnsi="宋体"/>
          <w:color w:val="000000" w:themeColor="text1"/>
          <w:sz w:val="30"/>
          <w:szCs w:val="30"/>
          <w:highlight w:val="none"/>
          <w14:textFill>
            <w14:solidFill>
              <w14:schemeClr w14:val="tx1"/>
            </w14:solidFill>
          </w14:textFill>
        </w:rPr>
      </w:pPr>
    </w:p>
    <w:p w14:paraId="290AEC68">
      <w:pPr>
        <w:spacing w:line="440" w:lineRule="exact"/>
        <w:rPr>
          <w:rFonts w:ascii="宋体" w:hAnsi="宋体"/>
          <w:color w:val="000000" w:themeColor="text1"/>
          <w:sz w:val="30"/>
          <w:szCs w:val="30"/>
          <w:highlight w:val="none"/>
          <w14:textFill>
            <w14:solidFill>
              <w14:schemeClr w14:val="tx1"/>
            </w14:solidFill>
          </w14:textFill>
        </w:rPr>
      </w:pPr>
    </w:p>
    <w:p w14:paraId="19120766">
      <w:pPr>
        <w:spacing w:line="440" w:lineRule="exact"/>
        <w:rPr>
          <w:rFonts w:ascii="宋体" w:hAnsi="宋体"/>
          <w:color w:val="000000" w:themeColor="text1"/>
          <w:sz w:val="30"/>
          <w:szCs w:val="30"/>
          <w:highlight w:val="none"/>
          <w14:textFill>
            <w14:solidFill>
              <w14:schemeClr w14:val="tx1"/>
            </w14:solidFill>
          </w14:textFill>
        </w:rPr>
      </w:pPr>
    </w:p>
    <w:p w14:paraId="729C5F82">
      <w:pPr>
        <w:spacing w:line="440" w:lineRule="exact"/>
        <w:rPr>
          <w:rFonts w:ascii="宋体" w:hAnsi="宋体"/>
          <w:color w:val="000000" w:themeColor="text1"/>
          <w:sz w:val="30"/>
          <w:szCs w:val="30"/>
          <w:highlight w:val="none"/>
          <w14:textFill>
            <w14:solidFill>
              <w14:schemeClr w14:val="tx1"/>
            </w14:solidFill>
          </w14:textFill>
        </w:rPr>
      </w:pPr>
    </w:p>
    <w:p w14:paraId="78030B5A">
      <w:pPr>
        <w:spacing w:line="440" w:lineRule="exact"/>
        <w:rPr>
          <w:rFonts w:ascii="宋体" w:hAnsi="宋体"/>
          <w:color w:val="000000" w:themeColor="text1"/>
          <w:sz w:val="30"/>
          <w:szCs w:val="30"/>
          <w:highlight w:val="none"/>
          <w14:textFill>
            <w14:solidFill>
              <w14:schemeClr w14:val="tx1"/>
            </w14:solidFill>
          </w14:textFill>
        </w:rPr>
      </w:pPr>
    </w:p>
    <w:p w14:paraId="0144DF7A">
      <w:pPr>
        <w:spacing w:line="440" w:lineRule="exact"/>
        <w:rPr>
          <w:rFonts w:ascii="宋体" w:hAnsi="宋体"/>
          <w:color w:val="000000" w:themeColor="text1"/>
          <w:sz w:val="30"/>
          <w:szCs w:val="30"/>
          <w:highlight w:val="none"/>
          <w14:textFill>
            <w14:solidFill>
              <w14:schemeClr w14:val="tx1"/>
            </w14:solidFill>
          </w14:textFill>
        </w:rPr>
      </w:pPr>
    </w:p>
    <w:p w14:paraId="3154A6D8">
      <w:pPr>
        <w:spacing w:line="440" w:lineRule="exact"/>
        <w:rPr>
          <w:rFonts w:ascii="宋体" w:hAnsi="宋体"/>
          <w:color w:val="000000" w:themeColor="text1"/>
          <w:sz w:val="30"/>
          <w:szCs w:val="30"/>
          <w:highlight w:val="none"/>
          <w14:textFill>
            <w14:solidFill>
              <w14:schemeClr w14:val="tx1"/>
            </w14:solidFill>
          </w14:textFill>
        </w:rPr>
      </w:pPr>
    </w:p>
    <w:p w14:paraId="6D64521E">
      <w:pPr>
        <w:spacing w:line="440" w:lineRule="exact"/>
        <w:rPr>
          <w:rFonts w:ascii="宋体" w:hAnsi="宋体"/>
          <w:color w:val="000000" w:themeColor="text1"/>
          <w:sz w:val="30"/>
          <w:szCs w:val="30"/>
          <w:highlight w:val="none"/>
          <w14:textFill>
            <w14:solidFill>
              <w14:schemeClr w14:val="tx1"/>
            </w14:solidFill>
          </w14:textFill>
        </w:rPr>
      </w:pPr>
    </w:p>
    <w:p w14:paraId="0591E1E8">
      <w:pPr>
        <w:spacing w:line="440" w:lineRule="exact"/>
        <w:rPr>
          <w:rFonts w:ascii="宋体" w:hAnsi="宋体"/>
          <w:color w:val="000000" w:themeColor="text1"/>
          <w:sz w:val="30"/>
          <w:szCs w:val="30"/>
          <w:highlight w:val="none"/>
          <w14:textFill>
            <w14:solidFill>
              <w14:schemeClr w14:val="tx1"/>
            </w14:solidFill>
          </w14:textFill>
        </w:rPr>
      </w:pPr>
    </w:p>
    <w:p w14:paraId="6A3955EC">
      <w:pPr>
        <w:spacing w:line="440" w:lineRule="exact"/>
        <w:rPr>
          <w:rFonts w:ascii="宋体" w:hAnsi="宋体"/>
          <w:color w:val="000000" w:themeColor="text1"/>
          <w:sz w:val="30"/>
          <w:szCs w:val="30"/>
          <w:highlight w:val="none"/>
          <w14:textFill>
            <w14:solidFill>
              <w14:schemeClr w14:val="tx1"/>
            </w14:solidFill>
          </w14:textFill>
        </w:rPr>
      </w:pPr>
    </w:p>
    <w:p w14:paraId="3431786F">
      <w:pPr>
        <w:spacing w:line="440" w:lineRule="exact"/>
        <w:rPr>
          <w:rFonts w:ascii="宋体" w:hAnsi="宋体"/>
          <w:color w:val="000000" w:themeColor="text1"/>
          <w:sz w:val="30"/>
          <w:szCs w:val="30"/>
          <w:highlight w:val="none"/>
          <w14:textFill>
            <w14:solidFill>
              <w14:schemeClr w14:val="tx1"/>
            </w14:solidFill>
          </w14:textFill>
        </w:rPr>
      </w:pPr>
    </w:p>
    <w:p w14:paraId="115318BC">
      <w:pPr>
        <w:spacing w:line="440" w:lineRule="exact"/>
        <w:rPr>
          <w:rFonts w:ascii="宋体" w:hAnsi="宋体"/>
          <w:color w:val="000000" w:themeColor="text1"/>
          <w:sz w:val="30"/>
          <w:szCs w:val="30"/>
          <w:highlight w:val="none"/>
          <w14:textFill>
            <w14:solidFill>
              <w14:schemeClr w14:val="tx1"/>
            </w14:solidFill>
          </w14:textFill>
        </w:rPr>
      </w:pPr>
    </w:p>
    <w:p w14:paraId="29855217">
      <w:pPr>
        <w:spacing w:line="440" w:lineRule="exact"/>
        <w:rPr>
          <w:rFonts w:ascii="宋体" w:hAnsi="宋体"/>
          <w:color w:val="000000" w:themeColor="text1"/>
          <w:sz w:val="30"/>
          <w:szCs w:val="30"/>
          <w:highlight w:val="none"/>
          <w14:textFill>
            <w14:solidFill>
              <w14:schemeClr w14:val="tx1"/>
            </w14:solidFill>
          </w14:textFill>
        </w:rPr>
      </w:pPr>
    </w:p>
    <w:p w14:paraId="7450CCD0">
      <w:pPr>
        <w:spacing w:line="440" w:lineRule="exact"/>
        <w:rPr>
          <w:rFonts w:ascii="宋体" w:hAnsi="宋体"/>
          <w:color w:val="000000" w:themeColor="text1"/>
          <w:sz w:val="30"/>
          <w:szCs w:val="30"/>
          <w:highlight w:val="none"/>
          <w14:textFill>
            <w14:solidFill>
              <w14:schemeClr w14:val="tx1"/>
            </w14:solidFill>
          </w14:textFill>
        </w:rPr>
      </w:pPr>
    </w:p>
    <w:p w14:paraId="21862B5D">
      <w:pPr>
        <w:spacing w:line="440" w:lineRule="exact"/>
        <w:rPr>
          <w:rFonts w:ascii="宋体" w:hAnsi="宋体"/>
          <w:color w:val="000000" w:themeColor="text1"/>
          <w:sz w:val="30"/>
          <w:szCs w:val="30"/>
          <w:highlight w:val="none"/>
          <w14:textFill>
            <w14:solidFill>
              <w14:schemeClr w14:val="tx1"/>
            </w14:solidFill>
          </w14:textFill>
        </w:rPr>
      </w:pPr>
    </w:p>
    <w:p w14:paraId="540FF849">
      <w:pPr>
        <w:spacing w:line="440" w:lineRule="exact"/>
        <w:rPr>
          <w:rFonts w:ascii="宋体" w:hAnsi="宋体"/>
          <w:color w:val="000000" w:themeColor="text1"/>
          <w:sz w:val="30"/>
          <w:szCs w:val="30"/>
          <w:highlight w:val="none"/>
          <w14:textFill>
            <w14:solidFill>
              <w14:schemeClr w14:val="tx1"/>
            </w14:solidFill>
          </w14:textFill>
        </w:rPr>
      </w:pPr>
    </w:p>
    <w:p w14:paraId="406B38AA">
      <w:pPr>
        <w:spacing w:line="440" w:lineRule="exact"/>
        <w:rPr>
          <w:rFonts w:ascii="宋体" w:hAnsi="宋体"/>
          <w:color w:val="000000" w:themeColor="text1"/>
          <w:sz w:val="30"/>
          <w:szCs w:val="30"/>
          <w:highlight w:val="none"/>
          <w14:textFill>
            <w14:solidFill>
              <w14:schemeClr w14:val="tx1"/>
            </w14:solidFill>
          </w14:textFill>
        </w:rPr>
      </w:pPr>
    </w:p>
    <w:p w14:paraId="369ABFE6">
      <w:pPr>
        <w:spacing w:line="440" w:lineRule="exact"/>
        <w:rPr>
          <w:rFonts w:ascii="宋体" w:hAnsi="宋体"/>
          <w:color w:val="000000" w:themeColor="text1"/>
          <w:sz w:val="30"/>
          <w:szCs w:val="30"/>
          <w:highlight w:val="none"/>
          <w14:textFill>
            <w14:solidFill>
              <w14:schemeClr w14:val="tx1"/>
            </w14:solidFill>
          </w14:textFill>
        </w:rPr>
      </w:pPr>
    </w:p>
    <w:p w14:paraId="39B715AA">
      <w:pPr>
        <w:spacing w:line="440" w:lineRule="exact"/>
        <w:rPr>
          <w:rFonts w:ascii="宋体" w:hAnsi="宋体"/>
          <w:color w:val="000000" w:themeColor="text1"/>
          <w:sz w:val="30"/>
          <w:szCs w:val="30"/>
          <w:highlight w:val="none"/>
          <w14:textFill>
            <w14:solidFill>
              <w14:schemeClr w14:val="tx1"/>
            </w14:solidFill>
          </w14:textFill>
        </w:rPr>
      </w:pPr>
    </w:p>
    <w:p w14:paraId="29C6A1B7">
      <w:pPr>
        <w:spacing w:line="440" w:lineRule="exact"/>
        <w:rPr>
          <w:rFonts w:ascii="宋体" w:hAnsi="宋体"/>
          <w:color w:val="000000" w:themeColor="text1"/>
          <w:sz w:val="30"/>
          <w:szCs w:val="30"/>
          <w:highlight w:val="none"/>
          <w14:textFill>
            <w14:solidFill>
              <w14:schemeClr w14:val="tx1"/>
            </w14:solidFill>
          </w14:textFill>
        </w:rPr>
      </w:pPr>
    </w:p>
    <w:p w14:paraId="2A4C974C">
      <w:pPr>
        <w:spacing w:line="440" w:lineRule="exact"/>
        <w:rPr>
          <w:rFonts w:ascii="宋体" w:hAnsi="宋体"/>
          <w:color w:val="000000" w:themeColor="text1"/>
          <w:sz w:val="30"/>
          <w:szCs w:val="30"/>
          <w:highlight w:val="none"/>
          <w14:textFill>
            <w14:solidFill>
              <w14:schemeClr w14:val="tx1"/>
            </w14:solidFill>
          </w14:textFill>
        </w:rPr>
      </w:pPr>
    </w:p>
    <w:p w14:paraId="50B04D6B">
      <w:pPr>
        <w:spacing w:line="440" w:lineRule="exact"/>
        <w:rPr>
          <w:rFonts w:ascii="宋体" w:hAnsi="宋体"/>
          <w:color w:val="000000" w:themeColor="text1"/>
          <w:sz w:val="30"/>
          <w:szCs w:val="30"/>
          <w:highlight w:val="none"/>
          <w14:textFill>
            <w14:solidFill>
              <w14:schemeClr w14:val="tx1"/>
            </w14:solidFill>
          </w14:textFill>
        </w:rPr>
      </w:pPr>
    </w:p>
    <w:p w14:paraId="364FAA1F">
      <w:pPr>
        <w:spacing w:line="440" w:lineRule="exact"/>
        <w:rPr>
          <w:rFonts w:ascii="宋体" w:hAnsi="宋体"/>
          <w:color w:val="000000" w:themeColor="text1"/>
          <w:sz w:val="30"/>
          <w:szCs w:val="30"/>
          <w:highlight w:val="none"/>
          <w14:textFill>
            <w14:solidFill>
              <w14:schemeClr w14:val="tx1"/>
            </w14:solidFill>
          </w14:textFill>
        </w:rPr>
      </w:pPr>
    </w:p>
    <w:p w14:paraId="290A0ADC">
      <w:pPr>
        <w:spacing w:line="440" w:lineRule="exact"/>
        <w:rPr>
          <w:rFonts w:ascii="宋体" w:hAnsi="宋体"/>
          <w:color w:val="000000" w:themeColor="text1"/>
          <w:sz w:val="30"/>
          <w:szCs w:val="30"/>
          <w:highlight w:val="none"/>
          <w14:textFill>
            <w14:solidFill>
              <w14:schemeClr w14:val="tx1"/>
            </w14:solidFill>
          </w14:textFill>
        </w:rPr>
      </w:pPr>
    </w:p>
    <w:p w14:paraId="6C48D745">
      <w:pPr>
        <w:spacing w:line="440" w:lineRule="exact"/>
        <w:rPr>
          <w:rFonts w:ascii="宋体" w:hAnsi="宋体"/>
          <w:color w:val="000000" w:themeColor="text1"/>
          <w:sz w:val="30"/>
          <w:szCs w:val="30"/>
          <w:highlight w:val="none"/>
          <w14:textFill>
            <w14:solidFill>
              <w14:schemeClr w14:val="tx1"/>
            </w14:solidFill>
          </w14:textFill>
        </w:rPr>
      </w:pPr>
    </w:p>
    <w:p w14:paraId="03A9AE54">
      <w:pPr>
        <w:spacing w:line="440" w:lineRule="exact"/>
        <w:rPr>
          <w:rFonts w:ascii="宋体" w:hAnsi="宋体"/>
          <w:color w:val="000000" w:themeColor="text1"/>
          <w:sz w:val="30"/>
          <w:szCs w:val="30"/>
          <w:highlight w:val="none"/>
          <w14:textFill>
            <w14:solidFill>
              <w14:schemeClr w14:val="tx1"/>
            </w14:solidFill>
          </w14:textFill>
        </w:rPr>
      </w:pPr>
    </w:p>
    <w:p w14:paraId="6FC6BF08">
      <w:pPr>
        <w:spacing w:line="440" w:lineRule="exact"/>
        <w:rPr>
          <w:rFonts w:ascii="宋体" w:hAnsi="宋体"/>
          <w:color w:val="000000" w:themeColor="text1"/>
          <w:sz w:val="30"/>
          <w:szCs w:val="30"/>
          <w:highlight w:val="none"/>
          <w14:textFill>
            <w14:solidFill>
              <w14:schemeClr w14:val="tx1"/>
            </w14:solidFill>
          </w14:textFill>
        </w:rPr>
      </w:pPr>
    </w:p>
    <w:p w14:paraId="4A31711B">
      <w:pPr>
        <w:spacing w:line="440" w:lineRule="exact"/>
        <w:rPr>
          <w:rFonts w:ascii="宋体" w:hAnsi="宋体"/>
          <w:color w:val="000000" w:themeColor="text1"/>
          <w:sz w:val="30"/>
          <w:szCs w:val="30"/>
          <w:highlight w:val="none"/>
          <w14:textFill>
            <w14:solidFill>
              <w14:schemeClr w14:val="tx1"/>
            </w14:solidFill>
          </w14:textFill>
        </w:rPr>
      </w:pPr>
    </w:p>
    <w:p w14:paraId="5373CDB4">
      <w:pPr>
        <w:pStyle w:val="2"/>
        <w:spacing w:before="3000"/>
        <w:jc w:val="center"/>
        <w:rPr>
          <w:rFonts w:ascii="黑体" w:hAnsi="黑体" w:eastAsia="黑体"/>
          <w:b w:val="0"/>
          <w:color w:val="000000" w:themeColor="text1"/>
          <w:highlight w:val="none"/>
          <w14:textFill>
            <w14:solidFill>
              <w14:schemeClr w14:val="tx1"/>
            </w14:solidFill>
          </w14:textFill>
        </w:rPr>
      </w:pPr>
      <w:bookmarkStart w:id="895" w:name="_Toc6951"/>
      <w:bookmarkStart w:id="896" w:name="_Toc23058"/>
      <w:bookmarkStart w:id="897" w:name="_Toc12283"/>
      <w:r>
        <w:rPr>
          <w:rFonts w:hint="eastAsia" w:ascii="黑体" w:hAnsi="黑体" w:eastAsia="黑体"/>
          <w:b w:val="0"/>
          <w:color w:val="000000" w:themeColor="text1"/>
          <w:highlight w:val="none"/>
          <w14:textFill>
            <w14:solidFill>
              <w14:schemeClr w14:val="tx1"/>
            </w14:solidFill>
          </w14:textFill>
        </w:rPr>
        <w:t>第二卷</w:t>
      </w:r>
      <w:bookmarkEnd w:id="895"/>
      <w:bookmarkEnd w:id="896"/>
      <w:bookmarkEnd w:id="897"/>
    </w:p>
    <w:p w14:paraId="4FA5586E">
      <w:pPr>
        <w:rPr>
          <w:color w:val="000000" w:themeColor="text1"/>
          <w:highlight w:val="none"/>
          <w14:textFill>
            <w14:solidFill>
              <w14:schemeClr w14:val="tx1"/>
            </w14:solidFill>
          </w14:textFill>
        </w:rPr>
      </w:pPr>
    </w:p>
    <w:p w14:paraId="64BFCAF2">
      <w:pPr>
        <w:rPr>
          <w:color w:val="000000" w:themeColor="text1"/>
          <w:highlight w:val="none"/>
          <w14:textFill>
            <w14:solidFill>
              <w14:schemeClr w14:val="tx1"/>
            </w14:solidFill>
          </w14:textFill>
        </w:rPr>
      </w:pPr>
    </w:p>
    <w:p w14:paraId="40F15B75">
      <w:pPr>
        <w:rPr>
          <w:color w:val="000000" w:themeColor="text1"/>
          <w:highlight w:val="none"/>
          <w14:textFill>
            <w14:solidFill>
              <w14:schemeClr w14:val="tx1"/>
            </w14:solidFill>
          </w14:textFill>
        </w:rPr>
      </w:pPr>
    </w:p>
    <w:p w14:paraId="34313DAA">
      <w:pPr>
        <w:rPr>
          <w:color w:val="000000" w:themeColor="text1"/>
          <w:highlight w:val="none"/>
          <w14:textFill>
            <w14:solidFill>
              <w14:schemeClr w14:val="tx1"/>
            </w14:solidFill>
          </w14:textFill>
        </w:rPr>
      </w:pPr>
    </w:p>
    <w:p w14:paraId="2ABC03C7">
      <w:pPr>
        <w:rPr>
          <w:color w:val="000000" w:themeColor="text1"/>
          <w:highlight w:val="none"/>
          <w14:textFill>
            <w14:solidFill>
              <w14:schemeClr w14:val="tx1"/>
            </w14:solidFill>
          </w14:textFill>
        </w:rPr>
      </w:pPr>
    </w:p>
    <w:p w14:paraId="4A22D083">
      <w:pPr>
        <w:rPr>
          <w:color w:val="000000" w:themeColor="text1"/>
          <w:highlight w:val="none"/>
          <w14:textFill>
            <w14:solidFill>
              <w14:schemeClr w14:val="tx1"/>
            </w14:solidFill>
          </w14:textFill>
        </w:rPr>
      </w:pPr>
    </w:p>
    <w:p w14:paraId="7E70D45C">
      <w:pPr>
        <w:rPr>
          <w:color w:val="000000" w:themeColor="text1"/>
          <w:highlight w:val="none"/>
          <w14:textFill>
            <w14:solidFill>
              <w14:schemeClr w14:val="tx1"/>
            </w14:solidFill>
          </w14:textFill>
        </w:rPr>
      </w:pPr>
    </w:p>
    <w:p w14:paraId="2AE28D32">
      <w:pPr>
        <w:rPr>
          <w:color w:val="000000" w:themeColor="text1"/>
          <w:highlight w:val="none"/>
          <w14:textFill>
            <w14:solidFill>
              <w14:schemeClr w14:val="tx1"/>
            </w14:solidFill>
          </w14:textFill>
        </w:rPr>
      </w:pPr>
    </w:p>
    <w:p w14:paraId="4E45849F">
      <w:pPr>
        <w:rPr>
          <w:color w:val="000000" w:themeColor="text1"/>
          <w:highlight w:val="none"/>
          <w14:textFill>
            <w14:solidFill>
              <w14:schemeClr w14:val="tx1"/>
            </w14:solidFill>
          </w14:textFill>
        </w:rPr>
      </w:pPr>
    </w:p>
    <w:p w14:paraId="002E02EC">
      <w:pPr>
        <w:rPr>
          <w:color w:val="000000" w:themeColor="text1"/>
          <w:highlight w:val="none"/>
          <w14:textFill>
            <w14:solidFill>
              <w14:schemeClr w14:val="tx1"/>
            </w14:solidFill>
          </w14:textFill>
        </w:rPr>
      </w:pPr>
    </w:p>
    <w:p w14:paraId="4DB34B78">
      <w:pPr>
        <w:rPr>
          <w:color w:val="000000" w:themeColor="text1"/>
          <w:highlight w:val="none"/>
          <w14:textFill>
            <w14:solidFill>
              <w14:schemeClr w14:val="tx1"/>
            </w14:solidFill>
          </w14:textFill>
        </w:rPr>
      </w:pPr>
    </w:p>
    <w:p w14:paraId="7FC07B6F">
      <w:pPr>
        <w:rPr>
          <w:color w:val="000000" w:themeColor="text1"/>
          <w:highlight w:val="none"/>
          <w14:textFill>
            <w14:solidFill>
              <w14:schemeClr w14:val="tx1"/>
            </w14:solidFill>
          </w14:textFill>
        </w:rPr>
      </w:pPr>
    </w:p>
    <w:p w14:paraId="68E05B7C">
      <w:pPr>
        <w:rPr>
          <w:color w:val="000000" w:themeColor="text1"/>
          <w:highlight w:val="none"/>
          <w14:textFill>
            <w14:solidFill>
              <w14:schemeClr w14:val="tx1"/>
            </w14:solidFill>
          </w14:textFill>
        </w:rPr>
      </w:pPr>
    </w:p>
    <w:p w14:paraId="498B9024">
      <w:pPr>
        <w:rPr>
          <w:color w:val="000000" w:themeColor="text1"/>
          <w:highlight w:val="none"/>
          <w14:textFill>
            <w14:solidFill>
              <w14:schemeClr w14:val="tx1"/>
            </w14:solidFill>
          </w14:textFill>
        </w:rPr>
      </w:pPr>
    </w:p>
    <w:p w14:paraId="52C038FC">
      <w:pPr>
        <w:rPr>
          <w:color w:val="000000" w:themeColor="text1"/>
          <w:highlight w:val="none"/>
          <w14:textFill>
            <w14:solidFill>
              <w14:schemeClr w14:val="tx1"/>
            </w14:solidFill>
          </w14:textFill>
        </w:rPr>
      </w:pPr>
    </w:p>
    <w:p w14:paraId="5FF76CE9">
      <w:pPr>
        <w:rPr>
          <w:color w:val="000000" w:themeColor="text1"/>
          <w:highlight w:val="none"/>
          <w14:textFill>
            <w14:solidFill>
              <w14:schemeClr w14:val="tx1"/>
            </w14:solidFill>
          </w14:textFill>
        </w:rPr>
      </w:pPr>
    </w:p>
    <w:p w14:paraId="2301ADCF">
      <w:pPr>
        <w:rPr>
          <w:color w:val="000000" w:themeColor="text1"/>
          <w:highlight w:val="none"/>
          <w14:textFill>
            <w14:solidFill>
              <w14:schemeClr w14:val="tx1"/>
            </w14:solidFill>
          </w14:textFill>
        </w:rPr>
      </w:pPr>
    </w:p>
    <w:p w14:paraId="58090182">
      <w:pPr>
        <w:rPr>
          <w:color w:val="000000" w:themeColor="text1"/>
          <w:highlight w:val="none"/>
          <w14:textFill>
            <w14:solidFill>
              <w14:schemeClr w14:val="tx1"/>
            </w14:solidFill>
          </w14:textFill>
        </w:rPr>
      </w:pPr>
    </w:p>
    <w:p w14:paraId="5930B709">
      <w:pPr>
        <w:rPr>
          <w:color w:val="000000" w:themeColor="text1"/>
          <w:highlight w:val="none"/>
          <w14:textFill>
            <w14:solidFill>
              <w14:schemeClr w14:val="tx1"/>
            </w14:solidFill>
          </w14:textFill>
        </w:rPr>
      </w:pPr>
    </w:p>
    <w:p w14:paraId="4E9C1982">
      <w:pPr>
        <w:rPr>
          <w:color w:val="000000" w:themeColor="text1"/>
          <w:highlight w:val="none"/>
          <w14:textFill>
            <w14:solidFill>
              <w14:schemeClr w14:val="tx1"/>
            </w14:solidFill>
          </w14:textFill>
        </w:rPr>
      </w:pPr>
    </w:p>
    <w:p w14:paraId="225BDB68">
      <w:pPr>
        <w:rPr>
          <w:color w:val="000000" w:themeColor="text1"/>
          <w:highlight w:val="none"/>
          <w14:textFill>
            <w14:solidFill>
              <w14:schemeClr w14:val="tx1"/>
            </w14:solidFill>
          </w14:textFill>
        </w:rPr>
      </w:pPr>
    </w:p>
    <w:p w14:paraId="079C5ABE">
      <w:pPr>
        <w:rPr>
          <w:color w:val="000000" w:themeColor="text1"/>
          <w:highlight w:val="none"/>
          <w14:textFill>
            <w14:solidFill>
              <w14:schemeClr w14:val="tx1"/>
            </w14:solidFill>
          </w14:textFill>
        </w:rPr>
      </w:pPr>
    </w:p>
    <w:p w14:paraId="5F6D6898">
      <w:pPr>
        <w:rPr>
          <w:color w:val="000000" w:themeColor="text1"/>
          <w:highlight w:val="none"/>
          <w14:textFill>
            <w14:solidFill>
              <w14:schemeClr w14:val="tx1"/>
            </w14:solidFill>
          </w14:textFill>
        </w:rPr>
      </w:pPr>
    </w:p>
    <w:p w14:paraId="32B200B6">
      <w:pPr>
        <w:rPr>
          <w:color w:val="000000" w:themeColor="text1"/>
          <w:highlight w:val="none"/>
          <w14:textFill>
            <w14:solidFill>
              <w14:schemeClr w14:val="tx1"/>
            </w14:solidFill>
          </w14:textFill>
        </w:rPr>
      </w:pPr>
    </w:p>
    <w:p w14:paraId="5784B074">
      <w:pPr>
        <w:rPr>
          <w:color w:val="000000" w:themeColor="text1"/>
          <w:highlight w:val="none"/>
          <w14:textFill>
            <w14:solidFill>
              <w14:schemeClr w14:val="tx1"/>
            </w14:solidFill>
          </w14:textFill>
        </w:rPr>
      </w:pPr>
    </w:p>
    <w:p w14:paraId="14CDA409">
      <w:pPr>
        <w:rPr>
          <w:color w:val="000000" w:themeColor="text1"/>
          <w:highlight w:val="none"/>
          <w14:textFill>
            <w14:solidFill>
              <w14:schemeClr w14:val="tx1"/>
            </w14:solidFill>
          </w14:textFill>
        </w:rPr>
      </w:pPr>
    </w:p>
    <w:p w14:paraId="40454A0C">
      <w:pPr>
        <w:rPr>
          <w:color w:val="000000" w:themeColor="text1"/>
          <w:highlight w:val="none"/>
          <w14:textFill>
            <w14:solidFill>
              <w14:schemeClr w14:val="tx1"/>
            </w14:solidFill>
          </w14:textFill>
        </w:rPr>
      </w:pPr>
    </w:p>
    <w:p w14:paraId="6800BB4D">
      <w:pPr>
        <w:pStyle w:val="3"/>
        <w:spacing w:before="3000"/>
        <w:jc w:val="center"/>
        <w:rPr>
          <w:rFonts w:ascii="黑体" w:hAnsi="黑体" w:eastAsia="黑体"/>
          <w:b w:val="0"/>
          <w:color w:val="000000" w:themeColor="text1"/>
          <w:sz w:val="44"/>
          <w:szCs w:val="44"/>
          <w:highlight w:val="none"/>
          <w14:textFill>
            <w14:solidFill>
              <w14:schemeClr w14:val="tx1"/>
            </w14:solidFill>
          </w14:textFill>
        </w:rPr>
      </w:pPr>
      <w:bookmarkStart w:id="898" w:name="_Toc12178"/>
      <w:bookmarkStart w:id="899" w:name="_Toc14174"/>
      <w:bookmarkStart w:id="900" w:name="_Toc7251"/>
      <w:r>
        <w:rPr>
          <w:rFonts w:hint="eastAsia" w:ascii="黑体" w:hAnsi="黑体" w:eastAsia="黑体"/>
          <w:b w:val="0"/>
          <w:color w:val="000000" w:themeColor="text1"/>
          <w:sz w:val="44"/>
          <w:szCs w:val="44"/>
          <w:highlight w:val="none"/>
          <w14:textFill>
            <w14:solidFill>
              <w14:schemeClr w14:val="tx1"/>
            </w14:solidFill>
          </w14:textFill>
        </w:rPr>
        <w:t>第六章 发包人要求</w:t>
      </w:r>
      <w:bookmarkEnd w:id="898"/>
      <w:bookmarkEnd w:id="899"/>
      <w:bookmarkEnd w:id="900"/>
    </w:p>
    <w:p w14:paraId="37403869">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5D0C9133">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04D6F100">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0CFEF6B7">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4AE0734A">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36062B1D">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49CEABD6">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3EEA924A">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6EFB3BEF">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046680CC">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3A871789">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1635EA76">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14:paraId="74FE4EA6">
      <w:pPr>
        <w:spacing w:beforeLines="100" w:afterLines="100" w:line="441" w:lineRule="exact"/>
        <w:ind w:right="17"/>
        <w:rPr>
          <w:rFonts w:ascii="黑体" w:hAnsi="黑体" w:eastAsia="黑体"/>
          <w:color w:val="000000" w:themeColor="text1"/>
          <w:sz w:val="28"/>
          <w:szCs w:val="28"/>
          <w:highlight w:val="none"/>
          <w14:textFill>
            <w14:solidFill>
              <w14:schemeClr w14:val="tx1"/>
            </w14:solidFill>
          </w14:textFill>
        </w:rPr>
      </w:pPr>
    </w:p>
    <w:p w14:paraId="26E81A22">
      <w:pPr>
        <w:pStyle w:val="4"/>
        <w:jc w:val="center"/>
        <w:rPr>
          <w:rFonts w:ascii="黑体" w:hAnsi="黑体" w:eastAsia="黑体"/>
          <w:b w:val="0"/>
          <w:color w:val="000000" w:themeColor="text1"/>
          <w:sz w:val="28"/>
          <w:szCs w:val="28"/>
          <w:highlight w:val="none"/>
          <w14:textFill>
            <w14:solidFill>
              <w14:schemeClr w14:val="tx1"/>
            </w14:solidFill>
          </w14:textFill>
        </w:rPr>
      </w:pPr>
      <w:bookmarkStart w:id="901" w:name="_Toc23576"/>
      <w:bookmarkStart w:id="902" w:name="_Toc23826"/>
      <w:bookmarkStart w:id="903" w:name="_Toc13809"/>
      <w:r>
        <w:rPr>
          <w:rFonts w:hint="eastAsia" w:ascii="黑体" w:hAnsi="黑体" w:eastAsia="黑体"/>
          <w:b w:val="0"/>
          <w:color w:val="000000" w:themeColor="text1"/>
          <w:sz w:val="28"/>
          <w:szCs w:val="28"/>
          <w:highlight w:val="none"/>
          <w14:textFill>
            <w14:solidFill>
              <w14:schemeClr w14:val="tx1"/>
            </w14:solidFill>
          </w14:textFill>
        </w:rPr>
        <w:t>第六章 发包人要求（适用</w:t>
      </w:r>
      <w:r>
        <w:rPr>
          <w:rFonts w:hint="eastAsia" w:ascii="黑体" w:hAnsi="黑体" w:eastAsia="黑体"/>
          <w:b w:val="0"/>
          <w:color w:val="000000" w:themeColor="text1"/>
          <w:sz w:val="28"/>
          <w:szCs w:val="28"/>
          <w:highlight w:val="none"/>
          <w:lang w:val="en-US" w:eastAsia="zh-CN"/>
          <w14:textFill>
            <w14:solidFill>
              <w14:schemeClr w14:val="tx1"/>
            </w14:solidFill>
          </w14:textFill>
        </w:rPr>
        <w:t>于</w:t>
      </w:r>
      <w:r>
        <w:rPr>
          <w:rFonts w:hint="eastAsia" w:ascii="黑体" w:hAnsi="黑体" w:eastAsia="黑体"/>
          <w:b w:val="0"/>
          <w:color w:val="000000" w:themeColor="text1"/>
          <w:sz w:val="28"/>
          <w:szCs w:val="28"/>
          <w:highlight w:val="none"/>
          <w14:textFill>
            <w14:solidFill>
              <w14:schemeClr w14:val="tx1"/>
            </w14:solidFill>
          </w14:textFill>
        </w:rPr>
        <w:t>房屋建筑工程）</w:t>
      </w:r>
      <w:bookmarkEnd w:id="901"/>
      <w:bookmarkEnd w:id="902"/>
      <w:bookmarkEnd w:id="903"/>
    </w:p>
    <w:p w14:paraId="4869BD2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04" w:name="_bookmark182"/>
      <w:bookmarkEnd w:id="904"/>
      <w:bookmarkStart w:id="905" w:name="_Toc1060"/>
      <w:bookmarkStart w:id="906" w:name="_Toc27804"/>
      <w:bookmarkStart w:id="907" w:name="_Toc21907"/>
      <w:r>
        <w:rPr>
          <w:rFonts w:ascii="黑体" w:hAnsi="黑体" w:eastAsia="黑体"/>
          <w:b w:val="0"/>
          <w:color w:val="000000" w:themeColor="text1"/>
          <w:sz w:val="28"/>
          <w:szCs w:val="28"/>
          <w:highlight w:val="none"/>
          <w14:textFill>
            <w14:solidFill>
              <w14:schemeClr w14:val="tx1"/>
            </w14:solidFill>
          </w14:textFill>
        </w:rPr>
        <w:t>一、设计要求</w:t>
      </w:r>
      <w:bookmarkEnd w:id="905"/>
      <w:bookmarkEnd w:id="906"/>
      <w:bookmarkEnd w:id="907"/>
    </w:p>
    <w:p w14:paraId="276F161B">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人应当根据项目情况在本章中明确相应的设计要求，一般应包括以下内容</w:t>
      </w:r>
      <w:r>
        <w:rPr>
          <w:rFonts w:hint="eastAsia" w:ascii="宋体" w:hAnsi="宋体"/>
          <w:color w:val="000000" w:themeColor="text1"/>
          <w:sz w:val="21"/>
          <w:szCs w:val="21"/>
          <w:highlight w:val="none"/>
          <w14:textFill>
            <w14:solidFill>
              <w14:schemeClr w14:val="tx1"/>
            </w14:solidFill>
          </w14:textFill>
        </w:rPr>
        <w:t>。</w:t>
      </w:r>
    </w:p>
    <w:p w14:paraId="50865E0B">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1.项目概况</w:t>
      </w:r>
      <w:r>
        <w:rPr>
          <w:rFonts w:hint="eastAsia" w:ascii="宋体" w:hAnsi="宋体"/>
          <w:color w:val="000000" w:themeColor="text1"/>
          <w:sz w:val="21"/>
          <w:szCs w:val="21"/>
          <w:highlight w:val="none"/>
          <w14:textFill>
            <w14:solidFill>
              <w14:schemeClr w14:val="tx1"/>
            </w14:solidFill>
          </w14:textFill>
        </w:rPr>
        <w:t>（包括项目名称、基本情况、使用性质、周边环境、交通情况、自然地理条件、气候及气象条件、抗震设防要求等）：</w:t>
      </w:r>
    </w:p>
    <w:p w14:paraId="38DDCA3B">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33C93CAF">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7824DC6">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设计目的和任务（包括设计项目所要达到的目的，以及设计单位应承担的任务）：</w:t>
      </w:r>
    </w:p>
    <w:p w14:paraId="1E1116DD">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5391CC59">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606357E2">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3.设计条件【包括主要经济技术指标要求（详见规划意见书）、用地及建设规模、建筑退红线、建筑高度、建筑密度、绿地率、交通规划条件、市政规划条件等要求】：</w:t>
      </w:r>
    </w:p>
    <w:p w14:paraId="748AD9E4">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BB5761C">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79B43E91">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4.项目功能要求（包括设计原则、指导思想、功能定位等）：</w:t>
      </w:r>
    </w:p>
    <w:p w14:paraId="14D3C4D7">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BA6A10F">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3C03CB60">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各专业系统设计要求（包括根据招标类型及工程项目实际情况，对建筑、结构、采暖通风、给水排水、电气、人防、节能、环保、消防、安防等专业提出要求）：</w:t>
      </w:r>
    </w:p>
    <w:p w14:paraId="70DA2C21">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07843485">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CDD8335">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.BIM </w:t>
      </w:r>
      <w:r>
        <w:rPr>
          <w:rFonts w:hint="eastAsia" w:ascii="宋体" w:hAnsi="宋体"/>
          <w:color w:val="000000" w:themeColor="text1"/>
          <w:sz w:val="21"/>
          <w:szCs w:val="21"/>
          <w:highlight w:val="none"/>
          <w14:textFill>
            <w14:solidFill>
              <w14:schemeClr w14:val="tx1"/>
            </w14:solidFill>
          </w14:textFill>
        </w:rPr>
        <w:t>技术应用要求（如有，根据招标类型及工程项目实际情况，对设计、施工、运营维护的某一阶段或者几个阶段的</w:t>
      </w:r>
      <w:r>
        <w:rPr>
          <w:rFonts w:ascii="宋体" w:hAnsi="宋体"/>
          <w:color w:val="000000" w:themeColor="text1"/>
          <w:sz w:val="21"/>
          <w:szCs w:val="21"/>
          <w:highlight w:val="none"/>
          <w14:textFill>
            <w14:solidFill>
              <w14:schemeClr w14:val="tx1"/>
            </w14:solidFill>
          </w14:textFill>
        </w:rPr>
        <w:t xml:space="preserve">BIM </w:t>
      </w:r>
      <w:r>
        <w:rPr>
          <w:rFonts w:hint="eastAsia" w:ascii="宋体" w:hAnsi="宋体"/>
          <w:color w:val="000000" w:themeColor="text1"/>
          <w:sz w:val="21"/>
          <w:szCs w:val="21"/>
          <w:highlight w:val="none"/>
          <w14:textFill>
            <w14:solidFill>
              <w14:schemeClr w14:val="tx1"/>
            </w14:solidFill>
          </w14:textFill>
        </w:rPr>
        <w:t>技术应用或全生命期应用提出要求）：</w:t>
      </w:r>
    </w:p>
    <w:p w14:paraId="45BA715E">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A1D892B">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09745CA2">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r>
        <w:rPr>
          <w:rFonts w:ascii="宋体" w:hAnsi="宋体"/>
          <w:color w:val="000000" w:themeColor="text1"/>
          <w:sz w:val="21"/>
          <w:szCs w:val="21"/>
          <w:highlight w:val="none"/>
          <w14:textFill>
            <w14:solidFill>
              <w14:schemeClr w14:val="tx1"/>
            </w14:solidFill>
          </w14:textFill>
        </w:rPr>
        <w:t>其他要求</w:t>
      </w:r>
      <w:r>
        <w:rPr>
          <w:rFonts w:hint="eastAsia" w:ascii="宋体" w:hAnsi="宋体"/>
          <w:color w:val="000000" w:themeColor="text1"/>
          <w:sz w:val="21"/>
          <w:szCs w:val="21"/>
          <w:highlight w:val="none"/>
          <w14:textFill>
            <w14:solidFill>
              <w14:schemeClr w14:val="tx1"/>
            </w14:solidFill>
          </w14:textFill>
        </w:rPr>
        <w:t>：</w:t>
      </w:r>
    </w:p>
    <w:p w14:paraId="7C916758">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F4F8D1A">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433EEDC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08" w:name="_Toc11513"/>
      <w:bookmarkStart w:id="909" w:name="_Toc21463"/>
      <w:bookmarkStart w:id="910" w:name="_Toc10539"/>
      <w:r>
        <w:rPr>
          <w:rFonts w:hint="eastAsia" w:ascii="黑体" w:hAnsi="黑体" w:eastAsia="黑体"/>
          <w:b w:val="0"/>
          <w:color w:val="000000" w:themeColor="text1"/>
          <w:sz w:val="28"/>
          <w:szCs w:val="28"/>
          <w:highlight w:val="none"/>
          <w14:textFill>
            <w14:solidFill>
              <w14:schemeClr w14:val="tx1"/>
            </w14:solidFill>
          </w14:textFill>
        </w:rPr>
        <w:t>二、工程勘察要求（如有时）</w:t>
      </w:r>
      <w:bookmarkEnd w:id="908"/>
      <w:bookmarkEnd w:id="909"/>
      <w:bookmarkEnd w:id="910"/>
    </w:p>
    <w:p w14:paraId="35A902A3">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人应当根据项目情况在本章中明确相应的</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要求，一般应包括以下内容</w:t>
      </w:r>
      <w:r>
        <w:rPr>
          <w:rFonts w:hint="eastAsia" w:ascii="宋体" w:hAnsi="宋体"/>
          <w:color w:val="000000" w:themeColor="text1"/>
          <w:sz w:val="21"/>
          <w:szCs w:val="21"/>
          <w:highlight w:val="none"/>
          <w14:textFill>
            <w14:solidFill>
              <w14:schemeClr w14:val="tx1"/>
            </w14:solidFill>
          </w14:textFill>
        </w:rPr>
        <w:t>。</w:t>
      </w:r>
    </w:p>
    <w:p w14:paraId="2F475CD8">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1.勘察工作范围和内容：</w:t>
      </w:r>
    </w:p>
    <w:p w14:paraId="26569C3A">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9ABDBD3">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6DB41B3B">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2.勘察技术要求：</w:t>
      </w:r>
    </w:p>
    <w:p w14:paraId="63DDE6C2">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2C0B21F">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7DAEC407">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3.勘察成果要求：</w:t>
      </w:r>
    </w:p>
    <w:p w14:paraId="6D9AEF16">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4CDE7763">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7A40007A">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4.其他要求：</w:t>
      </w:r>
    </w:p>
    <w:p w14:paraId="325818D4">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40D43556">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D4EDC55">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11" w:name="_bookmark183"/>
      <w:bookmarkEnd w:id="911"/>
      <w:bookmarkStart w:id="912" w:name="_Toc3109"/>
      <w:bookmarkStart w:id="913" w:name="_Toc30395"/>
      <w:bookmarkStart w:id="914" w:name="_Toc21387"/>
      <w:r>
        <w:rPr>
          <w:rFonts w:hint="eastAsia" w:ascii="黑体" w:hAnsi="黑体" w:eastAsia="黑体"/>
          <w:b w:val="0"/>
          <w:color w:val="000000" w:themeColor="text1"/>
          <w:sz w:val="28"/>
          <w:szCs w:val="28"/>
          <w:highlight w:val="none"/>
          <w14:textFill>
            <w14:solidFill>
              <w14:schemeClr w14:val="tx1"/>
            </w14:solidFill>
          </w14:textFill>
        </w:rPr>
        <w:t>三</w:t>
      </w:r>
      <w:r>
        <w:rPr>
          <w:rFonts w:ascii="黑体" w:hAnsi="黑体" w:eastAsia="黑体"/>
          <w:b w:val="0"/>
          <w:color w:val="000000" w:themeColor="text1"/>
          <w:sz w:val="28"/>
          <w:szCs w:val="28"/>
          <w:highlight w:val="none"/>
          <w14:textFill>
            <w14:solidFill>
              <w14:schemeClr w14:val="tx1"/>
            </w14:solidFill>
          </w14:textFill>
        </w:rPr>
        <w:t>、适用规范标准</w:t>
      </w:r>
      <w:bookmarkEnd w:id="912"/>
      <w:bookmarkEnd w:id="913"/>
      <w:bookmarkEnd w:id="914"/>
    </w:p>
    <w:p w14:paraId="203E274D">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本工程的设计（勘察）过程和成果必须符合国家有关工程建设标准强制性条文和住房和城乡建设部关于房屋建筑工程设计（勘察）方面现行的标准、规范、规程、定额、办法、示例以及福建省、厦门市关于房屋建筑工程设计（勘察）方面的文件、规定。</w:t>
      </w:r>
    </w:p>
    <w:p w14:paraId="32B6E043">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在设计（勘察）过程中，如果国家或有关部门颁布了新的技术标准或规范，则中标人应采用新的标准或规范进行设计（勘察）。</w:t>
      </w:r>
    </w:p>
    <w:p w14:paraId="6A232219">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2.中标人在设计（勘察）工作中必须使用下述标准、规范（不限于）：</w:t>
      </w:r>
    </w:p>
    <w:p w14:paraId="6E4CB943">
      <w:pPr>
        <w:pStyle w:val="17"/>
        <w:spacing w:after="0" w:line="360" w:lineRule="auto"/>
        <w:ind w:left="2819" w:leftChars="202" w:hanging="2415" w:hangingChars="115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048D4077">
      <w:pPr>
        <w:pStyle w:val="17"/>
        <w:spacing w:after="0" w:line="360" w:lineRule="auto"/>
        <w:ind w:left="2819" w:leftChars="202" w:hanging="2415" w:hangingChars="115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F604CBA">
      <w:pPr>
        <w:pStyle w:val="17"/>
        <w:spacing w:after="0" w:line="360" w:lineRule="auto"/>
        <w:ind w:left="2819" w:leftChars="202" w:hanging="2415" w:hangingChars="115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FC9B5B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15" w:name="_bookmark184"/>
      <w:bookmarkEnd w:id="915"/>
      <w:bookmarkStart w:id="916" w:name="_Toc28408"/>
      <w:bookmarkStart w:id="917" w:name="_Toc23469"/>
      <w:bookmarkStart w:id="918" w:name="_Toc1607"/>
      <w:r>
        <w:rPr>
          <w:rFonts w:hint="eastAsia" w:ascii="黑体" w:hAnsi="黑体" w:eastAsia="黑体"/>
          <w:b w:val="0"/>
          <w:color w:val="000000" w:themeColor="text1"/>
          <w:sz w:val="28"/>
          <w:szCs w:val="28"/>
          <w:highlight w:val="none"/>
          <w14:textFill>
            <w14:solidFill>
              <w14:schemeClr w14:val="tx1"/>
            </w14:solidFill>
          </w14:textFill>
        </w:rPr>
        <w:t>四</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技术文件</w:t>
      </w:r>
      <w:r>
        <w:rPr>
          <w:rFonts w:ascii="黑体" w:hAnsi="黑体" w:eastAsia="黑体"/>
          <w:b w:val="0"/>
          <w:color w:val="000000" w:themeColor="text1"/>
          <w:sz w:val="28"/>
          <w:szCs w:val="28"/>
          <w:highlight w:val="none"/>
          <w14:textFill>
            <w14:solidFill>
              <w14:schemeClr w14:val="tx1"/>
            </w14:solidFill>
          </w14:textFill>
        </w:rPr>
        <w:t>要求</w:t>
      </w:r>
      <w:bookmarkEnd w:id="916"/>
      <w:bookmarkEnd w:id="917"/>
      <w:bookmarkEnd w:id="918"/>
    </w:p>
    <w:p w14:paraId="5D85BC61">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（一）技术</w:t>
      </w:r>
      <w:r>
        <w:rPr>
          <w:rFonts w:ascii="宋体" w:hAnsi="宋体"/>
          <w:color w:val="000000" w:themeColor="text1"/>
          <w:sz w:val="21"/>
          <w:szCs w:val="21"/>
          <w:highlight w:val="none"/>
          <w14:textFill>
            <w14:solidFill>
              <w14:schemeClr w14:val="tx1"/>
            </w14:solidFill>
          </w14:textFill>
        </w:rPr>
        <w:t>文件的组成：</w:t>
      </w:r>
    </w:p>
    <w:p w14:paraId="6139EAE1">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1.设计说明和设计图纸汇编本</w:t>
      </w:r>
    </w:p>
    <w:p w14:paraId="7D9876D0">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2.勘察纲要（发包内容包含勘察的，应当提交勘察纲要）</w:t>
      </w:r>
    </w:p>
    <w:p w14:paraId="41E0A0CF">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3.展示图、演示盘、模型和</w:t>
      </w:r>
      <w:r>
        <w:rPr>
          <w:rFonts w:ascii="宋体" w:hAnsi="宋体"/>
          <w:color w:val="000000" w:themeColor="text1"/>
          <w:sz w:val="21"/>
          <w:szCs w:val="21"/>
          <w:highlight w:val="none"/>
          <w14:textFill>
            <w14:solidFill>
              <w14:schemeClr w14:val="tx1"/>
            </w14:solidFill>
          </w14:textFill>
        </w:rPr>
        <w:t>BIM</w:t>
      </w:r>
      <w:r>
        <w:rPr>
          <w:rFonts w:hint="eastAsia" w:ascii="宋体" w:hAnsi="宋体"/>
          <w:color w:val="000000" w:themeColor="text1"/>
          <w:sz w:val="21"/>
          <w:szCs w:val="21"/>
          <w:highlight w:val="none"/>
          <w14:textFill>
            <w14:solidFill>
              <w14:schemeClr w14:val="tx1"/>
            </w14:solidFill>
          </w14:textFill>
        </w:rPr>
        <w:t>动态演示视频等其他技术文件（当招标文件有要求时须提供）</w:t>
      </w:r>
    </w:p>
    <w:p w14:paraId="446E75BF">
      <w:pPr>
        <w:pStyle w:val="17"/>
        <w:spacing w:after="0" w:line="360" w:lineRule="auto"/>
        <w:ind w:firstLine="424" w:firstLineChars="202"/>
        <w:jc w:val="left"/>
        <w:rPr>
          <w:rFonts w:ascii="宋体" w:hAnsi="宋体" w:cs="仿宋_GB2312"/>
          <w:bCs/>
          <w:color w:val="000000" w:themeColor="text1"/>
          <w:sz w:val="21"/>
          <w:szCs w:val="21"/>
          <w:highlight w:val="none"/>
          <w:lang w:val="zh-CN"/>
          <w14:textFill>
            <w14:solidFill>
              <w14:schemeClr w14:val="tx1"/>
            </w14:solidFill>
          </w14:textFill>
        </w:rPr>
      </w:pPr>
      <w:r>
        <w:rPr>
          <w:rFonts w:hint="eastAsia" w:ascii="宋体" w:hAnsi="宋体" w:cs="仿宋_GB2312"/>
          <w:bCs/>
          <w:color w:val="000000" w:themeColor="text1"/>
          <w:sz w:val="21"/>
          <w:szCs w:val="21"/>
          <w:highlight w:val="none"/>
          <w:lang w:val="zh-CN"/>
          <w14:textFill>
            <w14:solidFill>
              <w14:schemeClr w14:val="tx1"/>
            </w14:solidFill>
          </w14:textFill>
        </w:rPr>
        <w:t>（二）设计文件编制要求</w:t>
      </w:r>
    </w:p>
    <w:p w14:paraId="2DDBBF2E">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房屋建筑工程设计应按照科学发展观，全面贯彻适用、经济，在可能条件下注意美观的原则。房屋建筑工程设计方案要与当地经济发展水平相适应，积极鼓励采用节能、节地、节水、节材、环保技术的建筑工程设计方案。</w:t>
      </w:r>
    </w:p>
    <w:p w14:paraId="3659F916">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房屋建筑工程设计应严格执行《建设工程质量管理条例》、《建设工程勘察设计管理条例》和国家强制性标准条文；满足现行的建筑工程建设标准、设计规范（规程）和招标文件规定的相应设计文件编制深度要求。</w:t>
      </w:r>
    </w:p>
    <w:p w14:paraId="01B579BC">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3.提交的设计文件应符合有关主管部门制定的勘察设计标准、规范、规程、定额和办法的要求，并能够通过审查。</w:t>
      </w:r>
    </w:p>
    <w:p w14:paraId="27F685FD">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4.提交的概算应符合有关造价管理部门的规定要求，并按审查意见进行修改。</w:t>
      </w:r>
    </w:p>
    <w:p w14:paraId="05FAF3C2">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5.设计方案应符合本项目可行性研究报告批复或初步设计批复的有关强制性要求。</w:t>
      </w:r>
    </w:p>
    <w:p w14:paraId="4BFFC154">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6.技术文件编制深度要求详见</w:t>
      </w:r>
      <w:r>
        <w:rPr>
          <w:rFonts w:hint="eastAsia" w:ascii="宋体" w:hAnsi="宋体" w:cs="Times New Roman"/>
          <w:color w:val="000000" w:themeColor="text1"/>
          <w:kern w:val="2"/>
          <w:sz w:val="21"/>
          <w:szCs w:val="21"/>
          <w:highlight w:val="none"/>
          <w14:textFill>
            <w14:solidFill>
              <w14:schemeClr w14:val="tx1"/>
            </w14:solidFill>
          </w14:textFill>
        </w:rPr>
        <w:t>住建部</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印发的</w:t>
      </w:r>
      <w:r>
        <w:rPr>
          <w:rFonts w:hint="eastAsia" w:ascii="宋体" w:hAnsi="宋体"/>
          <w:color w:val="000000" w:themeColor="text1"/>
          <w:kern w:val="2"/>
          <w:sz w:val="21"/>
          <w:szCs w:val="21"/>
          <w:highlight w:val="none"/>
          <w14:textFill>
            <w14:solidFill>
              <w14:schemeClr w14:val="tx1"/>
            </w14:solidFill>
          </w14:textFill>
        </w:rPr>
        <w:t>《建筑工程设计文件编制深度规定(2016版)》</w:t>
      </w:r>
      <w:r>
        <w:rPr>
          <w:rFonts w:hint="eastAsia" w:ascii="宋体" w:hAnsi="宋体"/>
          <w:color w:val="000000" w:themeColor="text1"/>
          <w:kern w:val="2"/>
          <w:sz w:val="21"/>
          <w:szCs w:val="21"/>
          <w:highlight w:val="none"/>
          <w:lang w:val="en-US" w:eastAsia="zh-CN"/>
          <w14:textFill>
            <w14:solidFill>
              <w14:schemeClr w14:val="tx1"/>
            </w14:solidFill>
          </w14:textFill>
        </w:rPr>
        <w:t>和</w:t>
      </w:r>
      <w:r>
        <w:rPr>
          <w:rFonts w:hint="eastAsia" w:ascii="宋体" w:hAnsi="宋体" w:eastAsia="宋体" w:cs="Times New Roman"/>
          <w:b w:val="0"/>
          <w:bCs w:val="0"/>
          <w:color w:val="000000" w:themeColor="text1"/>
          <w:kern w:val="2"/>
          <w:sz w:val="21"/>
          <w:szCs w:val="21"/>
          <w:highlight w:val="none"/>
          <w:lang w:eastAsia="zh-CN" w:bidi="ar-SA"/>
          <w14:textFill>
            <w14:solidFill>
              <w14:schemeClr w14:val="tx1"/>
            </w14:solidFill>
          </w14:textFill>
        </w:rPr>
        <w:t>福建省住房和城乡建设厅</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印发的《福建省建筑工程施工图设计文件编制深度规定（2023年版)》</w:t>
      </w:r>
      <w:r>
        <w:rPr>
          <w:rFonts w:hint="eastAsia" w:ascii="宋体" w:hAnsi="宋体" w:eastAsia="宋体" w:cs="Times New Roman"/>
          <w:color w:val="000000" w:themeColor="text1"/>
          <w:kern w:val="2"/>
          <w:sz w:val="21"/>
          <w:szCs w:val="21"/>
          <w:highlight w:val="none"/>
          <w14:textFill>
            <w14:solidFill>
              <w14:schemeClr w14:val="tx1"/>
            </w14:solidFill>
          </w14:textFill>
        </w:rPr>
        <w:t>（如有新的</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规定</w:t>
      </w:r>
      <w:r>
        <w:rPr>
          <w:rFonts w:hint="eastAsia" w:ascii="宋体" w:hAnsi="宋体" w:eastAsia="宋体" w:cs="Times New Roman"/>
          <w:color w:val="000000" w:themeColor="text1"/>
          <w:kern w:val="2"/>
          <w:sz w:val="21"/>
          <w:szCs w:val="21"/>
          <w:highlight w:val="none"/>
          <w14:textFill>
            <w14:solidFill>
              <w14:schemeClr w14:val="tx1"/>
            </w14:solidFill>
          </w14:textFill>
        </w:rPr>
        <w:t>，则按新的规定执行）</w:t>
      </w:r>
      <w:r>
        <w:rPr>
          <w:rFonts w:hint="eastAsia" w:ascii="宋体" w:hAnsi="宋体"/>
          <w:color w:val="000000" w:themeColor="text1"/>
          <w:sz w:val="21"/>
          <w:szCs w:val="21"/>
          <w:highlight w:val="none"/>
          <w14:textFill>
            <w14:solidFill>
              <w14:schemeClr w14:val="tx1"/>
            </w14:solidFill>
          </w14:textFill>
        </w:rPr>
        <w:t>。</w:t>
      </w:r>
    </w:p>
    <w:p w14:paraId="3F7276F8">
      <w:pPr>
        <w:spacing w:line="360" w:lineRule="auto"/>
        <w:ind w:firstLine="424" w:firstLineChars="202"/>
        <w:jc w:val="left"/>
        <w:rPr>
          <w:rFonts w:ascii="宋体" w:hAnsi="宋体" w:cs="仿宋_GB2312"/>
          <w:bCs/>
          <w:color w:val="000000" w:themeColor="text1"/>
          <w:sz w:val="21"/>
          <w:szCs w:val="21"/>
          <w:highlight w:val="none"/>
          <w:lang w:val="zh-CN"/>
          <w14:textFill>
            <w14:solidFill>
              <w14:schemeClr w14:val="tx1"/>
            </w14:solidFill>
          </w14:textFill>
        </w:rPr>
      </w:pPr>
      <w:bookmarkStart w:id="919" w:name="_bookmark185"/>
      <w:bookmarkEnd w:id="919"/>
      <w:r>
        <w:rPr>
          <w:rFonts w:hint="eastAsia" w:ascii="宋体" w:hAnsi="宋体"/>
          <w:color w:val="000000" w:themeColor="text1"/>
          <w:sz w:val="21"/>
          <w:szCs w:val="21"/>
          <w:highlight w:val="none"/>
          <w14:textFill>
            <w14:solidFill>
              <w14:schemeClr w14:val="tx1"/>
            </w14:solidFill>
          </w14:textFill>
        </w:rPr>
        <w:t>（三）</w:t>
      </w:r>
      <w:r>
        <w:rPr>
          <w:rFonts w:hint="eastAsia" w:ascii="宋体" w:hAnsi="宋体" w:cs="仿宋_GB2312"/>
          <w:bCs/>
          <w:color w:val="000000" w:themeColor="text1"/>
          <w:sz w:val="21"/>
          <w:szCs w:val="21"/>
          <w:highlight w:val="none"/>
          <w:lang w:val="zh-CN"/>
          <w14:textFill>
            <w14:solidFill>
              <w14:schemeClr w14:val="tx1"/>
            </w14:solidFill>
          </w14:textFill>
        </w:rPr>
        <w:t>设计成果要求</w:t>
      </w:r>
    </w:p>
    <w:p w14:paraId="341A8EFE">
      <w:pPr>
        <w:spacing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1.设计说明和设计图纸汇编本编制要求</w:t>
      </w:r>
    </w:p>
    <w:p w14:paraId="73B9C196">
      <w:pPr>
        <w:spacing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1.1.设计说明：</w:t>
      </w:r>
      <w:r>
        <w:rPr>
          <w:rFonts w:hint="eastAsia" w:ascii="宋体" w:hAnsi="宋体" w:eastAsia="宋体" w:cs="宋体"/>
          <w:i/>
          <w:iCs/>
          <w:color w:val="000000" w:themeColor="text1"/>
          <w:sz w:val="21"/>
          <w:szCs w:val="21"/>
          <w:highlight w:val="none"/>
          <w:u w:val="single"/>
          <w14:textFill>
            <w14:solidFill>
              <w14:schemeClr w14:val="tx1"/>
            </w14:solidFill>
          </w14:textFill>
        </w:rPr>
        <w:t>投标人的设计说明至少应包括以下内容：工程概况、场地现状分析、设计构思、总体布局设计说明（含交通组织、园林景观等）、各专业（建筑、结构、暖通、给排水、强电、弱电、消防等）设计说明、关键技术说明（含拟采用新材料、新设备、新工艺、新技术的说明）、技术经济指标、以及投标人完成设计所独有的有利条件及投标人提出的工程创新、保障设计工期、质量的主要措施、设计方案的主要优点、特点和推荐的主要理由，BIM技术在总体规划、建筑设计和结构设计的应用说明（如有）等</w:t>
      </w:r>
      <w:r>
        <w:rPr>
          <w:rFonts w:hint="eastAsia" w:ascii="宋体" w:hAnsi="宋体" w:cs="宋体"/>
          <w:i/>
          <w:iCs/>
          <w:color w:val="000000" w:themeColor="text1"/>
          <w:sz w:val="21"/>
          <w:szCs w:val="21"/>
          <w:highlight w:val="none"/>
          <w:u w:val="single"/>
          <w14:textFill>
            <w14:solidFill>
              <w14:schemeClr w14:val="tx1"/>
            </w14:solidFill>
          </w14:textFill>
        </w:rPr>
        <w:t>。</w:t>
      </w:r>
      <w:r>
        <w:rPr>
          <w:rStyle w:val="49"/>
          <w:rFonts w:hint="eastAsia" w:ascii="宋体" w:hAnsi="宋体" w:eastAsia="宋体" w:cs="宋体"/>
          <w:i w:val="0"/>
          <w:iCs w:val="0"/>
          <w:color w:val="000000" w:themeColor="text1"/>
          <w:sz w:val="21"/>
          <w:szCs w:val="21"/>
          <w:highlight w:val="none"/>
          <w:u w:val="single"/>
          <w14:textFill>
            <w14:solidFill>
              <w14:schemeClr w14:val="tx1"/>
            </w14:solidFill>
          </w14:textFill>
        </w:rPr>
        <w:footnoteReference w:id="66"/>
      </w:r>
    </w:p>
    <w:p w14:paraId="341ECE06">
      <w:pPr>
        <w:spacing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snapToGrid w:val="0"/>
          <w:color w:val="000000" w:themeColor="text1"/>
          <w:sz w:val="21"/>
          <w:szCs w:val="21"/>
          <w:highlight w:val="none"/>
          <w14:textFill>
            <w14:solidFill>
              <w14:schemeClr w14:val="tx1"/>
            </w14:solidFill>
          </w14:textFill>
        </w:rPr>
        <w:t>1.2.设计图纸：</w:t>
      </w:r>
      <w:r>
        <w:rPr>
          <w:rFonts w:hint="eastAsia" w:asciiTheme="minorEastAsia" w:hAnsiTheme="minorEastAsia" w:eastAsiaTheme="minorEastAsia"/>
          <w:i/>
          <w:iCs/>
          <w:snapToGrid w:val="0"/>
          <w:color w:val="000000" w:themeColor="text1"/>
          <w:sz w:val="21"/>
          <w:szCs w:val="21"/>
          <w:highlight w:val="none"/>
          <w:u w:val="single"/>
          <w14:textFill>
            <w14:solidFill>
              <w14:schemeClr w14:val="tx1"/>
            </w14:solidFill>
          </w14:textFill>
        </w:rPr>
        <w:t>投标人的设计图纸至少应包括以下内容：</w:t>
      </w:r>
      <w:r>
        <w:rPr>
          <w:rFonts w:hint="eastAsia" w:asciiTheme="minorEastAsia" w:hAnsiTheme="minorEastAsia" w:eastAsiaTheme="minorEastAsia"/>
          <w:i/>
          <w:iCs/>
          <w:color w:val="000000" w:themeColor="text1"/>
          <w:sz w:val="21"/>
          <w:szCs w:val="21"/>
          <w:highlight w:val="none"/>
          <w:u w:val="single"/>
          <w14:textFill>
            <w14:solidFill>
              <w14:schemeClr w14:val="tx1"/>
            </w14:solidFill>
          </w14:textFill>
        </w:rPr>
        <w:t>包括环境关系图、总平面、主要平、立、剖面图、功能分析图、交通分析图、绿化分析图、日照分析图、透视效果图等</w:t>
      </w:r>
      <w:r>
        <w:rPr>
          <w:rFonts w:hint="eastAsia" w:ascii="宋体" w:hAnsi="宋体"/>
          <w:i/>
          <w:iCs/>
          <w:color w:val="000000" w:themeColor="text1"/>
          <w:sz w:val="21"/>
          <w:szCs w:val="21"/>
          <w:highlight w:val="none"/>
          <w:u w:val="single"/>
          <w14:textFill>
            <w14:solidFill>
              <w14:schemeClr w14:val="tx1"/>
            </w14:solidFill>
          </w14:textFill>
        </w:rPr>
        <w:t>。</w:t>
      </w:r>
      <w:r>
        <w:rPr>
          <w:rStyle w:val="49"/>
          <w:rFonts w:hint="eastAsia" w:ascii="宋体" w:hAnsi="宋体"/>
          <w:i w:val="0"/>
          <w:iCs w:val="0"/>
          <w:color w:val="000000" w:themeColor="text1"/>
          <w:sz w:val="21"/>
          <w:szCs w:val="21"/>
          <w:highlight w:val="none"/>
          <w:u w:val="single"/>
          <w14:textFill>
            <w14:solidFill>
              <w14:schemeClr w14:val="tx1"/>
            </w14:solidFill>
          </w14:textFill>
        </w:rPr>
        <w:footnoteReference w:id="67"/>
      </w:r>
    </w:p>
    <w:p w14:paraId="414DDC15">
      <w:pPr>
        <w:spacing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snapToGrid w:val="0"/>
          <w:color w:val="000000" w:themeColor="text1"/>
          <w:sz w:val="21"/>
          <w:szCs w:val="21"/>
          <w:highlight w:val="none"/>
          <w14:textFill>
            <w14:solidFill>
              <w14:schemeClr w14:val="tx1"/>
            </w14:solidFill>
          </w14:textFill>
        </w:rPr>
        <w:t>1.3.汇编本：</w:t>
      </w:r>
      <w:r>
        <w:rPr>
          <w:rFonts w:hint="eastAsia" w:ascii="宋体" w:hAnsi="宋体"/>
          <w:snapToGrid w:val="0"/>
          <w:color w:val="000000" w:themeColor="text1"/>
          <w:sz w:val="21"/>
          <w:szCs w:val="21"/>
          <w:highlight w:val="none"/>
          <w:u w:val="none"/>
          <w14:textFill>
            <w14:solidFill>
              <w14:schemeClr w14:val="tx1"/>
            </w14:solidFill>
          </w14:textFill>
        </w:rPr>
        <w:t>投标人应当将上述</w:t>
      </w:r>
      <w:r>
        <w:rPr>
          <w:rFonts w:hint="eastAsia" w:ascii="宋体" w:hAnsi="宋体"/>
          <w:color w:val="000000" w:themeColor="text1"/>
          <w:sz w:val="21"/>
          <w:szCs w:val="21"/>
          <w:highlight w:val="none"/>
          <w:u w:val="none"/>
          <w14:textFill>
            <w14:solidFill>
              <w14:schemeClr w14:val="tx1"/>
            </w14:solidFill>
          </w14:textFill>
        </w:rPr>
        <w:t>设计说明和设计图纸汇编成册，《设计说明和图纸汇编本》统一采用A3幅面纸，《设计说明和图纸汇编本》封面必须采用招标文件规定的格式。</w:t>
      </w:r>
    </w:p>
    <w:p w14:paraId="1E8CB117">
      <w:pPr>
        <w:spacing w:line="360" w:lineRule="auto"/>
        <w:ind w:firstLine="567" w:firstLineChars="270"/>
        <w:jc w:val="left"/>
        <w:rPr>
          <w:rFonts w:ascii="宋体" w:hAnsi="宋体"/>
          <w:snapToGrid w:val="0"/>
          <w:color w:val="000000" w:themeColor="text1"/>
          <w:sz w:val="21"/>
          <w:szCs w:val="21"/>
          <w:highlight w:val="none"/>
          <w14:textFill>
            <w14:solidFill>
              <w14:schemeClr w14:val="tx1"/>
            </w14:solidFill>
          </w14:textFill>
        </w:rPr>
      </w:pPr>
      <w:r>
        <w:rPr>
          <w:rFonts w:hint="eastAsia" w:ascii="宋体" w:hAnsi="宋体"/>
          <w:snapToGrid w:val="0"/>
          <w:color w:val="000000" w:themeColor="text1"/>
          <w:sz w:val="21"/>
          <w:szCs w:val="21"/>
          <w:highlight w:val="none"/>
          <w14:textFill>
            <w14:solidFill>
              <w14:schemeClr w14:val="tx1"/>
            </w14:solidFill>
          </w14:textFill>
        </w:rPr>
        <w:t>2.展示图、</w:t>
      </w:r>
      <w:r>
        <w:rPr>
          <w:rFonts w:hint="eastAsia" w:asciiTheme="minorEastAsia" w:hAnsiTheme="minorEastAsia" w:eastAsiaTheme="minorEastAsia"/>
          <w:color w:val="000000" w:themeColor="text1"/>
          <w:sz w:val="21"/>
          <w:szCs w:val="21"/>
          <w:highlight w:val="none"/>
          <w14:textFill>
            <w14:solidFill>
              <w14:schemeClr w14:val="tx1"/>
            </w14:solidFill>
          </w14:textFill>
        </w:rPr>
        <w:t>演示光盘</w:t>
      </w:r>
      <w:r>
        <w:rPr>
          <w:rFonts w:hint="eastAsia" w:ascii="宋体" w:hAnsi="宋体"/>
          <w:color w:val="000000" w:themeColor="text1"/>
          <w:sz w:val="21"/>
          <w:szCs w:val="21"/>
          <w:highlight w:val="none"/>
          <w14:textFill>
            <w14:solidFill>
              <w14:schemeClr w14:val="tx1"/>
            </w14:solidFill>
          </w14:textFill>
        </w:rPr>
        <w:t>、模型和</w:t>
      </w:r>
      <w:r>
        <w:rPr>
          <w:rFonts w:ascii="宋体" w:hAnsi="宋体"/>
          <w:color w:val="000000" w:themeColor="text1"/>
          <w:sz w:val="21"/>
          <w:szCs w:val="21"/>
          <w:highlight w:val="none"/>
          <w14:textFill>
            <w14:solidFill>
              <w14:schemeClr w14:val="tx1"/>
            </w14:solidFill>
          </w14:textFill>
        </w:rPr>
        <w:t>BIM</w:t>
      </w:r>
      <w:r>
        <w:rPr>
          <w:rFonts w:hint="eastAsia" w:ascii="宋体" w:hAnsi="宋体"/>
          <w:color w:val="000000" w:themeColor="text1"/>
          <w:sz w:val="21"/>
          <w:szCs w:val="21"/>
          <w:highlight w:val="none"/>
          <w14:textFill>
            <w14:solidFill>
              <w14:schemeClr w14:val="tx1"/>
            </w14:solidFill>
          </w14:textFill>
        </w:rPr>
        <w:t>动态演示视频</w:t>
      </w:r>
      <w:r>
        <w:rPr>
          <w:rFonts w:hint="eastAsia" w:asciiTheme="minorEastAsia" w:hAnsiTheme="minorEastAsia" w:eastAsiaTheme="minorEastAsia"/>
          <w:color w:val="000000" w:themeColor="text1"/>
          <w:sz w:val="21"/>
          <w:szCs w:val="21"/>
          <w:highlight w:val="none"/>
          <w14:textFill>
            <w14:solidFill>
              <w14:schemeClr w14:val="tx1"/>
            </w14:solidFill>
          </w14:textFill>
        </w:rPr>
        <w:t>要求</w:t>
      </w:r>
      <w:r>
        <w:rPr>
          <w:rFonts w:hint="eastAsia" w:ascii="宋体" w:hAnsi="宋体"/>
          <w:snapToGrid w:val="0"/>
          <w:color w:val="000000" w:themeColor="text1"/>
          <w:sz w:val="21"/>
          <w:szCs w:val="21"/>
          <w:highlight w:val="none"/>
          <w14:textFill>
            <w14:solidFill>
              <w14:schemeClr w14:val="tx1"/>
            </w14:solidFill>
          </w14:textFill>
        </w:rPr>
        <w:t>见投标须知前附表。</w:t>
      </w:r>
    </w:p>
    <w:p w14:paraId="13602756">
      <w:pPr>
        <w:spacing w:line="360" w:lineRule="auto"/>
        <w:ind w:firstLine="567" w:firstLineChars="27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（四）勘察纲要编制要求（如有时）</w:t>
      </w:r>
    </w:p>
    <w:p w14:paraId="02BFF496">
      <w:pPr>
        <w:spacing w:line="360" w:lineRule="auto"/>
        <w:ind w:firstLine="567" w:firstLineChars="27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1.勘察纲要的内容应当完整。</w:t>
      </w:r>
    </w:p>
    <w:p w14:paraId="3D0D2A45">
      <w:pPr>
        <w:spacing w:line="360" w:lineRule="auto"/>
        <w:ind w:firstLine="567" w:firstLineChars="27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2.勘察纲要</w:t>
      </w:r>
      <w:r>
        <w:rPr>
          <w:rFonts w:hint="eastAsia" w:ascii="宋体" w:hAnsi="宋体"/>
          <w:color w:val="000000" w:themeColor="text1"/>
          <w:sz w:val="21"/>
          <w:szCs w:val="21"/>
          <w:highlight w:val="none"/>
          <w14:textFill>
            <w14:solidFill>
              <w14:schemeClr w14:val="tx1"/>
            </w14:solidFill>
          </w14:textFill>
        </w:rPr>
        <w:t>至少</w:t>
      </w:r>
      <w:r>
        <w:rPr>
          <w:rFonts w:ascii="宋体" w:hAnsi="宋体"/>
          <w:color w:val="000000" w:themeColor="text1"/>
          <w:sz w:val="21"/>
          <w:szCs w:val="21"/>
          <w:highlight w:val="none"/>
          <w14:textFill>
            <w14:solidFill>
              <w14:schemeClr w14:val="tx1"/>
            </w14:solidFill>
          </w14:textFill>
        </w:rPr>
        <w:t>应包括以下内容</w:t>
      </w:r>
      <w:r>
        <w:rPr>
          <w:rFonts w:hint="eastAsia" w:ascii="宋体" w:hAnsi="宋体"/>
          <w:color w:val="000000" w:themeColor="text1"/>
          <w:sz w:val="21"/>
          <w:szCs w:val="21"/>
          <w:highlight w:val="none"/>
          <w14:textFill>
            <w14:solidFill>
              <w14:schemeClr w14:val="tx1"/>
            </w14:solidFill>
          </w14:textFill>
        </w:rPr>
        <w:t>：</w:t>
      </w:r>
    </w:p>
    <w:p w14:paraId="3FD89A52">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①按照设计方案提出勘察布孔方案，并提出对地质调查、勘探与取样、原位测试、工程物探、室内试验等工作技术要求。</w:t>
      </w:r>
    </w:p>
    <w:p w14:paraId="0FCF52A1">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②编制勘察纲要质量控制措施，现场技术交底对测量、钻探、取样、原位测试、物探、室内试验、内业资料整理及分析评价等工作提出质量保证措施。</w:t>
      </w:r>
    </w:p>
    <w:p w14:paraId="0E8B62A1">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③提出的满足招标项目安全技术措施和作业安全应急预案。</w:t>
      </w:r>
    </w:p>
    <w:p w14:paraId="4C472A40">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④制定满足招标项目要求的工期进度计划和保证措施。</w:t>
      </w:r>
    </w:p>
    <w:p w14:paraId="148AC174">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⑤提出招标项目勘察工作的创新思路。</w:t>
      </w:r>
    </w:p>
    <w:p w14:paraId="6900F2A4">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3.勘察纲要应控制在100页内（不包含封面和封底）。</w:t>
      </w:r>
    </w:p>
    <w:p w14:paraId="4557E0FF">
      <w:pPr>
        <w:pStyle w:val="17"/>
        <w:spacing w:after="0" w:line="360" w:lineRule="auto"/>
        <w:ind w:firstLine="567" w:firstLineChars="27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（五）技术文件采用暗标形式递交，均不得盖章或体现投标人名称、具体人名或可以认为是投标人承担过的工程项目名称或其他可以判定投标人的标识或文字。</w:t>
      </w:r>
    </w:p>
    <w:p w14:paraId="1CBD2946">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20" w:name="_Toc10143"/>
      <w:bookmarkStart w:id="921" w:name="_Toc22598"/>
      <w:bookmarkStart w:id="922" w:name="_Toc4065"/>
      <w:r>
        <w:rPr>
          <w:rFonts w:hint="eastAsia" w:ascii="黑体" w:hAnsi="黑体" w:eastAsia="黑体"/>
          <w:b w:val="0"/>
          <w:color w:val="000000" w:themeColor="text1"/>
          <w:sz w:val="28"/>
          <w:szCs w:val="28"/>
          <w:highlight w:val="none"/>
          <w14:textFill>
            <w14:solidFill>
              <w14:schemeClr w14:val="tx1"/>
            </w14:solidFill>
          </w14:textFill>
        </w:rPr>
        <w:t>五、服务要求</w:t>
      </w:r>
      <w:bookmarkEnd w:id="920"/>
      <w:bookmarkEnd w:id="921"/>
      <w:bookmarkEnd w:id="922"/>
    </w:p>
    <w:p w14:paraId="200A384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服务要求包括设计服务要求和勘察服务要求，格式有发包人自定。</w:t>
      </w:r>
    </w:p>
    <w:p w14:paraId="4E562B89">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0CC6ABC2">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0A7D9D2D">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6E8FBA3F">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5E2821F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23" w:name="_Toc20556"/>
      <w:bookmarkStart w:id="924" w:name="_Toc9817"/>
      <w:bookmarkStart w:id="925" w:name="_Toc2060"/>
      <w:r>
        <w:rPr>
          <w:rFonts w:hint="eastAsia" w:ascii="黑体" w:hAnsi="黑体" w:eastAsia="黑体"/>
          <w:b w:val="0"/>
          <w:color w:val="000000" w:themeColor="text1"/>
          <w:sz w:val="28"/>
          <w:szCs w:val="28"/>
          <w:highlight w:val="none"/>
          <w14:textFill>
            <w14:solidFill>
              <w14:schemeClr w14:val="tx1"/>
            </w14:solidFill>
          </w14:textFill>
        </w:rPr>
        <w:t>六</w:t>
      </w:r>
      <w:r>
        <w:rPr>
          <w:rFonts w:ascii="黑体" w:hAnsi="黑体" w:eastAsia="黑体"/>
          <w:b w:val="0"/>
          <w:color w:val="000000" w:themeColor="text1"/>
          <w:sz w:val="28"/>
          <w:szCs w:val="28"/>
          <w:highlight w:val="none"/>
          <w14:textFill>
            <w14:solidFill>
              <w14:schemeClr w14:val="tx1"/>
            </w14:solidFill>
          </w14:textFill>
        </w:rPr>
        <w:t>、发包人财产清单</w:t>
      </w:r>
      <w:bookmarkEnd w:id="923"/>
      <w:bookmarkEnd w:id="924"/>
      <w:bookmarkEnd w:id="925"/>
    </w:p>
    <w:p w14:paraId="0983584D">
      <w:pPr>
        <w:pStyle w:val="4"/>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926" w:name="_bookmark186"/>
      <w:bookmarkEnd w:id="926"/>
      <w:bookmarkStart w:id="927" w:name="_Toc6742"/>
      <w:bookmarkStart w:id="928" w:name="_Toc15446"/>
      <w:bookmarkStart w:id="929" w:name="_Toc29989"/>
      <w:r>
        <w:rPr>
          <w:rFonts w:ascii="宋体" w:hAnsi="宋体"/>
          <w:b w:val="0"/>
          <w:color w:val="000000" w:themeColor="text1"/>
          <w:sz w:val="21"/>
          <w:szCs w:val="21"/>
          <w:highlight w:val="none"/>
          <w14:textFill>
            <w14:solidFill>
              <w14:schemeClr w14:val="tx1"/>
            </w14:solidFill>
          </w14:textFill>
        </w:rPr>
        <w:t>（一）发包人提供的设备、设施</w:t>
      </w:r>
      <w:bookmarkEnd w:id="927"/>
      <w:bookmarkEnd w:id="928"/>
      <w:bookmarkEnd w:id="929"/>
    </w:p>
    <w:p w14:paraId="38FF072B">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1.发包人提供的办公房屋及冷暖设施：</w:t>
      </w:r>
      <w:r>
        <w:rPr>
          <w:rFonts w:hint="eastAsia" w:ascii="宋体" w:hAnsi="宋体"/>
          <w:color w:val="000000" w:themeColor="text1"/>
          <w:sz w:val="21"/>
          <w:szCs w:val="21"/>
          <w:highlight w:val="none"/>
          <w:u w:val="single"/>
          <w14:textFill>
            <w14:solidFill>
              <w14:schemeClr w14:val="tx1"/>
            </w14:solidFill>
          </w14:textFill>
        </w:rPr>
        <w:t xml:space="preserve">                                                </w:t>
      </w:r>
    </w:p>
    <w:p w14:paraId="06BA698C">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2.发包人提供的设备清单：</w:t>
      </w:r>
      <w:r>
        <w:rPr>
          <w:rFonts w:hint="eastAsia" w:ascii="宋体" w:hAnsi="宋体"/>
          <w:color w:val="000000" w:themeColor="text1"/>
          <w:sz w:val="21"/>
          <w:szCs w:val="21"/>
          <w:highlight w:val="none"/>
          <w:u w:val="single"/>
          <w14:textFill>
            <w14:solidFill>
              <w14:schemeClr w14:val="tx1"/>
            </w14:solidFill>
          </w14:textFill>
        </w:rPr>
        <w:t xml:space="preserve">                                                          </w:t>
      </w:r>
    </w:p>
    <w:p w14:paraId="1B1A1D7A">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3.发包人提供的设施清单：</w:t>
      </w:r>
      <w:r>
        <w:rPr>
          <w:rFonts w:hint="eastAsia" w:ascii="宋体" w:hAnsi="宋体"/>
          <w:color w:val="000000" w:themeColor="text1"/>
          <w:sz w:val="21"/>
          <w:szCs w:val="21"/>
          <w:highlight w:val="none"/>
          <w:u w:val="single"/>
          <w14:textFill>
            <w14:solidFill>
              <w14:schemeClr w14:val="tx1"/>
            </w14:solidFill>
          </w14:textFill>
        </w:rPr>
        <w:t xml:space="preserve">                                                           </w:t>
      </w:r>
    </w:p>
    <w:p w14:paraId="0C302DEB">
      <w:pPr>
        <w:pStyle w:val="4"/>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930" w:name="_bookmark187"/>
      <w:bookmarkEnd w:id="930"/>
      <w:bookmarkStart w:id="931" w:name="_Toc4053"/>
      <w:bookmarkStart w:id="932" w:name="_Toc24951"/>
      <w:bookmarkStart w:id="933" w:name="_Toc4245"/>
      <w:r>
        <w:rPr>
          <w:rFonts w:ascii="宋体" w:hAnsi="宋体"/>
          <w:b w:val="0"/>
          <w:color w:val="000000" w:themeColor="text1"/>
          <w:sz w:val="21"/>
          <w:szCs w:val="21"/>
          <w:highlight w:val="none"/>
          <w14:textFill>
            <w14:solidFill>
              <w14:schemeClr w14:val="tx1"/>
            </w14:solidFill>
          </w14:textFill>
        </w:rPr>
        <w:t>（二）发包人提供的资料</w:t>
      </w:r>
      <w:bookmarkEnd w:id="931"/>
      <w:bookmarkEnd w:id="932"/>
      <w:bookmarkEnd w:id="933"/>
    </w:p>
    <w:p w14:paraId="10BE7645">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1.发包人提供的</w:t>
      </w:r>
      <w:r>
        <w:rPr>
          <w:rFonts w:hint="eastAsia" w:ascii="宋体" w:hAnsi="宋体"/>
          <w:color w:val="000000" w:themeColor="text1"/>
          <w:sz w:val="21"/>
          <w:szCs w:val="21"/>
          <w:highlight w:val="none"/>
          <w14:textFill>
            <w14:solidFill>
              <w14:schemeClr w14:val="tx1"/>
            </w14:solidFill>
          </w14:textFill>
        </w:rPr>
        <w:t>设计（勘察）有关资料</w:t>
      </w:r>
      <w:r>
        <w:rPr>
          <w:rStyle w:val="49"/>
          <w:rFonts w:ascii="宋体" w:hAnsi="宋体"/>
          <w:color w:val="000000" w:themeColor="text1"/>
          <w:sz w:val="21"/>
          <w:szCs w:val="21"/>
          <w:highlight w:val="none"/>
          <w14:textFill>
            <w14:solidFill>
              <w14:schemeClr w14:val="tx1"/>
            </w14:solidFill>
          </w14:textFill>
        </w:rPr>
        <w:footnoteReference w:id="68"/>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41F9704E">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.其他资料</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4FEAC446">
      <w:pPr>
        <w:pStyle w:val="4"/>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934" w:name="_bookmark188"/>
      <w:bookmarkEnd w:id="934"/>
      <w:bookmarkStart w:id="935" w:name="_Toc12663"/>
      <w:bookmarkStart w:id="936" w:name="_Toc9220"/>
      <w:bookmarkStart w:id="937" w:name="_Toc12467"/>
      <w:r>
        <w:rPr>
          <w:rFonts w:ascii="宋体" w:hAnsi="宋体"/>
          <w:b w:val="0"/>
          <w:color w:val="000000" w:themeColor="text1"/>
          <w:sz w:val="21"/>
          <w:szCs w:val="21"/>
          <w:highlight w:val="none"/>
          <w14:textFill>
            <w14:solidFill>
              <w14:schemeClr w14:val="tx1"/>
            </w14:solidFill>
          </w14:textFill>
        </w:rPr>
        <w:t>（三）发包人财产使用要求及退还要求</w:t>
      </w:r>
      <w:bookmarkEnd w:id="935"/>
      <w:bookmarkEnd w:id="936"/>
      <w:bookmarkEnd w:id="937"/>
    </w:p>
    <w:p w14:paraId="1026A3DA">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1.发包人财产使用要求</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02BF9638">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2.发包人财产退还要求</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3A7F383E">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38" w:name="_bookmark189"/>
      <w:bookmarkEnd w:id="938"/>
      <w:bookmarkStart w:id="939" w:name="_Toc10479"/>
      <w:bookmarkStart w:id="940" w:name="_Toc8878"/>
      <w:bookmarkStart w:id="941" w:name="_Toc26938"/>
      <w:r>
        <w:rPr>
          <w:rFonts w:hint="eastAsia" w:ascii="黑体" w:hAnsi="黑体" w:eastAsia="黑体"/>
          <w:b w:val="0"/>
          <w:color w:val="000000" w:themeColor="text1"/>
          <w:sz w:val="28"/>
          <w:szCs w:val="28"/>
          <w:highlight w:val="none"/>
          <w14:textFill>
            <w14:solidFill>
              <w14:schemeClr w14:val="tx1"/>
            </w14:solidFill>
          </w14:textFill>
        </w:rPr>
        <w:t>七</w:t>
      </w:r>
      <w:r>
        <w:rPr>
          <w:rFonts w:ascii="黑体" w:hAnsi="黑体" w:eastAsia="黑体"/>
          <w:b w:val="0"/>
          <w:color w:val="000000" w:themeColor="text1"/>
          <w:sz w:val="28"/>
          <w:szCs w:val="28"/>
          <w:highlight w:val="none"/>
          <w14:textFill>
            <w14:solidFill>
              <w14:schemeClr w14:val="tx1"/>
            </w14:solidFill>
          </w14:textFill>
        </w:rPr>
        <w:t>、发包人提供的便利条件</w:t>
      </w:r>
      <w:bookmarkEnd w:id="939"/>
      <w:bookmarkEnd w:id="940"/>
      <w:bookmarkEnd w:id="941"/>
    </w:p>
    <w:p w14:paraId="0DA9008D">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1.发包人提供的生活条件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2FDFC36A">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2.发包人提供的交通条件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335225A0">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3.发包人提供的网络、通讯条件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1215D129">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4.发包人提供的协助人员</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73151945">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42" w:name="_bookmark190"/>
      <w:bookmarkEnd w:id="942"/>
      <w:bookmarkStart w:id="943" w:name="_Toc20651"/>
      <w:bookmarkStart w:id="944" w:name="_Toc2849"/>
      <w:bookmarkStart w:id="945" w:name="_Toc28025"/>
      <w:r>
        <w:rPr>
          <w:rFonts w:hint="eastAsia" w:ascii="黑体" w:hAnsi="黑体" w:eastAsia="黑体"/>
          <w:b w:val="0"/>
          <w:color w:val="000000" w:themeColor="text1"/>
          <w:sz w:val="28"/>
          <w:szCs w:val="28"/>
          <w:highlight w:val="none"/>
          <w14:textFill>
            <w14:solidFill>
              <w14:schemeClr w14:val="tx1"/>
            </w14:solidFill>
          </w14:textFill>
        </w:rPr>
        <w:t>八</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中标</w:t>
      </w:r>
      <w:r>
        <w:rPr>
          <w:rFonts w:ascii="黑体" w:hAnsi="黑体" w:eastAsia="黑体"/>
          <w:b w:val="0"/>
          <w:color w:val="000000" w:themeColor="text1"/>
          <w:sz w:val="28"/>
          <w:szCs w:val="28"/>
          <w:highlight w:val="none"/>
          <w14:textFill>
            <w14:solidFill>
              <w14:schemeClr w14:val="tx1"/>
            </w14:solidFill>
          </w14:textFill>
        </w:rPr>
        <w:t>人需要自备的工作条件</w:t>
      </w:r>
      <w:bookmarkEnd w:id="943"/>
      <w:bookmarkEnd w:id="944"/>
      <w:bookmarkEnd w:id="945"/>
    </w:p>
    <w:p w14:paraId="76698497">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人自备的工作手册：</w:t>
      </w:r>
      <w:r>
        <w:rPr>
          <w:rFonts w:hint="eastAsia" w:ascii="宋体" w:hAnsi="宋体"/>
          <w:color w:val="000000" w:themeColor="text1"/>
          <w:sz w:val="21"/>
          <w:szCs w:val="21"/>
          <w:highlight w:val="none"/>
          <w:u w:val="single"/>
          <w14:textFill>
            <w14:solidFill>
              <w14:schemeClr w14:val="tx1"/>
            </w14:solidFill>
          </w14:textFill>
        </w:rPr>
        <w:t xml:space="preserve">                                                         </w:t>
      </w:r>
    </w:p>
    <w:p w14:paraId="11C0FEFE">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人自备的办公设备：</w:t>
      </w:r>
      <w:r>
        <w:rPr>
          <w:rFonts w:hint="eastAsia" w:ascii="宋体" w:hAnsi="宋体"/>
          <w:color w:val="000000" w:themeColor="text1"/>
          <w:sz w:val="21"/>
          <w:szCs w:val="21"/>
          <w:highlight w:val="none"/>
          <w:u w:val="single"/>
          <w14:textFill>
            <w14:solidFill>
              <w14:schemeClr w14:val="tx1"/>
            </w14:solidFill>
          </w14:textFill>
        </w:rPr>
        <w:t xml:space="preserve">                                                          </w:t>
      </w:r>
    </w:p>
    <w:p w14:paraId="0D50D276">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人自备的交通工具：</w:t>
      </w:r>
      <w:r>
        <w:rPr>
          <w:rFonts w:hint="eastAsia" w:ascii="宋体" w:hAnsi="宋体"/>
          <w:color w:val="000000" w:themeColor="text1"/>
          <w:sz w:val="21"/>
          <w:szCs w:val="21"/>
          <w:highlight w:val="none"/>
          <w:u w:val="single"/>
          <w14:textFill>
            <w14:solidFill>
              <w14:schemeClr w14:val="tx1"/>
            </w14:solidFill>
          </w14:textFill>
        </w:rPr>
        <w:t xml:space="preserve">                                                         </w:t>
      </w:r>
    </w:p>
    <w:p w14:paraId="0A490F07">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人自备的现场办公设施：</w:t>
      </w:r>
      <w:r>
        <w:rPr>
          <w:rFonts w:hint="eastAsia" w:ascii="宋体" w:hAnsi="宋体"/>
          <w:color w:val="000000" w:themeColor="text1"/>
          <w:sz w:val="21"/>
          <w:szCs w:val="21"/>
          <w:highlight w:val="none"/>
          <w:u w:val="single"/>
          <w14:textFill>
            <w14:solidFill>
              <w14:schemeClr w14:val="tx1"/>
            </w14:solidFill>
          </w14:textFill>
        </w:rPr>
        <w:t xml:space="preserve">                                                      </w:t>
      </w:r>
    </w:p>
    <w:p w14:paraId="414A10BB">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人自备的安全设施：</w:t>
      </w:r>
      <w:r>
        <w:rPr>
          <w:rFonts w:hint="eastAsia" w:ascii="宋体" w:hAnsi="宋体"/>
          <w:color w:val="000000" w:themeColor="text1"/>
          <w:sz w:val="21"/>
          <w:szCs w:val="21"/>
          <w:highlight w:val="none"/>
          <w:u w:val="single"/>
          <w14:textFill>
            <w14:solidFill>
              <w14:schemeClr w14:val="tx1"/>
            </w14:solidFill>
          </w14:textFill>
        </w:rPr>
        <w:t xml:space="preserve">                                                           </w:t>
      </w:r>
    </w:p>
    <w:p w14:paraId="24DEB8A5">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46" w:name="_bookmark191"/>
      <w:bookmarkEnd w:id="946"/>
      <w:bookmarkStart w:id="947" w:name="_Toc8748"/>
      <w:bookmarkStart w:id="948" w:name="_Toc16346"/>
      <w:bookmarkStart w:id="949" w:name="_Toc5173"/>
      <w:r>
        <w:rPr>
          <w:rFonts w:hint="eastAsia" w:ascii="黑体" w:hAnsi="黑体" w:eastAsia="黑体"/>
          <w:b w:val="0"/>
          <w:color w:val="000000" w:themeColor="text1"/>
          <w:sz w:val="28"/>
          <w:szCs w:val="28"/>
          <w:highlight w:val="none"/>
          <w14:textFill>
            <w14:solidFill>
              <w14:schemeClr w14:val="tx1"/>
            </w14:solidFill>
          </w14:textFill>
        </w:rPr>
        <w:t>九</w:t>
      </w:r>
      <w:r>
        <w:rPr>
          <w:rFonts w:ascii="黑体" w:hAnsi="黑体" w:eastAsia="黑体"/>
          <w:b w:val="0"/>
          <w:color w:val="000000" w:themeColor="text1"/>
          <w:sz w:val="28"/>
          <w:szCs w:val="28"/>
          <w:highlight w:val="none"/>
          <w14:textFill>
            <w14:solidFill>
              <w14:schemeClr w14:val="tx1"/>
            </w14:solidFill>
          </w14:textFill>
        </w:rPr>
        <w:t>、发包人的其他要求</w:t>
      </w:r>
      <w:r>
        <w:rPr>
          <w:rFonts w:hint="eastAsia" w:ascii="黑体" w:hAnsi="黑体" w:eastAsia="黑体"/>
          <w:b w:val="0"/>
          <w:color w:val="000000" w:themeColor="text1"/>
          <w:sz w:val="28"/>
          <w:szCs w:val="28"/>
          <w:highlight w:val="none"/>
          <w14:textFill>
            <w14:solidFill>
              <w14:schemeClr w14:val="tx1"/>
            </w14:solidFill>
          </w14:textFill>
        </w:rPr>
        <w:t>：</w:t>
      </w:r>
      <w:bookmarkEnd w:id="947"/>
      <w:bookmarkEnd w:id="948"/>
      <w:bookmarkEnd w:id="949"/>
    </w:p>
    <w:p w14:paraId="12EEF5FD">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7C57B861">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79F8C36F">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06D9CA24">
      <w:pPr>
        <w:pStyle w:val="4"/>
        <w:jc w:val="center"/>
        <w:rPr>
          <w:rFonts w:ascii="黑体" w:hAnsi="黑体" w:eastAsia="黑体"/>
          <w:b w:val="0"/>
          <w:color w:val="000000" w:themeColor="text1"/>
          <w:sz w:val="28"/>
          <w:szCs w:val="28"/>
          <w:highlight w:val="none"/>
          <w14:textFill>
            <w14:solidFill>
              <w14:schemeClr w14:val="tx1"/>
            </w14:solidFill>
          </w14:textFill>
        </w:rPr>
      </w:pPr>
    </w:p>
    <w:p w14:paraId="127473F7">
      <w:pPr>
        <w:rPr>
          <w:color w:val="000000" w:themeColor="text1"/>
          <w:highlight w:val="none"/>
          <w14:textFill>
            <w14:solidFill>
              <w14:schemeClr w14:val="tx1"/>
            </w14:solidFill>
          </w14:textFill>
        </w:rPr>
      </w:pPr>
    </w:p>
    <w:p w14:paraId="08134016">
      <w:pPr>
        <w:rPr>
          <w:color w:val="000000" w:themeColor="text1"/>
          <w:highlight w:val="none"/>
          <w14:textFill>
            <w14:solidFill>
              <w14:schemeClr w14:val="tx1"/>
            </w14:solidFill>
          </w14:textFill>
        </w:rPr>
      </w:pPr>
    </w:p>
    <w:p w14:paraId="71CDAD7E">
      <w:pPr>
        <w:rPr>
          <w:color w:val="000000" w:themeColor="text1"/>
          <w:highlight w:val="none"/>
          <w14:textFill>
            <w14:solidFill>
              <w14:schemeClr w14:val="tx1"/>
            </w14:solidFill>
          </w14:textFill>
        </w:rPr>
      </w:pPr>
    </w:p>
    <w:p w14:paraId="52D752C2">
      <w:pPr>
        <w:rPr>
          <w:color w:val="000000" w:themeColor="text1"/>
          <w:highlight w:val="none"/>
          <w14:textFill>
            <w14:solidFill>
              <w14:schemeClr w14:val="tx1"/>
            </w14:solidFill>
          </w14:textFill>
        </w:rPr>
      </w:pPr>
    </w:p>
    <w:p w14:paraId="103581E9">
      <w:pPr>
        <w:rPr>
          <w:color w:val="000000" w:themeColor="text1"/>
          <w:highlight w:val="none"/>
          <w14:textFill>
            <w14:solidFill>
              <w14:schemeClr w14:val="tx1"/>
            </w14:solidFill>
          </w14:textFill>
        </w:rPr>
      </w:pPr>
    </w:p>
    <w:p w14:paraId="285AB7F8">
      <w:pPr>
        <w:pStyle w:val="4"/>
        <w:jc w:val="center"/>
        <w:rPr>
          <w:rFonts w:ascii="黑体" w:hAnsi="黑体" w:eastAsia="黑体"/>
          <w:b w:val="0"/>
          <w:color w:val="000000" w:themeColor="text1"/>
          <w:sz w:val="28"/>
          <w:szCs w:val="28"/>
          <w:highlight w:val="none"/>
          <w14:textFill>
            <w14:solidFill>
              <w14:schemeClr w14:val="tx1"/>
            </w14:solidFill>
          </w14:textFill>
        </w:rPr>
      </w:pPr>
      <w:bookmarkStart w:id="950" w:name="_Toc5426"/>
      <w:bookmarkStart w:id="951" w:name="_Toc2727"/>
      <w:bookmarkStart w:id="952" w:name="_Toc7632"/>
      <w:r>
        <w:rPr>
          <w:rFonts w:hint="eastAsia" w:ascii="黑体" w:hAnsi="黑体" w:eastAsia="黑体"/>
          <w:b w:val="0"/>
          <w:color w:val="000000" w:themeColor="text1"/>
          <w:sz w:val="28"/>
          <w:szCs w:val="28"/>
          <w:highlight w:val="none"/>
          <w14:textFill>
            <w14:solidFill>
              <w14:schemeClr w14:val="tx1"/>
            </w14:solidFill>
          </w14:textFill>
        </w:rPr>
        <w:t>第六章 发包人要求（适用</w:t>
      </w:r>
      <w:r>
        <w:rPr>
          <w:rFonts w:hint="eastAsia" w:ascii="黑体" w:hAnsi="黑体" w:eastAsia="黑体"/>
          <w:b w:val="0"/>
          <w:color w:val="000000" w:themeColor="text1"/>
          <w:sz w:val="28"/>
          <w:szCs w:val="28"/>
          <w:highlight w:val="none"/>
          <w:lang w:val="en-US" w:eastAsia="zh-CN"/>
          <w14:textFill>
            <w14:solidFill>
              <w14:schemeClr w14:val="tx1"/>
            </w14:solidFill>
          </w14:textFill>
        </w:rPr>
        <w:t>于</w:t>
      </w:r>
      <w:r>
        <w:rPr>
          <w:rFonts w:hint="eastAsia" w:ascii="黑体" w:hAnsi="黑体" w:eastAsia="黑体"/>
          <w:b w:val="0"/>
          <w:color w:val="000000" w:themeColor="text1"/>
          <w:sz w:val="28"/>
          <w:szCs w:val="28"/>
          <w:highlight w:val="none"/>
          <w14:textFill>
            <w14:solidFill>
              <w14:schemeClr w14:val="tx1"/>
            </w14:solidFill>
          </w14:textFill>
        </w:rPr>
        <w:t>市政基础设施工程）</w:t>
      </w:r>
      <w:bookmarkEnd w:id="950"/>
      <w:bookmarkEnd w:id="951"/>
      <w:bookmarkEnd w:id="952"/>
    </w:p>
    <w:p w14:paraId="3F871E09">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53" w:name="_Toc4806"/>
      <w:bookmarkStart w:id="954" w:name="_Toc17374"/>
      <w:bookmarkStart w:id="955" w:name="_Toc16030"/>
      <w:r>
        <w:rPr>
          <w:rFonts w:ascii="黑体" w:hAnsi="黑体" w:eastAsia="黑体"/>
          <w:b w:val="0"/>
          <w:color w:val="000000" w:themeColor="text1"/>
          <w:sz w:val="28"/>
          <w:szCs w:val="28"/>
          <w:highlight w:val="none"/>
          <w14:textFill>
            <w14:solidFill>
              <w14:schemeClr w14:val="tx1"/>
            </w14:solidFill>
          </w14:textFill>
        </w:rPr>
        <w:t>一、设计要求</w:t>
      </w:r>
      <w:bookmarkEnd w:id="953"/>
      <w:bookmarkEnd w:id="954"/>
      <w:bookmarkEnd w:id="955"/>
    </w:p>
    <w:p w14:paraId="0AADB55A">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人应当根据项目情况在本章中明确相应的设计要求，一般应包括以下内容</w:t>
      </w:r>
      <w:r>
        <w:rPr>
          <w:rFonts w:hint="eastAsia" w:ascii="宋体" w:hAnsi="宋体"/>
          <w:color w:val="000000" w:themeColor="text1"/>
          <w:sz w:val="21"/>
          <w:szCs w:val="21"/>
          <w:highlight w:val="none"/>
          <w14:textFill>
            <w14:solidFill>
              <w14:schemeClr w14:val="tx1"/>
            </w14:solidFill>
          </w14:textFill>
        </w:rPr>
        <w:t>。</w:t>
      </w:r>
    </w:p>
    <w:p w14:paraId="697533C7">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1.项目概况</w:t>
      </w:r>
      <w:r>
        <w:rPr>
          <w:rFonts w:hint="eastAsia" w:ascii="宋体" w:hAnsi="宋体"/>
          <w:color w:val="000000" w:themeColor="text1"/>
          <w:sz w:val="21"/>
          <w:szCs w:val="21"/>
          <w:highlight w:val="none"/>
          <w14:textFill>
            <w14:solidFill>
              <w14:schemeClr w14:val="tx1"/>
            </w14:solidFill>
          </w14:textFill>
        </w:rPr>
        <w:t>（包括项目名称、基本情况、使用性质、周边环境、交通情况、自然地理条件、气候及气象条件、抗震设防要求等）：</w:t>
      </w:r>
    </w:p>
    <w:p w14:paraId="78F3E78F">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AB606FB">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752C9B96">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设计目的和任务（包括设计项目所要达到的目的，以及设计单位应承担的任务）：</w:t>
      </w:r>
    </w:p>
    <w:p w14:paraId="0ECDC686">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647982DD">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7E24110">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3.设计条件【包括主要经济技术指标要求（详见规划意见书）、用地及建设规模、交通规划条件、市政规划条件等要求】：</w:t>
      </w:r>
    </w:p>
    <w:p w14:paraId="01B4FBEE">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6FCB642">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7D23804">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4.项目功能要求（包括设计原则、指导思想、功能定位等）：</w:t>
      </w:r>
    </w:p>
    <w:p w14:paraId="62896E05">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7E642F84">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B023ADE">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各专业系统设计要求（包括根据工程项目实际情况，对道路、桥梁、隧道、给水、排水、燃气、公共交通、电力、园林等专业提出要求）：</w:t>
      </w:r>
    </w:p>
    <w:p w14:paraId="06F52D22">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3D073F05">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35A6D73F">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ascii="宋体" w:hAnsi="宋体"/>
          <w:color w:val="000000" w:themeColor="text1"/>
          <w:sz w:val="21"/>
          <w:szCs w:val="21"/>
          <w:highlight w:val="none"/>
          <w14:textFill>
            <w14:solidFill>
              <w14:schemeClr w14:val="tx1"/>
            </w14:solidFill>
          </w14:textFill>
        </w:rPr>
        <w:t xml:space="preserve">.BIM </w:t>
      </w:r>
      <w:r>
        <w:rPr>
          <w:rFonts w:hint="eastAsia" w:ascii="宋体" w:hAnsi="宋体"/>
          <w:color w:val="000000" w:themeColor="text1"/>
          <w:sz w:val="21"/>
          <w:szCs w:val="21"/>
          <w:highlight w:val="none"/>
          <w14:textFill>
            <w14:solidFill>
              <w14:schemeClr w14:val="tx1"/>
            </w14:solidFill>
          </w14:textFill>
        </w:rPr>
        <w:t>技术应用要求（如有，根据招标类型及工程项目实际情况，对设计、施工、运营维护的某一阶段或者几个阶段的</w:t>
      </w:r>
      <w:r>
        <w:rPr>
          <w:rFonts w:ascii="宋体" w:hAnsi="宋体"/>
          <w:color w:val="000000" w:themeColor="text1"/>
          <w:sz w:val="21"/>
          <w:szCs w:val="21"/>
          <w:highlight w:val="none"/>
          <w14:textFill>
            <w14:solidFill>
              <w14:schemeClr w14:val="tx1"/>
            </w14:solidFill>
          </w14:textFill>
        </w:rPr>
        <w:t xml:space="preserve">BIM </w:t>
      </w:r>
      <w:r>
        <w:rPr>
          <w:rFonts w:hint="eastAsia" w:ascii="宋体" w:hAnsi="宋体"/>
          <w:color w:val="000000" w:themeColor="text1"/>
          <w:sz w:val="21"/>
          <w:szCs w:val="21"/>
          <w:highlight w:val="none"/>
          <w14:textFill>
            <w14:solidFill>
              <w14:schemeClr w14:val="tx1"/>
            </w14:solidFill>
          </w14:textFill>
        </w:rPr>
        <w:t>技术应用或全生命期应用提出要求）：</w:t>
      </w:r>
    </w:p>
    <w:p w14:paraId="2A748755">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34D8089">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0B6E0AF">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r>
        <w:rPr>
          <w:rFonts w:ascii="宋体" w:hAnsi="宋体"/>
          <w:color w:val="000000" w:themeColor="text1"/>
          <w:sz w:val="21"/>
          <w:szCs w:val="21"/>
          <w:highlight w:val="none"/>
          <w14:textFill>
            <w14:solidFill>
              <w14:schemeClr w14:val="tx1"/>
            </w14:solidFill>
          </w14:textFill>
        </w:rPr>
        <w:t>.其他要求</w:t>
      </w:r>
      <w:r>
        <w:rPr>
          <w:rFonts w:hint="eastAsia" w:ascii="宋体" w:hAnsi="宋体"/>
          <w:color w:val="000000" w:themeColor="text1"/>
          <w:sz w:val="21"/>
          <w:szCs w:val="21"/>
          <w:highlight w:val="none"/>
          <w14:textFill>
            <w14:solidFill>
              <w14:schemeClr w14:val="tx1"/>
            </w14:solidFill>
          </w14:textFill>
        </w:rPr>
        <w:t>：</w:t>
      </w:r>
    </w:p>
    <w:p w14:paraId="27088F75">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7A79C03B">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495234DF">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56" w:name="_Toc15792"/>
      <w:bookmarkStart w:id="957" w:name="_Toc5905"/>
      <w:bookmarkStart w:id="958" w:name="_Toc9638"/>
      <w:r>
        <w:rPr>
          <w:rFonts w:hint="eastAsia" w:ascii="黑体" w:hAnsi="黑体" w:eastAsia="黑体"/>
          <w:b w:val="0"/>
          <w:color w:val="000000" w:themeColor="text1"/>
          <w:sz w:val="28"/>
          <w:szCs w:val="28"/>
          <w:highlight w:val="none"/>
          <w14:textFill>
            <w14:solidFill>
              <w14:schemeClr w14:val="tx1"/>
            </w14:solidFill>
          </w14:textFill>
        </w:rPr>
        <w:t>二、工程勘察要求（如有时）</w:t>
      </w:r>
      <w:bookmarkEnd w:id="956"/>
      <w:bookmarkEnd w:id="957"/>
      <w:bookmarkEnd w:id="958"/>
    </w:p>
    <w:p w14:paraId="7B6F3BEE">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人应当根据项目情况在本章中明确相应的</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要求，一般应包括以下内容</w:t>
      </w:r>
      <w:r>
        <w:rPr>
          <w:rFonts w:hint="eastAsia" w:ascii="宋体" w:hAnsi="宋体"/>
          <w:color w:val="000000" w:themeColor="text1"/>
          <w:sz w:val="21"/>
          <w:szCs w:val="21"/>
          <w:highlight w:val="none"/>
          <w14:textFill>
            <w14:solidFill>
              <w14:schemeClr w14:val="tx1"/>
            </w14:solidFill>
          </w14:textFill>
        </w:rPr>
        <w:t>。</w:t>
      </w:r>
    </w:p>
    <w:p w14:paraId="4C579B50">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1.勘察工作范围和内容：</w:t>
      </w:r>
    </w:p>
    <w:p w14:paraId="5F28C908">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15688B37">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6A61A7AF">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2.勘察技术要求：</w:t>
      </w:r>
    </w:p>
    <w:p w14:paraId="678483BE">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454552A6">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661051DD">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3.勘察成果要求：</w:t>
      </w:r>
    </w:p>
    <w:p w14:paraId="076F0B22">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42DE2974">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2BEB7912">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4.其他要求：</w:t>
      </w:r>
    </w:p>
    <w:p w14:paraId="17A69A69">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4D7DA81A">
      <w:pPr>
        <w:pStyle w:val="17"/>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652E7647">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59" w:name="_Toc6977"/>
      <w:bookmarkStart w:id="960" w:name="_Toc28373"/>
      <w:bookmarkStart w:id="961" w:name="_Toc23652"/>
      <w:r>
        <w:rPr>
          <w:rFonts w:hint="eastAsia" w:ascii="黑体" w:hAnsi="黑体" w:eastAsia="黑体"/>
          <w:b w:val="0"/>
          <w:color w:val="000000" w:themeColor="text1"/>
          <w:sz w:val="28"/>
          <w:szCs w:val="28"/>
          <w:highlight w:val="none"/>
          <w14:textFill>
            <w14:solidFill>
              <w14:schemeClr w14:val="tx1"/>
            </w14:solidFill>
          </w14:textFill>
        </w:rPr>
        <w:t>三</w:t>
      </w:r>
      <w:r>
        <w:rPr>
          <w:rFonts w:ascii="黑体" w:hAnsi="黑体" w:eastAsia="黑体"/>
          <w:b w:val="0"/>
          <w:color w:val="000000" w:themeColor="text1"/>
          <w:sz w:val="28"/>
          <w:szCs w:val="28"/>
          <w:highlight w:val="none"/>
          <w14:textFill>
            <w14:solidFill>
              <w14:schemeClr w14:val="tx1"/>
            </w14:solidFill>
          </w14:textFill>
        </w:rPr>
        <w:t>、适用规范标准</w:t>
      </w:r>
      <w:bookmarkEnd w:id="959"/>
      <w:bookmarkEnd w:id="960"/>
      <w:bookmarkEnd w:id="961"/>
    </w:p>
    <w:p w14:paraId="0EBB2BD6">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本工程的设计（勘察）过程和成果必须符合国家有关工程建设标准强制性条文和住房和城乡建设部关于市政基础设施工程设计（勘察）方面现行的标准、规范、规程、定额、办法、示例以及福建省、厦门市关于市政基础设施工程设计（勘察）方面的文件、规定。</w:t>
      </w:r>
    </w:p>
    <w:p w14:paraId="3D48E212">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在设计（勘察）过程中，如果国家或有关部门颁布了新的技术标准或规范，则中标人应采用新的标准或规范进行设计（勘察）。</w:t>
      </w:r>
    </w:p>
    <w:p w14:paraId="752D37F5">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2.中标人在设计（勘察）工作中必须使用下述标准、规范（不限于）：</w:t>
      </w:r>
    </w:p>
    <w:p w14:paraId="75B46009">
      <w:pPr>
        <w:pStyle w:val="17"/>
        <w:spacing w:after="0" w:line="360" w:lineRule="auto"/>
        <w:ind w:left="2819" w:leftChars="202" w:hanging="2415" w:hangingChars="115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0596CB19">
      <w:pPr>
        <w:pStyle w:val="17"/>
        <w:spacing w:after="0" w:line="360" w:lineRule="auto"/>
        <w:ind w:left="2819" w:leftChars="202" w:hanging="2415" w:hangingChars="115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6D9D3698">
      <w:pPr>
        <w:pStyle w:val="17"/>
        <w:spacing w:after="0" w:line="360" w:lineRule="auto"/>
        <w:ind w:left="2819" w:leftChars="202" w:hanging="2415" w:hangingChars="115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14:paraId="7C0FD9E4">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62" w:name="_Toc24544"/>
      <w:bookmarkStart w:id="963" w:name="_Toc23898"/>
      <w:bookmarkStart w:id="964" w:name="_Toc13459"/>
      <w:r>
        <w:rPr>
          <w:rFonts w:hint="eastAsia" w:ascii="黑体" w:hAnsi="黑体" w:eastAsia="黑体"/>
          <w:b w:val="0"/>
          <w:color w:val="000000" w:themeColor="text1"/>
          <w:sz w:val="28"/>
          <w:szCs w:val="28"/>
          <w:highlight w:val="none"/>
          <w14:textFill>
            <w14:solidFill>
              <w14:schemeClr w14:val="tx1"/>
            </w14:solidFill>
          </w14:textFill>
        </w:rPr>
        <w:t>四</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技术文件</w:t>
      </w:r>
      <w:r>
        <w:rPr>
          <w:rFonts w:ascii="黑体" w:hAnsi="黑体" w:eastAsia="黑体"/>
          <w:b w:val="0"/>
          <w:color w:val="000000" w:themeColor="text1"/>
          <w:sz w:val="28"/>
          <w:szCs w:val="28"/>
          <w:highlight w:val="none"/>
          <w14:textFill>
            <w14:solidFill>
              <w14:schemeClr w14:val="tx1"/>
            </w14:solidFill>
          </w14:textFill>
        </w:rPr>
        <w:t>要求</w:t>
      </w:r>
      <w:bookmarkEnd w:id="962"/>
      <w:bookmarkEnd w:id="963"/>
      <w:bookmarkEnd w:id="964"/>
    </w:p>
    <w:p w14:paraId="55182431">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（一）技术</w:t>
      </w:r>
      <w:r>
        <w:rPr>
          <w:rFonts w:ascii="宋体" w:hAnsi="宋体"/>
          <w:color w:val="000000" w:themeColor="text1"/>
          <w:sz w:val="21"/>
          <w:szCs w:val="21"/>
          <w:highlight w:val="none"/>
          <w14:textFill>
            <w14:solidFill>
              <w14:schemeClr w14:val="tx1"/>
            </w14:solidFill>
          </w14:textFill>
        </w:rPr>
        <w:t>文件的组成：</w:t>
      </w:r>
    </w:p>
    <w:p w14:paraId="3B2D3DB5">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1.设计说明和设计图纸汇编本</w:t>
      </w:r>
    </w:p>
    <w:p w14:paraId="5CBE8DC1">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2.勘察纲要（发包内容包含勘察的，应当提交勘察纲要）</w:t>
      </w:r>
    </w:p>
    <w:p w14:paraId="2D808E3F">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3.展示图、演示盘、模型和</w:t>
      </w:r>
      <w:r>
        <w:rPr>
          <w:rFonts w:ascii="宋体" w:hAnsi="宋体"/>
          <w:color w:val="000000" w:themeColor="text1"/>
          <w:sz w:val="21"/>
          <w:szCs w:val="21"/>
          <w:highlight w:val="none"/>
          <w14:textFill>
            <w14:solidFill>
              <w14:schemeClr w14:val="tx1"/>
            </w14:solidFill>
          </w14:textFill>
        </w:rPr>
        <w:t>BIM</w:t>
      </w:r>
      <w:r>
        <w:rPr>
          <w:rFonts w:hint="eastAsia" w:ascii="宋体" w:hAnsi="宋体"/>
          <w:color w:val="000000" w:themeColor="text1"/>
          <w:sz w:val="21"/>
          <w:szCs w:val="21"/>
          <w:highlight w:val="none"/>
          <w14:textFill>
            <w14:solidFill>
              <w14:schemeClr w14:val="tx1"/>
            </w14:solidFill>
          </w14:textFill>
        </w:rPr>
        <w:t>动态演示视频等其他技术文件（当招标文件有要求时须提供）</w:t>
      </w:r>
    </w:p>
    <w:p w14:paraId="6077BCF5">
      <w:pPr>
        <w:spacing w:line="360" w:lineRule="auto"/>
        <w:ind w:firstLine="420" w:firstLineChars="200"/>
        <w:jc w:val="left"/>
        <w:rPr>
          <w:rFonts w:ascii="宋体" w:hAnsi="宋体" w:cs="仿宋_GB2312"/>
          <w:bCs/>
          <w:color w:val="000000" w:themeColor="text1"/>
          <w:sz w:val="21"/>
          <w:szCs w:val="21"/>
          <w:highlight w:val="none"/>
          <w:lang w:val="zh-CN"/>
          <w14:textFill>
            <w14:solidFill>
              <w14:schemeClr w14:val="tx1"/>
            </w14:solidFill>
          </w14:textFill>
        </w:rPr>
      </w:pPr>
      <w:r>
        <w:rPr>
          <w:rFonts w:hint="eastAsia" w:ascii="宋体" w:hAnsi="宋体" w:cs="仿宋_GB2312"/>
          <w:bCs/>
          <w:color w:val="000000" w:themeColor="text1"/>
          <w:sz w:val="21"/>
          <w:szCs w:val="21"/>
          <w:highlight w:val="none"/>
          <w:lang w:val="zh-CN"/>
          <w14:textFill>
            <w14:solidFill>
              <w14:schemeClr w14:val="tx1"/>
            </w14:solidFill>
          </w14:textFill>
        </w:rPr>
        <w:t>（二）设计文件编制要求</w:t>
      </w:r>
    </w:p>
    <w:p w14:paraId="20B34E08">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市政工程设计应按照科学发展观，全面贯彻适用、经济，在可能条件下注意美观的原则。市政工程设计方案要与当地经济发展水平相适应，积极鼓励采用节能、节地、节水、节材、环保技术的市政工程设计方案。</w:t>
      </w:r>
    </w:p>
    <w:p w14:paraId="50C3A687">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市政工程设计应严格执行《建设工程质量管理条例》、《建设工程勘察设计管理条例》和国家强制性标准条文；所设计道路、桥隧、排水、给水、电力、电信、燃气、园林等标准或用量，应符合国家规划、建设、交通运输等有关部委及本省、市有关部门制定的工程设计标准和规定。满足现行的市政工程建设标准、设计规范（规程）和招标文件规定的相应设计文件编制深度要求。</w:t>
      </w:r>
    </w:p>
    <w:p w14:paraId="62EB3153">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3.提交的设计文件应符合有关主管部门制定的勘察设计标准、规范、规程、定额和办法的要求，并能够通过审查。</w:t>
      </w:r>
    </w:p>
    <w:p w14:paraId="36F4A17C">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4.提交的概算应符合有关造价管理部门的规定要求，并按审查意见进行修改。</w:t>
      </w:r>
    </w:p>
    <w:p w14:paraId="0B13BEC6">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5.设计方案应符合本项目可行性研究报告批复或初步设计批复的有关强制性要求。</w:t>
      </w:r>
    </w:p>
    <w:p w14:paraId="0BA64E6F">
      <w:pPr>
        <w:pStyle w:val="17"/>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6.技术文件编制深度要求详见</w:t>
      </w:r>
      <w:r>
        <w:rPr>
          <w:rFonts w:hint="eastAsia" w:ascii="宋体" w:hAnsi="宋体"/>
          <w:color w:val="000000" w:themeColor="text1"/>
          <w:kern w:val="2"/>
          <w:sz w:val="21"/>
          <w:szCs w:val="21"/>
          <w:highlight w:val="none"/>
          <w14:textFill>
            <w14:solidFill>
              <w14:schemeClr w14:val="tx1"/>
            </w14:solidFill>
          </w14:textFill>
        </w:rPr>
        <w:t>住建部</w:t>
      </w:r>
      <w:r>
        <w:rPr>
          <w:rFonts w:hint="eastAsia" w:ascii="宋体" w:hAnsi="宋体"/>
          <w:color w:val="000000" w:themeColor="text1"/>
          <w:kern w:val="2"/>
          <w:sz w:val="21"/>
          <w:szCs w:val="21"/>
          <w:highlight w:val="none"/>
          <w:lang w:val="en-US" w:eastAsia="zh-CN"/>
          <w14:textFill>
            <w14:solidFill>
              <w14:schemeClr w14:val="tx1"/>
            </w14:solidFill>
          </w14:textFill>
        </w:rPr>
        <w:t>印发的</w:t>
      </w:r>
      <w:r>
        <w:rPr>
          <w:rFonts w:hint="eastAsia" w:ascii="宋体" w:hAnsi="宋体"/>
          <w:color w:val="000000" w:themeColor="text1"/>
          <w:kern w:val="2"/>
          <w:sz w:val="21"/>
          <w:szCs w:val="21"/>
          <w:highlight w:val="none"/>
          <w14:textFill>
            <w14:solidFill>
              <w14:schemeClr w14:val="tx1"/>
            </w14:solidFill>
          </w14:textFill>
        </w:rPr>
        <w:t>《市政公用工程设计文件编制深度规定》（2013年版）</w:t>
      </w:r>
      <w:r>
        <w:rPr>
          <w:rFonts w:hint="eastAsia" w:ascii="宋体" w:hAnsi="宋体"/>
          <w:color w:val="000000" w:themeColor="text1"/>
          <w:kern w:val="2"/>
          <w:sz w:val="21"/>
          <w:szCs w:val="21"/>
          <w:highlight w:val="none"/>
          <w:lang w:val="en-US" w:eastAsia="zh-CN"/>
          <w14:textFill>
            <w14:solidFill>
              <w14:schemeClr w14:val="tx1"/>
            </w14:solidFill>
          </w14:textFill>
        </w:rPr>
        <w:t>和</w:t>
      </w:r>
      <w:r>
        <w:rPr>
          <w:rFonts w:hint="eastAsia" w:ascii="宋体" w:hAnsi="宋体" w:eastAsia="宋体" w:cs="Times New Roman"/>
          <w:b w:val="0"/>
          <w:bCs w:val="0"/>
          <w:color w:val="000000" w:themeColor="text1"/>
          <w:kern w:val="2"/>
          <w:sz w:val="21"/>
          <w:szCs w:val="21"/>
          <w:highlight w:val="none"/>
          <w14:textFill>
            <w14:solidFill>
              <w14:schemeClr w14:val="tx1"/>
            </w14:solidFill>
          </w14:textFill>
        </w:rPr>
        <w:t>福建省住房和城乡建设厅</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印发的《福建省市政基础设施工程施工图设计文件编制深度规定(2023年版)》</w:t>
      </w:r>
      <w:r>
        <w:rPr>
          <w:rFonts w:hint="eastAsia" w:ascii="宋体" w:hAnsi="宋体" w:eastAsia="宋体" w:cs="Times New Roman"/>
          <w:color w:val="000000" w:themeColor="text1"/>
          <w:kern w:val="2"/>
          <w:sz w:val="21"/>
          <w:szCs w:val="21"/>
          <w:highlight w:val="none"/>
          <w14:textFill>
            <w14:solidFill>
              <w14:schemeClr w14:val="tx1"/>
            </w14:solidFill>
          </w14:textFill>
        </w:rPr>
        <w:t>（如有新的</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规定</w:t>
      </w:r>
      <w:r>
        <w:rPr>
          <w:rFonts w:hint="eastAsia" w:ascii="宋体" w:hAnsi="宋体" w:eastAsia="宋体" w:cs="Times New Roman"/>
          <w:color w:val="000000" w:themeColor="text1"/>
          <w:kern w:val="2"/>
          <w:sz w:val="21"/>
          <w:szCs w:val="21"/>
          <w:highlight w:val="none"/>
          <w14:textFill>
            <w14:solidFill>
              <w14:schemeClr w14:val="tx1"/>
            </w14:solidFill>
          </w14:textFill>
        </w:rPr>
        <w:t>，则按新的规定执行）</w:t>
      </w:r>
      <w:r>
        <w:rPr>
          <w:rFonts w:hint="eastAsia" w:ascii="宋体" w:hAnsi="宋体"/>
          <w:color w:val="000000" w:themeColor="text1"/>
          <w:sz w:val="21"/>
          <w:szCs w:val="21"/>
          <w:highlight w:val="none"/>
          <w14:textFill>
            <w14:solidFill>
              <w14:schemeClr w14:val="tx1"/>
            </w14:solidFill>
          </w14:textFill>
        </w:rPr>
        <w:t>。</w:t>
      </w:r>
    </w:p>
    <w:p w14:paraId="4B955D93">
      <w:pPr>
        <w:spacing w:line="360" w:lineRule="auto"/>
        <w:ind w:firstLine="424" w:firstLineChars="202"/>
        <w:jc w:val="left"/>
        <w:rPr>
          <w:rFonts w:ascii="宋体" w:hAnsi="宋体" w:cs="仿宋_GB2312"/>
          <w:bCs/>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w:t>
      </w:r>
      <w:r>
        <w:rPr>
          <w:rFonts w:hint="eastAsia" w:ascii="宋体" w:hAnsi="宋体" w:cs="仿宋_GB2312"/>
          <w:bCs/>
          <w:color w:val="000000" w:themeColor="text1"/>
          <w:sz w:val="21"/>
          <w:szCs w:val="21"/>
          <w:highlight w:val="none"/>
          <w:lang w:val="zh-CN"/>
          <w14:textFill>
            <w14:solidFill>
              <w14:schemeClr w14:val="tx1"/>
            </w14:solidFill>
          </w14:textFill>
        </w:rPr>
        <w:t>设计成果要求</w:t>
      </w:r>
    </w:p>
    <w:p w14:paraId="2DB4A54A">
      <w:pPr>
        <w:spacing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1.设计说明和设计图纸汇编本编制要求</w:t>
      </w:r>
    </w:p>
    <w:p w14:paraId="70F253CF">
      <w:pPr>
        <w:spacing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1.1.设计说明：</w:t>
      </w:r>
      <w:r>
        <w:rPr>
          <w:rFonts w:hint="eastAsia" w:ascii="宋体" w:hAnsi="宋体" w:eastAsia="宋体" w:cs="宋体"/>
          <w:i/>
          <w:iCs/>
          <w:color w:val="000000" w:themeColor="text1"/>
          <w:sz w:val="21"/>
          <w:szCs w:val="21"/>
          <w:highlight w:val="none"/>
          <w:u w:val="single"/>
          <w14:textFill>
            <w14:solidFill>
              <w14:schemeClr w14:val="tx1"/>
            </w14:solidFill>
          </w14:textFill>
        </w:rPr>
        <w:t>投标人的设计说明至少应包括以下内容：工程概况、场地现状分析、设计构思、总体布局设计说明（含交通组织、园林景观等）、各专业设计说明、关键技术说明（含拟采用新材料、新设备、新工艺、新技术的说明）、技术经济指标、以及投标人完成设计所独有的有利条件及投标人提出的工程创新、保障设计工期、质量的主要措施、设计方案的主要优点、特点和推荐的主要理由，BIM技术在场地现状、总体布局和各专业设计的应用说明（如有）等</w:t>
      </w:r>
      <w:r>
        <w:rPr>
          <w:rFonts w:hint="eastAsia" w:ascii="宋体" w:hAnsi="宋体" w:cs="宋体"/>
          <w:i/>
          <w:iCs/>
          <w:color w:val="000000" w:themeColor="text1"/>
          <w:sz w:val="21"/>
          <w:szCs w:val="21"/>
          <w:highlight w:val="none"/>
          <w:u w:val="single"/>
          <w14:textFill>
            <w14:solidFill>
              <w14:schemeClr w14:val="tx1"/>
            </w14:solidFill>
          </w14:textFill>
        </w:rPr>
        <w:t>。</w:t>
      </w:r>
      <w:r>
        <w:rPr>
          <w:rStyle w:val="49"/>
          <w:rFonts w:hint="eastAsia" w:ascii="宋体" w:hAnsi="宋体" w:eastAsia="宋体" w:cs="宋体"/>
          <w:i w:val="0"/>
          <w:iCs w:val="0"/>
          <w:color w:val="000000" w:themeColor="text1"/>
          <w:sz w:val="21"/>
          <w:szCs w:val="21"/>
          <w:highlight w:val="none"/>
          <w:u w:val="single"/>
          <w14:textFill>
            <w14:solidFill>
              <w14:schemeClr w14:val="tx1"/>
            </w14:solidFill>
          </w14:textFill>
        </w:rPr>
        <w:footnoteReference w:id="69"/>
      </w:r>
    </w:p>
    <w:p w14:paraId="1C8AFA7F">
      <w:pPr>
        <w:spacing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snapToGrid w:val="0"/>
          <w:color w:val="000000" w:themeColor="text1"/>
          <w:sz w:val="21"/>
          <w:szCs w:val="21"/>
          <w:highlight w:val="none"/>
          <w14:textFill>
            <w14:solidFill>
              <w14:schemeClr w14:val="tx1"/>
            </w14:solidFill>
          </w14:textFill>
        </w:rPr>
        <w:t>1.2.设计图纸：</w:t>
      </w:r>
      <w:r>
        <w:rPr>
          <w:rFonts w:hint="eastAsia" w:asciiTheme="minorEastAsia" w:hAnsiTheme="minorEastAsia" w:eastAsiaTheme="minorEastAsia"/>
          <w:i/>
          <w:iCs/>
          <w:snapToGrid w:val="0"/>
          <w:color w:val="000000" w:themeColor="text1"/>
          <w:sz w:val="21"/>
          <w:szCs w:val="21"/>
          <w:highlight w:val="none"/>
          <w:u w:val="single"/>
          <w14:textFill>
            <w14:solidFill>
              <w14:schemeClr w14:val="tx1"/>
            </w14:solidFill>
          </w14:textFill>
        </w:rPr>
        <w:t>投标人的设计图纸至少应包括以下内容：包括环境关系图、总平面、主要平、立、剖面图、功能分析图、交通分析图、绿化分析图、日照分析图、透视效果图等。</w:t>
      </w:r>
      <w:r>
        <w:rPr>
          <w:rStyle w:val="49"/>
          <w:rFonts w:hint="eastAsia" w:asciiTheme="minorEastAsia" w:hAnsiTheme="minorEastAsia" w:eastAsiaTheme="minorEastAsia"/>
          <w:i w:val="0"/>
          <w:iCs w:val="0"/>
          <w:snapToGrid w:val="0"/>
          <w:color w:val="000000" w:themeColor="text1"/>
          <w:sz w:val="21"/>
          <w:szCs w:val="21"/>
          <w:highlight w:val="none"/>
          <w:u w:val="single"/>
          <w14:textFill>
            <w14:solidFill>
              <w14:schemeClr w14:val="tx1"/>
            </w14:solidFill>
          </w14:textFill>
        </w:rPr>
        <w:footnoteReference w:id="70"/>
      </w:r>
    </w:p>
    <w:p w14:paraId="6F2172EC">
      <w:pPr>
        <w:spacing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snapToGrid w:val="0"/>
          <w:color w:val="000000" w:themeColor="text1"/>
          <w:sz w:val="21"/>
          <w:szCs w:val="21"/>
          <w:highlight w:val="none"/>
          <w14:textFill>
            <w14:solidFill>
              <w14:schemeClr w14:val="tx1"/>
            </w14:solidFill>
          </w14:textFill>
        </w:rPr>
        <w:t>1.3.汇编本：</w:t>
      </w:r>
      <w:r>
        <w:rPr>
          <w:rFonts w:hint="eastAsia" w:ascii="宋体" w:hAnsi="宋体"/>
          <w:snapToGrid w:val="0"/>
          <w:color w:val="000000" w:themeColor="text1"/>
          <w:sz w:val="21"/>
          <w:szCs w:val="21"/>
          <w:highlight w:val="none"/>
          <w:u w:val="none"/>
          <w14:textFill>
            <w14:solidFill>
              <w14:schemeClr w14:val="tx1"/>
            </w14:solidFill>
          </w14:textFill>
        </w:rPr>
        <w:t>投标人应当将上述</w:t>
      </w:r>
      <w:r>
        <w:rPr>
          <w:rFonts w:hint="eastAsia" w:ascii="宋体" w:hAnsi="宋体"/>
          <w:color w:val="000000" w:themeColor="text1"/>
          <w:sz w:val="21"/>
          <w:szCs w:val="21"/>
          <w:highlight w:val="none"/>
          <w:u w:val="none"/>
          <w14:textFill>
            <w14:solidFill>
              <w14:schemeClr w14:val="tx1"/>
            </w14:solidFill>
          </w14:textFill>
        </w:rPr>
        <w:t>设计说明和设计图纸汇编成册，《设计说明和图纸汇编本》统一采用A3幅面纸，《设计说明和图纸汇编本》封面必须采用招标文件规定的格式。</w:t>
      </w:r>
    </w:p>
    <w:p w14:paraId="59539258">
      <w:pPr>
        <w:spacing w:line="360" w:lineRule="auto"/>
        <w:ind w:firstLine="567" w:firstLineChars="270"/>
        <w:jc w:val="left"/>
        <w:rPr>
          <w:rFonts w:ascii="宋体" w:hAnsi="宋体"/>
          <w:snapToGrid w:val="0"/>
          <w:color w:val="000000" w:themeColor="text1"/>
          <w:sz w:val="21"/>
          <w:szCs w:val="21"/>
          <w:highlight w:val="none"/>
          <w14:textFill>
            <w14:solidFill>
              <w14:schemeClr w14:val="tx1"/>
            </w14:solidFill>
          </w14:textFill>
        </w:rPr>
      </w:pPr>
      <w:r>
        <w:rPr>
          <w:rFonts w:hint="eastAsia" w:ascii="宋体" w:hAnsi="宋体"/>
          <w:snapToGrid w:val="0"/>
          <w:color w:val="000000" w:themeColor="text1"/>
          <w:sz w:val="21"/>
          <w:szCs w:val="21"/>
          <w:highlight w:val="none"/>
          <w14:textFill>
            <w14:solidFill>
              <w14:schemeClr w14:val="tx1"/>
            </w14:solidFill>
          </w14:textFill>
        </w:rPr>
        <w:t>2.展示图、</w:t>
      </w:r>
      <w:r>
        <w:rPr>
          <w:rFonts w:hint="eastAsia" w:asciiTheme="minorEastAsia" w:hAnsiTheme="minorEastAsia" w:eastAsiaTheme="minorEastAsia"/>
          <w:color w:val="000000" w:themeColor="text1"/>
          <w:sz w:val="21"/>
          <w:szCs w:val="21"/>
          <w:highlight w:val="none"/>
          <w14:textFill>
            <w14:solidFill>
              <w14:schemeClr w14:val="tx1"/>
            </w14:solidFill>
          </w14:textFill>
        </w:rPr>
        <w:t>演示光盘</w:t>
      </w:r>
      <w:r>
        <w:rPr>
          <w:rFonts w:hint="eastAsia" w:ascii="宋体" w:hAnsi="宋体"/>
          <w:color w:val="000000" w:themeColor="text1"/>
          <w:sz w:val="21"/>
          <w:szCs w:val="21"/>
          <w:highlight w:val="none"/>
          <w14:textFill>
            <w14:solidFill>
              <w14:schemeClr w14:val="tx1"/>
            </w14:solidFill>
          </w14:textFill>
        </w:rPr>
        <w:t>、模型和</w:t>
      </w:r>
      <w:r>
        <w:rPr>
          <w:rFonts w:ascii="宋体" w:hAnsi="宋体"/>
          <w:color w:val="000000" w:themeColor="text1"/>
          <w:sz w:val="21"/>
          <w:szCs w:val="21"/>
          <w:highlight w:val="none"/>
          <w14:textFill>
            <w14:solidFill>
              <w14:schemeClr w14:val="tx1"/>
            </w14:solidFill>
          </w14:textFill>
        </w:rPr>
        <w:t>BIM</w:t>
      </w:r>
      <w:r>
        <w:rPr>
          <w:rFonts w:hint="eastAsia" w:ascii="宋体" w:hAnsi="宋体"/>
          <w:color w:val="000000" w:themeColor="text1"/>
          <w:sz w:val="21"/>
          <w:szCs w:val="21"/>
          <w:highlight w:val="none"/>
          <w14:textFill>
            <w14:solidFill>
              <w14:schemeClr w14:val="tx1"/>
            </w14:solidFill>
          </w14:textFill>
        </w:rPr>
        <w:t>动态演示视频</w:t>
      </w:r>
      <w:r>
        <w:rPr>
          <w:rFonts w:hint="eastAsia" w:asciiTheme="minorEastAsia" w:hAnsiTheme="minorEastAsia" w:eastAsiaTheme="minorEastAsia"/>
          <w:color w:val="000000" w:themeColor="text1"/>
          <w:sz w:val="21"/>
          <w:szCs w:val="21"/>
          <w:highlight w:val="none"/>
          <w14:textFill>
            <w14:solidFill>
              <w14:schemeClr w14:val="tx1"/>
            </w14:solidFill>
          </w14:textFill>
        </w:rPr>
        <w:t>要求</w:t>
      </w:r>
      <w:r>
        <w:rPr>
          <w:rFonts w:hint="eastAsia" w:ascii="宋体" w:hAnsi="宋体"/>
          <w:snapToGrid w:val="0"/>
          <w:color w:val="000000" w:themeColor="text1"/>
          <w:sz w:val="21"/>
          <w:szCs w:val="21"/>
          <w:highlight w:val="none"/>
          <w14:textFill>
            <w14:solidFill>
              <w14:schemeClr w14:val="tx1"/>
            </w14:solidFill>
          </w14:textFill>
        </w:rPr>
        <w:t>见投标须知前附表。</w:t>
      </w:r>
    </w:p>
    <w:p w14:paraId="662CE4AA">
      <w:pPr>
        <w:spacing w:line="360" w:lineRule="auto"/>
        <w:ind w:firstLine="567" w:firstLineChars="27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（四）勘察纲要编制要求（如有时）</w:t>
      </w:r>
    </w:p>
    <w:p w14:paraId="180E9589">
      <w:pPr>
        <w:spacing w:line="360" w:lineRule="auto"/>
        <w:ind w:firstLine="567" w:firstLineChars="27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1.勘察纲要的内容应当完整。</w:t>
      </w:r>
    </w:p>
    <w:p w14:paraId="72E21B8C">
      <w:pPr>
        <w:spacing w:line="360" w:lineRule="auto"/>
        <w:ind w:firstLine="567" w:firstLineChars="27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2.勘察纲要</w:t>
      </w:r>
      <w:r>
        <w:rPr>
          <w:rFonts w:hint="eastAsia" w:ascii="宋体" w:hAnsi="宋体"/>
          <w:color w:val="000000" w:themeColor="text1"/>
          <w:sz w:val="21"/>
          <w:szCs w:val="21"/>
          <w:highlight w:val="none"/>
          <w14:textFill>
            <w14:solidFill>
              <w14:schemeClr w14:val="tx1"/>
            </w14:solidFill>
          </w14:textFill>
        </w:rPr>
        <w:t>至少</w:t>
      </w:r>
      <w:r>
        <w:rPr>
          <w:rFonts w:ascii="宋体" w:hAnsi="宋体"/>
          <w:color w:val="000000" w:themeColor="text1"/>
          <w:sz w:val="21"/>
          <w:szCs w:val="21"/>
          <w:highlight w:val="none"/>
          <w14:textFill>
            <w14:solidFill>
              <w14:schemeClr w14:val="tx1"/>
            </w14:solidFill>
          </w14:textFill>
        </w:rPr>
        <w:t>应包括以下内容</w:t>
      </w:r>
      <w:r>
        <w:rPr>
          <w:rFonts w:hint="eastAsia" w:ascii="宋体" w:hAnsi="宋体"/>
          <w:color w:val="000000" w:themeColor="text1"/>
          <w:sz w:val="21"/>
          <w:szCs w:val="21"/>
          <w:highlight w:val="none"/>
          <w14:textFill>
            <w14:solidFill>
              <w14:schemeClr w14:val="tx1"/>
            </w14:solidFill>
          </w14:textFill>
        </w:rPr>
        <w:t>：</w:t>
      </w:r>
    </w:p>
    <w:p w14:paraId="38C14AB1">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①按照设计方案提出勘察布孔方案，并提出对地质调查、勘探与取样、原位测试、工程物探、室内试验等工作技术要求。</w:t>
      </w:r>
    </w:p>
    <w:p w14:paraId="397177E9">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②编制勘察纲要质量控制措施，现场技术交底对测量、钻探、取样、原位测试、物探、室内试验、内业资料整理及分析评价等工作提出质量保证措施。</w:t>
      </w:r>
    </w:p>
    <w:p w14:paraId="61211600">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③提出的满足招标项目安全技术措施和作业安全应急预案。</w:t>
      </w:r>
    </w:p>
    <w:p w14:paraId="411D0754">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④制定满足招标项目要求的工期进度计划和保证措施。</w:t>
      </w:r>
    </w:p>
    <w:p w14:paraId="7C83A48C">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⑤提出招标项目勘察工作的创新思路。</w:t>
      </w:r>
    </w:p>
    <w:p w14:paraId="58F75217">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3.勘察纲要应控制在100页内（不包含封面和封底）。</w:t>
      </w:r>
    </w:p>
    <w:p w14:paraId="30321A9F">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（五）技术文件采用暗标形式递交，均不得盖章或体现投标人名称、具体人名或可以认为是投标人承担过的工程项目名称或其他可以判定投标人的标识或文字。</w:t>
      </w:r>
    </w:p>
    <w:p w14:paraId="57E12B1C">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65" w:name="_Toc11198"/>
      <w:bookmarkStart w:id="966" w:name="_Toc28887"/>
      <w:bookmarkStart w:id="967" w:name="_Toc7785"/>
      <w:r>
        <w:rPr>
          <w:rFonts w:hint="eastAsia" w:ascii="黑体" w:hAnsi="黑体" w:eastAsia="黑体"/>
          <w:b w:val="0"/>
          <w:color w:val="000000" w:themeColor="text1"/>
          <w:sz w:val="28"/>
          <w:szCs w:val="28"/>
          <w:highlight w:val="none"/>
          <w14:textFill>
            <w14:solidFill>
              <w14:schemeClr w14:val="tx1"/>
            </w14:solidFill>
          </w14:textFill>
        </w:rPr>
        <w:t>五、服务要求</w:t>
      </w:r>
      <w:bookmarkEnd w:id="965"/>
      <w:bookmarkEnd w:id="966"/>
      <w:bookmarkEnd w:id="967"/>
    </w:p>
    <w:p w14:paraId="064CDAB5">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服务要求包括设计服务要求和勘察服务要求，格式有发包人自定。</w:t>
      </w:r>
    </w:p>
    <w:p w14:paraId="28932376">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4AA21F1A">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60FE87F5">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0239C2D3">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527008A3">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68" w:name="_Toc1918"/>
      <w:bookmarkStart w:id="969" w:name="_Toc6070"/>
      <w:bookmarkStart w:id="970" w:name="_Toc12613"/>
      <w:r>
        <w:rPr>
          <w:rFonts w:hint="eastAsia" w:ascii="黑体" w:hAnsi="黑体" w:eastAsia="黑体"/>
          <w:b w:val="0"/>
          <w:color w:val="000000" w:themeColor="text1"/>
          <w:sz w:val="28"/>
          <w:szCs w:val="28"/>
          <w:highlight w:val="none"/>
          <w14:textFill>
            <w14:solidFill>
              <w14:schemeClr w14:val="tx1"/>
            </w14:solidFill>
          </w14:textFill>
        </w:rPr>
        <w:t>六</w:t>
      </w:r>
      <w:r>
        <w:rPr>
          <w:rFonts w:ascii="黑体" w:hAnsi="黑体" w:eastAsia="黑体"/>
          <w:b w:val="0"/>
          <w:color w:val="000000" w:themeColor="text1"/>
          <w:sz w:val="28"/>
          <w:szCs w:val="28"/>
          <w:highlight w:val="none"/>
          <w14:textFill>
            <w14:solidFill>
              <w14:schemeClr w14:val="tx1"/>
            </w14:solidFill>
          </w14:textFill>
        </w:rPr>
        <w:t>、发包人财产清单</w:t>
      </w:r>
      <w:bookmarkEnd w:id="968"/>
      <w:bookmarkEnd w:id="969"/>
      <w:bookmarkEnd w:id="970"/>
    </w:p>
    <w:p w14:paraId="2C8868DF">
      <w:pPr>
        <w:pStyle w:val="4"/>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971" w:name="_Toc4384"/>
      <w:bookmarkStart w:id="972" w:name="_Toc20938"/>
      <w:bookmarkStart w:id="973" w:name="_Toc583"/>
      <w:r>
        <w:rPr>
          <w:rFonts w:ascii="宋体" w:hAnsi="宋体"/>
          <w:b w:val="0"/>
          <w:color w:val="000000" w:themeColor="text1"/>
          <w:sz w:val="21"/>
          <w:szCs w:val="21"/>
          <w:highlight w:val="none"/>
          <w14:textFill>
            <w14:solidFill>
              <w14:schemeClr w14:val="tx1"/>
            </w14:solidFill>
          </w14:textFill>
        </w:rPr>
        <w:t>（一）发包人提供的设备、设施</w:t>
      </w:r>
      <w:bookmarkEnd w:id="971"/>
      <w:bookmarkEnd w:id="972"/>
      <w:bookmarkEnd w:id="973"/>
    </w:p>
    <w:p w14:paraId="75B2E06C">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1.发包人提供的办公房屋及冷暖设施：</w:t>
      </w:r>
      <w:r>
        <w:rPr>
          <w:rFonts w:hint="eastAsia" w:ascii="宋体" w:hAnsi="宋体"/>
          <w:color w:val="000000" w:themeColor="text1"/>
          <w:sz w:val="21"/>
          <w:szCs w:val="21"/>
          <w:highlight w:val="none"/>
          <w:u w:val="single"/>
          <w14:textFill>
            <w14:solidFill>
              <w14:schemeClr w14:val="tx1"/>
            </w14:solidFill>
          </w14:textFill>
        </w:rPr>
        <w:t xml:space="preserve">                                               </w:t>
      </w:r>
    </w:p>
    <w:p w14:paraId="737E4AD7">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2.发包人提供的设备清单：</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276073DD">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3.发包人提供的设施清单：</w:t>
      </w:r>
      <w:r>
        <w:rPr>
          <w:rFonts w:hint="eastAsia" w:ascii="宋体" w:hAnsi="宋体"/>
          <w:color w:val="000000" w:themeColor="text1"/>
          <w:sz w:val="21"/>
          <w:szCs w:val="21"/>
          <w:highlight w:val="none"/>
          <w:u w:val="single"/>
          <w14:textFill>
            <w14:solidFill>
              <w14:schemeClr w14:val="tx1"/>
            </w14:solidFill>
          </w14:textFill>
        </w:rPr>
        <w:t xml:space="preserve">                                                          </w:t>
      </w:r>
    </w:p>
    <w:p w14:paraId="259347C2">
      <w:pPr>
        <w:pStyle w:val="4"/>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974" w:name="_Toc19658"/>
      <w:bookmarkStart w:id="975" w:name="_Toc17010"/>
      <w:bookmarkStart w:id="976" w:name="_Toc24426"/>
      <w:r>
        <w:rPr>
          <w:rFonts w:ascii="宋体" w:hAnsi="宋体"/>
          <w:b w:val="0"/>
          <w:color w:val="000000" w:themeColor="text1"/>
          <w:sz w:val="21"/>
          <w:szCs w:val="21"/>
          <w:highlight w:val="none"/>
          <w14:textFill>
            <w14:solidFill>
              <w14:schemeClr w14:val="tx1"/>
            </w14:solidFill>
          </w14:textFill>
        </w:rPr>
        <w:t>（二）发包人提供的资料</w:t>
      </w:r>
      <w:bookmarkEnd w:id="974"/>
      <w:bookmarkEnd w:id="975"/>
      <w:bookmarkEnd w:id="976"/>
    </w:p>
    <w:p w14:paraId="2C280F5C">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1.发包人提供的</w:t>
      </w:r>
      <w:r>
        <w:rPr>
          <w:rFonts w:hint="eastAsia" w:ascii="宋体" w:hAnsi="宋体"/>
          <w:color w:val="000000" w:themeColor="text1"/>
          <w:sz w:val="21"/>
          <w:szCs w:val="21"/>
          <w:highlight w:val="none"/>
          <w14:textFill>
            <w14:solidFill>
              <w14:schemeClr w14:val="tx1"/>
            </w14:solidFill>
          </w14:textFill>
        </w:rPr>
        <w:t>设计（勘察）有关资料</w:t>
      </w:r>
      <w:r>
        <w:rPr>
          <w:rStyle w:val="49"/>
          <w:rFonts w:ascii="宋体" w:hAnsi="宋体"/>
          <w:color w:val="000000" w:themeColor="text1"/>
          <w:sz w:val="21"/>
          <w:szCs w:val="21"/>
          <w:highlight w:val="none"/>
          <w14:textFill>
            <w14:solidFill>
              <w14:schemeClr w14:val="tx1"/>
            </w14:solidFill>
          </w14:textFill>
        </w:rPr>
        <w:footnoteReference w:id="71"/>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0FAAF82B">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.其他资料</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251FA96E">
      <w:pPr>
        <w:pStyle w:val="4"/>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977" w:name="_Toc27427"/>
      <w:bookmarkStart w:id="978" w:name="_Toc8335"/>
      <w:bookmarkStart w:id="979" w:name="_Toc23179"/>
      <w:r>
        <w:rPr>
          <w:rFonts w:ascii="宋体" w:hAnsi="宋体"/>
          <w:b w:val="0"/>
          <w:color w:val="000000" w:themeColor="text1"/>
          <w:sz w:val="21"/>
          <w:szCs w:val="21"/>
          <w:highlight w:val="none"/>
          <w14:textFill>
            <w14:solidFill>
              <w14:schemeClr w14:val="tx1"/>
            </w14:solidFill>
          </w14:textFill>
        </w:rPr>
        <w:t>（三）发包人财产使用要求及退还要求</w:t>
      </w:r>
      <w:bookmarkEnd w:id="977"/>
      <w:bookmarkEnd w:id="978"/>
      <w:bookmarkEnd w:id="979"/>
    </w:p>
    <w:p w14:paraId="222D90C0">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1.发包人财产使用要求</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38F3C8E9">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2.发包人财产退还要求</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6F38C3AF">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80" w:name="_Toc12696"/>
      <w:bookmarkStart w:id="981" w:name="_Toc20407"/>
      <w:bookmarkStart w:id="982" w:name="_Toc16844"/>
      <w:r>
        <w:rPr>
          <w:rFonts w:hint="eastAsia" w:ascii="黑体" w:hAnsi="黑体" w:eastAsia="黑体"/>
          <w:b w:val="0"/>
          <w:color w:val="000000" w:themeColor="text1"/>
          <w:sz w:val="28"/>
          <w:szCs w:val="28"/>
          <w:highlight w:val="none"/>
          <w14:textFill>
            <w14:solidFill>
              <w14:schemeClr w14:val="tx1"/>
            </w14:solidFill>
          </w14:textFill>
        </w:rPr>
        <w:t>七</w:t>
      </w:r>
      <w:r>
        <w:rPr>
          <w:rFonts w:ascii="黑体" w:hAnsi="黑体" w:eastAsia="黑体"/>
          <w:b w:val="0"/>
          <w:color w:val="000000" w:themeColor="text1"/>
          <w:sz w:val="28"/>
          <w:szCs w:val="28"/>
          <w:highlight w:val="none"/>
          <w14:textFill>
            <w14:solidFill>
              <w14:schemeClr w14:val="tx1"/>
            </w14:solidFill>
          </w14:textFill>
        </w:rPr>
        <w:t>、发包人提供的便利条件</w:t>
      </w:r>
      <w:bookmarkEnd w:id="980"/>
      <w:bookmarkEnd w:id="981"/>
      <w:bookmarkEnd w:id="982"/>
    </w:p>
    <w:p w14:paraId="529C65FD">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1.发包人提供的生活条件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30FB53BC">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2.发包人提供的交通条件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0674EA0A">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3.发包人提供的网络、通讯条件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6763354F">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4.发包人提供的协助人员</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73762334">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83" w:name="_Toc9485"/>
      <w:bookmarkStart w:id="984" w:name="_Toc19213"/>
      <w:bookmarkStart w:id="985" w:name="_Toc13015"/>
      <w:r>
        <w:rPr>
          <w:rFonts w:hint="eastAsia" w:ascii="黑体" w:hAnsi="黑体" w:eastAsia="黑体"/>
          <w:b w:val="0"/>
          <w:color w:val="000000" w:themeColor="text1"/>
          <w:sz w:val="28"/>
          <w:szCs w:val="28"/>
          <w:highlight w:val="none"/>
          <w14:textFill>
            <w14:solidFill>
              <w14:schemeClr w14:val="tx1"/>
            </w14:solidFill>
          </w14:textFill>
        </w:rPr>
        <w:t>八</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中标</w:t>
      </w:r>
      <w:r>
        <w:rPr>
          <w:rFonts w:ascii="黑体" w:hAnsi="黑体" w:eastAsia="黑体"/>
          <w:b w:val="0"/>
          <w:color w:val="000000" w:themeColor="text1"/>
          <w:sz w:val="28"/>
          <w:szCs w:val="28"/>
          <w:highlight w:val="none"/>
          <w14:textFill>
            <w14:solidFill>
              <w14:schemeClr w14:val="tx1"/>
            </w14:solidFill>
          </w14:textFill>
        </w:rPr>
        <w:t>人需要自备的工作条件</w:t>
      </w:r>
      <w:bookmarkEnd w:id="983"/>
      <w:bookmarkEnd w:id="984"/>
      <w:bookmarkEnd w:id="985"/>
    </w:p>
    <w:p w14:paraId="7E34DA0A">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人自备的工作手册：</w:t>
      </w:r>
      <w:r>
        <w:rPr>
          <w:rFonts w:hint="eastAsia" w:ascii="宋体" w:hAnsi="宋体"/>
          <w:color w:val="000000" w:themeColor="text1"/>
          <w:sz w:val="21"/>
          <w:szCs w:val="21"/>
          <w:highlight w:val="none"/>
          <w:u w:val="single"/>
          <w14:textFill>
            <w14:solidFill>
              <w14:schemeClr w14:val="tx1"/>
            </w14:solidFill>
          </w14:textFill>
        </w:rPr>
        <w:t xml:space="preserve">                                                         </w:t>
      </w:r>
    </w:p>
    <w:p w14:paraId="4C512B0F">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人自备的办公设备：</w:t>
      </w:r>
      <w:r>
        <w:rPr>
          <w:rFonts w:hint="eastAsia" w:ascii="宋体" w:hAnsi="宋体"/>
          <w:color w:val="000000" w:themeColor="text1"/>
          <w:sz w:val="21"/>
          <w:szCs w:val="21"/>
          <w:highlight w:val="none"/>
          <w:u w:val="single"/>
          <w14:textFill>
            <w14:solidFill>
              <w14:schemeClr w14:val="tx1"/>
            </w14:solidFill>
          </w14:textFill>
        </w:rPr>
        <w:t xml:space="preserve">                                                        </w:t>
      </w:r>
    </w:p>
    <w:p w14:paraId="69AA14A4">
      <w:pPr>
        <w:pStyle w:val="17"/>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人自备的交通工具：</w:t>
      </w:r>
      <w:r>
        <w:rPr>
          <w:rFonts w:hint="eastAsia" w:ascii="宋体" w:hAnsi="宋体"/>
          <w:color w:val="000000" w:themeColor="text1"/>
          <w:sz w:val="21"/>
          <w:szCs w:val="21"/>
          <w:highlight w:val="none"/>
          <w:u w:val="single"/>
          <w14:textFill>
            <w14:solidFill>
              <w14:schemeClr w14:val="tx1"/>
            </w14:solidFill>
          </w14:textFill>
        </w:rPr>
        <w:t xml:space="preserve">                                                         </w:t>
      </w:r>
    </w:p>
    <w:p w14:paraId="1741BBA1">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人自备的现场办公设施：</w:t>
      </w:r>
      <w:r>
        <w:rPr>
          <w:rFonts w:hint="eastAsia" w:ascii="宋体" w:hAnsi="宋体"/>
          <w:color w:val="000000" w:themeColor="text1"/>
          <w:sz w:val="21"/>
          <w:szCs w:val="21"/>
          <w:highlight w:val="none"/>
          <w:u w:val="single"/>
          <w14:textFill>
            <w14:solidFill>
              <w14:schemeClr w14:val="tx1"/>
            </w14:solidFill>
          </w14:textFill>
        </w:rPr>
        <w:t xml:space="preserve">                                                     </w:t>
      </w:r>
    </w:p>
    <w:p w14:paraId="55A26B90">
      <w:pPr>
        <w:pStyle w:val="17"/>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人自备的安全设施：</w:t>
      </w:r>
      <w:r>
        <w:rPr>
          <w:rFonts w:hint="eastAsia" w:ascii="宋体" w:hAnsi="宋体"/>
          <w:color w:val="000000" w:themeColor="text1"/>
          <w:sz w:val="21"/>
          <w:szCs w:val="21"/>
          <w:highlight w:val="none"/>
          <w:u w:val="single"/>
          <w14:textFill>
            <w14:solidFill>
              <w14:schemeClr w14:val="tx1"/>
            </w14:solidFill>
          </w14:textFill>
        </w:rPr>
        <w:t xml:space="preserve">                                                         </w:t>
      </w:r>
    </w:p>
    <w:p w14:paraId="690F1874">
      <w:pPr>
        <w:pStyle w:val="4"/>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86" w:name="_Toc31521"/>
      <w:bookmarkStart w:id="987" w:name="_Toc31058"/>
      <w:bookmarkStart w:id="988" w:name="_Toc10171"/>
      <w:r>
        <w:rPr>
          <w:rFonts w:hint="eastAsia" w:ascii="黑体" w:hAnsi="黑体" w:eastAsia="黑体"/>
          <w:b w:val="0"/>
          <w:color w:val="000000" w:themeColor="text1"/>
          <w:sz w:val="28"/>
          <w:szCs w:val="28"/>
          <w:highlight w:val="none"/>
          <w14:textFill>
            <w14:solidFill>
              <w14:schemeClr w14:val="tx1"/>
            </w14:solidFill>
          </w14:textFill>
        </w:rPr>
        <w:t>九</w:t>
      </w:r>
      <w:r>
        <w:rPr>
          <w:rFonts w:ascii="黑体" w:hAnsi="黑体" w:eastAsia="黑体"/>
          <w:b w:val="0"/>
          <w:color w:val="000000" w:themeColor="text1"/>
          <w:sz w:val="28"/>
          <w:szCs w:val="28"/>
          <w:highlight w:val="none"/>
          <w14:textFill>
            <w14:solidFill>
              <w14:schemeClr w14:val="tx1"/>
            </w14:solidFill>
          </w14:textFill>
        </w:rPr>
        <w:t>、发包人的其他要求</w:t>
      </w:r>
      <w:r>
        <w:rPr>
          <w:rFonts w:hint="eastAsia" w:ascii="黑体" w:hAnsi="黑体" w:eastAsia="黑体"/>
          <w:b w:val="0"/>
          <w:color w:val="000000" w:themeColor="text1"/>
          <w:sz w:val="28"/>
          <w:szCs w:val="28"/>
          <w:highlight w:val="none"/>
          <w14:textFill>
            <w14:solidFill>
              <w14:schemeClr w14:val="tx1"/>
            </w14:solidFill>
          </w14:textFill>
        </w:rPr>
        <w:t>：</w:t>
      </w:r>
      <w:bookmarkEnd w:id="986"/>
      <w:bookmarkEnd w:id="987"/>
      <w:bookmarkEnd w:id="988"/>
    </w:p>
    <w:p w14:paraId="0A68AB90">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1B51BD98">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272264B5">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14:paraId="353F9CC1">
      <w:pPr>
        <w:spacing w:line="360" w:lineRule="auto"/>
        <w:jc w:val="center"/>
        <w:rPr>
          <w:rFonts w:ascii="宋体" w:hAnsi="宋体"/>
          <w:b/>
          <w:color w:val="000000" w:themeColor="text1"/>
          <w:sz w:val="44"/>
          <w:szCs w:val="44"/>
          <w:highlight w:val="none"/>
          <w14:textFill>
            <w14:solidFill>
              <w14:schemeClr w14:val="tx1"/>
            </w14:solidFill>
          </w14:textFill>
        </w:rPr>
      </w:pPr>
    </w:p>
    <w:p w14:paraId="1AE279F0">
      <w:pPr>
        <w:spacing w:line="360" w:lineRule="auto"/>
        <w:jc w:val="center"/>
        <w:rPr>
          <w:rFonts w:ascii="宋体" w:hAnsi="宋体"/>
          <w:b/>
          <w:color w:val="000000" w:themeColor="text1"/>
          <w:sz w:val="44"/>
          <w:szCs w:val="44"/>
          <w:highlight w:val="none"/>
          <w14:textFill>
            <w14:solidFill>
              <w14:schemeClr w14:val="tx1"/>
            </w14:solidFill>
          </w14:textFill>
        </w:rPr>
      </w:pPr>
    </w:p>
    <w:p w14:paraId="694663BA">
      <w:pPr>
        <w:spacing w:line="360" w:lineRule="auto"/>
        <w:jc w:val="both"/>
        <w:rPr>
          <w:rFonts w:ascii="宋体" w:hAnsi="宋体"/>
          <w:b/>
          <w:color w:val="000000" w:themeColor="text1"/>
          <w:sz w:val="44"/>
          <w:szCs w:val="44"/>
          <w:highlight w:val="none"/>
          <w14:textFill>
            <w14:solidFill>
              <w14:schemeClr w14:val="tx1"/>
            </w14:solidFill>
          </w14:textFill>
        </w:rPr>
      </w:pPr>
    </w:p>
    <w:p w14:paraId="6B002141">
      <w:pPr>
        <w:pStyle w:val="2"/>
        <w:spacing w:before="3000"/>
        <w:jc w:val="center"/>
        <w:rPr>
          <w:rFonts w:hint="eastAsia" w:ascii="黑体" w:hAnsi="黑体" w:eastAsia="黑体"/>
          <w:b w:val="0"/>
          <w:color w:val="000000" w:themeColor="text1"/>
          <w:highlight w:val="none"/>
          <w14:textFill>
            <w14:solidFill>
              <w14:schemeClr w14:val="tx1"/>
            </w14:solidFill>
          </w14:textFill>
        </w:rPr>
      </w:pPr>
      <w:bookmarkStart w:id="989" w:name="_Toc18842"/>
      <w:bookmarkStart w:id="990" w:name="_Toc27835"/>
    </w:p>
    <w:p w14:paraId="6FC2AB48">
      <w:pPr>
        <w:pStyle w:val="2"/>
        <w:spacing w:before="3000"/>
        <w:jc w:val="center"/>
        <w:rPr>
          <w:rFonts w:ascii="黑体" w:hAnsi="黑体" w:eastAsia="黑体"/>
          <w:b w:val="0"/>
          <w:color w:val="000000" w:themeColor="text1"/>
          <w:highlight w:val="none"/>
          <w14:textFill>
            <w14:solidFill>
              <w14:schemeClr w14:val="tx1"/>
            </w14:solidFill>
          </w14:textFill>
        </w:rPr>
      </w:pPr>
      <w:bookmarkStart w:id="991" w:name="_Toc31665"/>
      <w:r>
        <w:rPr>
          <w:rFonts w:hint="eastAsia" w:ascii="黑体" w:hAnsi="黑体" w:eastAsia="黑体"/>
          <w:b w:val="0"/>
          <w:color w:val="000000" w:themeColor="text1"/>
          <w:highlight w:val="none"/>
          <w14:textFill>
            <w14:solidFill>
              <w14:schemeClr w14:val="tx1"/>
            </w14:solidFill>
          </w14:textFill>
        </w:rPr>
        <w:t>第三卷</w:t>
      </w:r>
      <w:bookmarkEnd w:id="989"/>
      <w:bookmarkEnd w:id="990"/>
      <w:bookmarkEnd w:id="991"/>
    </w:p>
    <w:p w14:paraId="09D3DE8A">
      <w:pPr>
        <w:spacing w:line="360" w:lineRule="auto"/>
        <w:rPr>
          <w:rFonts w:ascii="黑体" w:hAnsi="黑体" w:eastAsia="黑体"/>
          <w:color w:val="000000" w:themeColor="text1"/>
          <w:sz w:val="44"/>
          <w:szCs w:val="44"/>
          <w:highlight w:val="none"/>
          <w14:textFill>
            <w14:solidFill>
              <w14:schemeClr w14:val="tx1"/>
            </w14:solidFill>
          </w14:textFill>
        </w:rPr>
      </w:pPr>
    </w:p>
    <w:p w14:paraId="48EDEC18">
      <w:pPr>
        <w:spacing w:line="360" w:lineRule="auto"/>
        <w:rPr>
          <w:rFonts w:ascii="黑体" w:hAnsi="黑体" w:eastAsia="黑体"/>
          <w:color w:val="000000" w:themeColor="text1"/>
          <w:sz w:val="44"/>
          <w:szCs w:val="44"/>
          <w:highlight w:val="none"/>
          <w14:textFill>
            <w14:solidFill>
              <w14:schemeClr w14:val="tx1"/>
            </w14:solidFill>
          </w14:textFill>
        </w:rPr>
      </w:pPr>
    </w:p>
    <w:p w14:paraId="66CF2E7D">
      <w:pPr>
        <w:spacing w:line="360" w:lineRule="auto"/>
        <w:rPr>
          <w:rFonts w:ascii="黑体" w:hAnsi="黑体" w:eastAsia="黑体"/>
          <w:color w:val="000000" w:themeColor="text1"/>
          <w:sz w:val="44"/>
          <w:szCs w:val="44"/>
          <w:highlight w:val="none"/>
          <w14:textFill>
            <w14:solidFill>
              <w14:schemeClr w14:val="tx1"/>
            </w14:solidFill>
          </w14:textFill>
        </w:rPr>
      </w:pPr>
    </w:p>
    <w:p w14:paraId="0875AC7D">
      <w:pPr>
        <w:spacing w:line="360" w:lineRule="auto"/>
        <w:rPr>
          <w:rFonts w:ascii="黑体" w:hAnsi="黑体" w:eastAsia="黑体"/>
          <w:color w:val="000000" w:themeColor="text1"/>
          <w:sz w:val="44"/>
          <w:szCs w:val="44"/>
          <w:highlight w:val="none"/>
          <w14:textFill>
            <w14:solidFill>
              <w14:schemeClr w14:val="tx1"/>
            </w14:solidFill>
          </w14:textFill>
        </w:rPr>
      </w:pPr>
    </w:p>
    <w:p w14:paraId="582BAA94">
      <w:pPr>
        <w:spacing w:line="360" w:lineRule="auto"/>
        <w:rPr>
          <w:rFonts w:ascii="黑体" w:hAnsi="黑体" w:eastAsia="黑体"/>
          <w:color w:val="000000" w:themeColor="text1"/>
          <w:sz w:val="44"/>
          <w:szCs w:val="44"/>
          <w:highlight w:val="none"/>
          <w14:textFill>
            <w14:solidFill>
              <w14:schemeClr w14:val="tx1"/>
            </w14:solidFill>
          </w14:textFill>
        </w:rPr>
      </w:pPr>
    </w:p>
    <w:p w14:paraId="371F82CE">
      <w:pPr>
        <w:spacing w:line="360" w:lineRule="auto"/>
        <w:rPr>
          <w:rFonts w:ascii="黑体" w:hAnsi="黑体" w:eastAsia="黑体"/>
          <w:color w:val="000000" w:themeColor="text1"/>
          <w:sz w:val="44"/>
          <w:szCs w:val="44"/>
          <w:highlight w:val="none"/>
          <w14:textFill>
            <w14:solidFill>
              <w14:schemeClr w14:val="tx1"/>
            </w14:solidFill>
          </w14:textFill>
        </w:rPr>
      </w:pPr>
    </w:p>
    <w:p w14:paraId="0EC66B22">
      <w:pPr>
        <w:spacing w:line="360" w:lineRule="auto"/>
        <w:rPr>
          <w:rFonts w:ascii="黑体" w:hAnsi="黑体" w:eastAsia="黑体"/>
          <w:color w:val="000000" w:themeColor="text1"/>
          <w:sz w:val="44"/>
          <w:szCs w:val="44"/>
          <w:highlight w:val="none"/>
          <w14:textFill>
            <w14:solidFill>
              <w14:schemeClr w14:val="tx1"/>
            </w14:solidFill>
          </w14:textFill>
        </w:rPr>
      </w:pPr>
    </w:p>
    <w:p w14:paraId="00E2478A">
      <w:pPr>
        <w:spacing w:line="360" w:lineRule="auto"/>
        <w:rPr>
          <w:rFonts w:ascii="黑体" w:hAnsi="黑体" w:eastAsia="黑体"/>
          <w:color w:val="000000" w:themeColor="text1"/>
          <w:sz w:val="44"/>
          <w:szCs w:val="44"/>
          <w:highlight w:val="none"/>
          <w14:textFill>
            <w14:solidFill>
              <w14:schemeClr w14:val="tx1"/>
            </w14:solidFill>
          </w14:textFill>
        </w:rPr>
      </w:pPr>
    </w:p>
    <w:p w14:paraId="5E2B6DF3">
      <w:pPr>
        <w:spacing w:line="360" w:lineRule="auto"/>
        <w:rPr>
          <w:rFonts w:ascii="黑体" w:hAnsi="黑体" w:eastAsia="黑体"/>
          <w:color w:val="000000" w:themeColor="text1"/>
          <w:sz w:val="44"/>
          <w:szCs w:val="44"/>
          <w:highlight w:val="none"/>
          <w14:textFill>
            <w14:solidFill>
              <w14:schemeClr w14:val="tx1"/>
            </w14:solidFill>
          </w14:textFill>
        </w:rPr>
      </w:pPr>
    </w:p>
    <w:p w14:paraId="51AA8851">
      <w:pPr>
        <w:spacing w:line="360" w:lineRule="auto"/>
        <w:rPr>
          <w:rFonts w:ascii="黑体" w:hAnsi="黑体" w:eastAsia="黑体"/>
          <w:color w:val="000000" w:themeColor="text1"/>
          <w:sz w:val="44"/>
          <w:szCs w:val="44"/>
          <w:highlight w:val="none"/>
          <w14:textFill>
            <w14:solidFill>
              <w14:schemeClr w14:val="tx1"/>
            </w14:solidFill>
          </w14:textFill>
        </w:rPr>
      </w:pPr>
    </w:p>
    <w:p w14:paraId="029D4ED8">
      <w:pPr>
        <w:pStyle w:val="3"/>
        <w:spacing w:before="3000"/>
        <w:jc w:val="center"/>
        <w:rPr>
          <w:rFonts w:hint="eastAsia" w:ascii="黑体" w:hAnsi="黑体" w:eastAsia="黑体"/>
          <w:b w:val="0"/>
          <w:color w:val="000000" w:themeColor="text1"/>
          <w:sz w:val="44"/>
          <w:szCs w:val="44"/>
          <w:highlight w:val="none"/>
          <w14:textFill>
            <w14:solidFill>
              <w14:schemeClr w14:val="tx1"/>
            </w14:solidFill>
          </w14:textFill>
        </w:rPr>
      </w:pPr>
      <w:bookmarkStart w:id="992" w:name="_Toc27873"/>
      <w:bookmarkStart w:id="993" w:name="_Toc23530"/>
    </w:p>
    <w:p w14:paraId="662789A5">
      <w:pPr>
        <w:pStyle w:val="3"/>
        <w:spacing w:before="3000"/>
        <w:jc w:val="center"/>
        <w:rPr>
          <w:rFonts w:ascii="黑体" w:hAnsi="黑体" w:eastAsia="黑体"/>
          <w:b w:val="0"/>
          <w:color w:val="000000" w:themeColor="text1"/>
          <w:sz w:val="44"/>
          <w:szCs w:val="44"/>
          <w:highlight w:val="none"/>
          <w14:textFill>
            <w14:solidFill>
              <w14:schemeClr w14:val="tx1"/>
            </w14:solidFill>
          </w14:textFill>
        </w:rPr>
      </w:pPr>
      <w:bookmarkStart w:id="994" w:name="_Toc32665"/>
      <w:r>
        <w:rPr>
          <w:rFonts w:hint="eastAsia" w:ascii="黑体" w:hAnsi="黑体" w:eastAsia="黑体"/>
          <w:b w:val="0"/>
          <w:color w:val="000000" w:themeColor="text1"/>
          <w:sz w:val="44"/>
          <w:szCs w:val="44"/>
          <w:highlight w:val="none"/>
          <w14:textFill>
            <w14:solidFill>
              <w14:schemeClr w14:val="tx1"/>
            </w14:solidFill>
          </w14:textFill>
        </w:rPr>
        <w:t>第七章 投标文件格式</w:t>
      </w:r>
      <w:r>
        <w:rPr>
          <w:rStyle w:val="49"/>
          <w:rFonts w:ascii="黑体" w:hAnsi="黑体" w:eastAsia="黑体"/>
          <w:b w:val="0"/>
          <w:color w:val="000000" w:themeColor="text1"/>
          <w:sz w:val="44"/>
          <w:szCs w:val="44"/>
          <w:highlight w:val="none"/>
          <w14:textFill>
            <w14:solidFill>
              <w14:schemeClr w14:val="tx1"/>
            </w14:solidFill>
          </w14:textFill>
        </w:rPr>
        <w:footnoteReference w:id="72"/>
      </w:r>
      <w:bookmarkEnd w:id="992"/>
      <w:bookmarkEnd w:id="993"/>
      <w:bookmarkEnd w:id="994"/>
    </w:p>
    <w:p w14:paraId="1CD0CEB2">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bookmarkStart w:id="995" w:name="_Toc300038998"/>
      <w:bookmarkStart w:id="996" w:name="_Toc516753562"/>
      <w:bookmarkStart w:id="997" w:name="_Toc30278"/>
      <w:bookmarkStart w:id="998" w:name="_Toc4176"/>
    </w:p>
    <w:p w14:paraId="523F8F49">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14:paraId="026BC5A3">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14:paraId="5CEF217B">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14:paraId="13895D66">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14:paraId="49B383F1">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14:paraId="65BC4230">
      <w:pPr>
        <w:spacing w:beforeLines="100" w:afterLines="100" w:line="360" w:lineRule="auto"/>
        <w:rPr>
          <w:rFonts w:ascii="宋体" w:hAnsi="宋体"/>
          <w:b/>
          <w:color w:val="000000" w:themeColor="text1"/>
          <w:sz w:val="32"/>
          <w:szCs w:val="32"/>
          <w:highlight w:val="none"/>
          <w14:textFill>
            <w14:solidFill>
              <w14:schemeClr w14:val="tx1"/>
            </w14:solidFill>
          </w14:textFill>
        </w:rPr>
      </w:pPr>
    </w:p>
    <w:p w14:paraId="277A5386">
      <w:pPr>
        <w:pStyle w:val="4"/>
        <w:rPr>
          <w:rFonts w:ascii="宋体" w:hAnsi="宋体"/>
          <w:bCs w:val="0"/>
          <w:color w:val="000000" w:themeColor="text1"/>
          <w:highlight w:val="none"/>
          <w14:textFill>
            <w14:solidFill>
              <w14:schemeClr w14:val="tx1"/>
            </w14:solidFill>
          </w14:textFill>
        </w:rPr>
      </w:pPr>
    </w:p>
    <w:p w14:paraId="5B4C38A4">
      <w:pPr>
        <w:rPr>
          <w:color w:val="000000" w:themeColor="text1"/>
          <w:highlight w:val="none"/>
          <w14:textFill>
            <w14:solidFill>
              <w14:schemeClr w14:val="tx1"/>
            </w14:solidFill>
          </w14:textFill>
        </w:rPr>
      </w:pPr>
    </w:p>
    <w:p w14:paraId="1EDA8355">
      <w:pPr>
        <w:rPr>
          <w:color w:val="000000" w:themeColor="text1"/>
          <w:highlight w:val="none"/>
          <w14:textFill>
            <w14:solidFill>
              <w14:schemeClr w14:val="tx1"/>
            </w14:solidFill>
          </w14:textFill>
        </w:rPr>
      </w:pPr>
    </w:p>
    <w:p w14:paraId="22421B41">
      <w:pPr>
        <w:rPr>
          <w:color w:val="000000" w:themeColor="text1"/>
          <w:highlight w:val="none"/>
          <w14:textFill>
            <w14:solidFill>
              <w14:schemeClr w14:val="tx1"/>
            </w14:solidFill>
          </w14:textFill>
        </w:rPr>
      </w:pPr>
    </w:p>
    <w:p w14:paraId="1AD49338">
      <w:pPr>
        <w:pStyle w:val="4"/>
        <w:spacing w:before="3000"/>
        <w:jc w:val="center"/>
        <w:rPr>
          <w:rFonts w:hint="eastAsia" w:ascii="黑体" w:hAnsi="黑体" w:eastAsia="黑体"/>
          <w:b w:val="0"/>
          <w:color w:val="000000" w:themeColor="text1"/>
          <w:highlight w:val="none"/>
          <w14:textFill>
            <w14:solidFill>
              <w14:schemeClr w14:val="tx1"/>
            </w14:solidFill>
          </w14:textFill>
        </w:rPr>
      </w:pPr>
      <w:bookmarkStart w:id="999" w:name="_Toc7216"/>
      <w:bookmarkStart w:id="1000" w:name="_Toc7744"/>
    </w:p>
    <w:p w14:paraId="52C8D14A">
      <w:pPr>
        <w:pStyle w:val="4"/>
        <w:spacing w:before="3000"/>
        <w:jc w:val="center"/>
        <w:rPr>
          <w:rFonts w:ascii="黑体" w:hAnsi="黑体" w:eastAsia="黑体"/>
          <w:b w:val="0"/>
          <w:color w:val="000000" w:themeColor="text1"/>
          <w:sz w:val="44"/>
          <w:szCs w:val="44"/>
          <w:highlight w:val="none"/>
          <w14:textFill>
            <w14:solidFill>
              <w14:schemeClr w14:val="tx1"/>
            </w14:solidFill>
          </w14:textFill>
        </w:rPr>
      </w:pPr>
      <w:bookmarkStart w:id="1001" w:name="_Toc28022"/>
      <w:r>
        <w:rPr>
          <w:rFonts w:hint="eastAsia" w:ascii="黑体" w:hAnsi="黑体" w:eastAsia="黑体"/>
          <w:b w:val="0"/>
          <w:color w:val="000000" w:themeColor="text1"/>
          <w:highlight w:val="none"/>
          <w14:textFill>
            <w14:solidFill>
              <w14:schemeClr w14:val="tx1"/>
            </w14:solidFill>
          </w14:textFill>
        </w:rPr>
        <w:t>一、资格审查文件</w:t>
      </w:r>
      <w:bookmarkEnd w:id="995"/>
      <w:bookmarkEnd w:id="996"/>
      <w:bookmarkEnd w:id="997"/>
      <w:bookmarkEnd w:id="998"/>
      <w:r>
        <w:rPr>
          <w:rStyle w:val="49"/>
          <w:rFonts w:ascii="黑体" w:hAnsi="黑体" w:eastAsia="黑体"/>
          <w:b w:val="0"/>
          <w:color w:val="000000" w:themeColor="text1"/>
          <w:sz w:val="44"/>
          <w:szCs w:val="44"/>
          <w:highlight w:val="none"/>
          <w14:textFill>
            <w14:solidFill>
              <w14:schemeClr w14:val="tx1"/>
            </w14:solidFill>
          </w14:textFill>
        </w:rPr>
        <w:footnoteReference w:id="73"/>
      </w:r>
      <w:bookmarkEnd w:id="999"/>
      <w:bookmarkEnd w:id="1000"/>
      <w:bookmarkEnd w:id="1001"/>
    </w:p>
    <w:p w14:paraId="23ADE223">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478AAC05">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34379BB7">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11FA7F54">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31BEE8FE">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19C5C9D4">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5E4FE010">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59F10635">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76D5075D">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54FFA16C">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4468A5BB">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708D2410">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26518035">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11E908B5">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4EEE4B71">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0A305C6E">
      <w:pPr>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br w:type="page"/>
      </w:r>
    </w:p>
    <w:p w14:paraId="769BD8DD">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（用于资格审查文件封面）</w:t>
      </w:r>
    </w:p>
    <w:p w14:paraId="3DB75F08">
      <w:pPr>
        <w:pStyle w:val="22"/>
        <w:spacing w:line="264" w:lineRule="auto"/>
        <w:jc w:val="center"/>
        <w:rPr>
          <w:rFonts w:hAnsi="宋体"/>
          <w:color w:val="000000" w:themeColor="text1"/>
          <w:sz w:val="36"/>
          <w:highlight w:val="none"/>
          <w14:textFill>
            <w14:solidFill>
              <w14:schemeClr w14:val="tx1"/>
            </w14:solidFill>
          </w14:textFill>
        </w:rPr>
      </w:pPr>
    </w:p>
    <w:p w14:paraId="678C7C74">
      <w:pPr>
        <w:pStyle w:val="22"/>
        <w:spacing w:line="264" w:lineRule="auto"/>
        <w:ind w:firstLine="1760" w:firstLineChars="550"/>
        <w:rPr>
          <w:rFonts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项目名称：</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32"/>
          <w:szCs w:val="32"/>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14:paraId="4DF79E1B">
      <w:pPr>
        <w:pStyle w:val="22"/>
        <w:spacing w:beforeLines="100" w:afterLines="100" w:line="264" w:lineRule="auto"/>
        <w:ind w:firstLine="1760" w:firstLineChars="550"/>
        <w:rPr>
          <w:rFonts w:ascii="黑体" w:hAnsi="黑体" w:eastAsia="黑体"/>
          <w:color w:val="000000" w:themeColor="text1"/>
          <w:sz w:val="36"/>
          <w:highlight w:val="none"/>
          <w:u w:val="single"/>
          <w14:textFill>
            <w14:solidFill>
              <w14:schemeClr w14:val="tx1"/>
            </w14:solidFill>
          </w14:textFill>
        </w:rPr>
      </w:pPr>
      <w:r>
        <w:rPr>
          <w:rFonts w:hint="eastAsia" w:ascii="黑体" w:hAnsi="黑体" w:eastAsia="黑体"/>
          <w:color w:val="000000" w:themeColor="text1"/>
          <w:sz w:val="32"/>
          <w:highlight w:val="none"/>
          <w14:textFill>
            <w14:solidFill>
              <w14:schemeClr w14:val="tx1"/>
            </w14:solidFill>
          </w14:textFill>
        </w:rPr>
        <w:t>招标</w:t>
      </w:r>
      <w:r>
        <w:rPr>
          <w:rFonts w:hint="eastAsia" w:ascii="黑体" w:hAnsi="黑体" w:eastAsia="黑体"/>
          <w:color w:val="000000" w:themeColor="text1"/>
          <w:sz w:val="32"/>
          <w:highlight w:val="none"/>
          <w:lang w:val="en-US" w:eastAsia="zh-CN"/>
          <w14:textFill>
            <w14:solidFill>
              <w14:schemeClr w14:val="tx1"/>
            </w14:solidFill>
          </w14:textFill>
        </w:rPr>
        <w:t>项目</w:t>
      </w:r>
      <w:r>
        <w:rPr>
          <w:rFonts w:hint="eastAsia" w:ascii="黑体" w:hAnsi="黑体" w:eastAsia="黑体"/>
          <w:color w:val="000000" w:themeColor="text1"/>
          <w:sz w:val="32"/>
          <w:highlight w:val="none"/>
          <w14:textFill>
            <w14:solidFill>
              <w14:schemeClr w14:val="tx1"/>
            </w14:solidFill>
          </w14:textFill>
        </w:rPr>
        <w:t>编号：</w:t>
      </w:r>
      <w:r>
        <w:rPr>
          <w:rFonts w:hint="eastAsia" w:ascii="黑体" w:hAnsi="黑体" w:eastAsia="黑体"/>
          <w:color w:val="000000" w:themeColor="text1"/>
          <w:sz w:val="32"/>
          <w:highlight w:val="none"/>
          <w:u w:val="single"/>
          <w14:textFill>
            <w14:solidFill>
              <w14:schemeClr w14:val="tx1"/>
            </w14:solidFill>
          </w14:textFill>
        </w:rPr>
        <w:t xml:space="preserve">                    </w:t>
      </w:r>
    </w:p>
    <w:p w14:paraId="00C2CDCB">
      <w:pPr>
        <w:pStyle w:val="22"/>
        <w:spacing w:beforeLines="100" w:afterLines="100" w:line="264" w:lineRule="auto"/>
        <w:jc w:val="center"/>
        <w:rPr>
          <w:rFonts w:ascii="黑体" w:hAnsi="黑体" w:eastAsia="黑体"/>
          <w:color w:val="000000" w:themeColor="text1"/>
          <w:sz w:val="36"/>
          <w:highlight w:val="none"/>
          <w14:textFill>
            <w14:solidFill>
              <w14:schemeClr w14:val="tx1"/>
            </w14:solidFill>
          </w14:textFill>
        </w:rPr>
      </w:pPr>
    </w:p>
    <w:p w14:paraId="133A218C">
      <w:pPr>
        <w:pStyle w:val="22"/>
        <w:spacing w:line="264" w:lineRule="auto"/>
        <w:jc w:val="center"/>
        <w:rPr>
          <w:rFonts w:ascii="黑体" w:hAnsi="黑体" w:eastAsia="黑体"/>
          <w:b/>
          <w:color w:val="000000" w:themeColor="text1"/>
          <w:sz w:val="72"/>
          <w:szCs w:val="72"/>
          <w:highlight w:val="none"/>
          <w14:textFill>
            <w14:solidFill>
              <w14:schemeClr w14:val="tx1"/>
            </w14:solidFill>
          </w14:textFill>
        </w:rPr>
      </w:pPr>
    </w:p>
    <w:p w14:paraId="47AAC450">
      <w:pPr>
        <w:pStyle w:val="22"/>
        <w:spacing w:line="264" w:lineRule="auto"/>
        <w:jc w:val="center"/>
        <w:rPr>
          <w:rFonts w:ascii="黑体" w:hAnsi="黑体" w:eastAsia="黑体"/>
          <w:color w:val="000000" w:themeColor="text1"/>
          <w:sz w:val="28"/>
          <w:highlight w:val="none"/>
          <w14:textFill>
            <w14:solidFill>
              <w14:schemeClr w14:val="tx1"/>
            </w14:solidFill>
          </w14:textFill>
        </w:rPr>
      </w:pPr>
      <w:r>
        <w:rPr>
          <w:rFonts w:hint="eastAsia" w:ascii="黑体" w:hAnsi="黑体" w:eastAsia="黑体"/>
          <w:b/>
          <w:color w:val="000000" w:themeColor="text1"/>
          <w:sz w:val="84"/>
          <w:highlight w:val="none"/>
          <w14:textFill>
            <w14:solidFill>
              <w14:schemeClr w14:val="tx1"/>
            </w14:solidFill>
          </w14:textFill>
        </w:rPr>
        <w:t>投 标 文 件</w:t>
      </w:r>
    </w:p>
    <w:p w14:paraId="4534DFFC">
      <w:pPr>
        <w:pStyle w:val="22"/>
        <w:spacing w:line="264" w:lineRule="auto"/>
        <w:jc w:val="center"/>
        <w:rPr>
          <w:rFonts w:ascii="黑体" w:hAnsi="黑体" w:eastAsia="黑体"/>
          <w:color w:val="000000" w:themeColor="text1"/>
          <w:sz w:val="72"/>
          <w:highlight w:val="none"/>
          <w14:textFill>
            <w14:solidFill>
              <w14:schemeClr w14:val="tx1"/>
            </w14:solidFill>
          </w14:textFill>
        </w:rPr>
      </w:pPr>
    </w:p>
    <w:p w14:paraId="01D48212">
      <w:pPr>
        <w:pStyle w:val="22"/>
        <w:spacing w:line="264" w:lineRule="auto"/>
        <w:jc w:val="center"/>
        <w:rPr>
          <w:rFonts w:ascii="黑体" w:hAnsi="黑体" w:eastAsia="黑体"/>
          <w:color w:val="000000" w:themeColor="text1"/>
          <w:sz w:val="52"/>
          <w:szCs w:val="52"/>
          <w:highlight w:val="none"/>
          <w14:textFill>
            <w14:solidFill>
              <w14:schemeClr w14:val="tx1"/>
            </w14:solidFill>
          </w14:textFill>
        </w:rPr>
      </w:pPr>
    </w:p>
    <w:p w14:paraId="3038C695">
      <w:pPr>
        <w:pStyle w:val="22"/>
        <w:spacing w:line="264" w:lineRule="auto"/>
        <w:jc w:val="center"/>
        <w:rPr>
          <w:rFonts w:ascii="黑体" w:hAnsi="黑体" w:eastAsia="黑体"/>
          <w:color w:val="000000" w:themeColor="text1"/>
          <w:sz w:val="52"/>
          <w:szCs w:val="52"/>
          <w:highlight w:val="none"/>
          <w14:textFill>
            <w14:solidFill>
              <w14:schemeClr w14:val="tx1"/>
            </w14:solidFill>
          </w14:textFill>
        </w:rPr>
      </w:pPr>
    </w:p>
    <w:p w14:paraId="1D5F0CD1">
      <w:pPr>
        <w:pStyle w:val="22"/>
        <w:jc w:val="center"/>
        <w:rPr>
          <w:rFonts w:ascii="黑体" w:hAnsi="黑体" w:eastAsia="黑体"/>
          <w:color w:val="000000" w:themeColor="text1"/>
          <w:sz w:val="72"/>
          <w:highlight w:val="none"/>
          <w14:textFill>
            <w14:solidFill>
              <w14:schemeClr w14:val="tx1"/>
            </w14:solidFill>
          </w14:textFill>
        </w:rPr>
      </w:pPr>
    </w:p>
    <w:p w14:paraId="70C774ED">
      <w:pPr>
        <w:pStyle w:val="22"/>
        <w:spacing w:line="360" w:lineRule="auto"/>
        <w:ind w:firstLine="560"/>
        <w:jc w:val="left"/>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投标文件内容：</w:t>
      </w:r>
      <w:r>
        <w:rPr>
          <w:rFonts w:hint="eastAsia" w:ascii="黑体" w:hAnsi="黑体" w:eastAsia="黑体"/>
          <w:color w:val="000000" w:themeColor="text1"/>
          <w:sz w:val="30"/>
          <w:szCs w:val="30"/>
          <w:highlight w:val="none"/>
          <w:u w:val="single"/>
          <w14:textFill>
            <w14:solidFill>
              <w14:schemeClr w14:val="tx1"/>
            </w14:solidFill>
          </w14:textFill>
        </w:rPr>
        <w:t xml:space="preserve">           资格审查文件             </w:t>
      </w:r>
    </w:p>
    <w:p w14:paraId="1B72E600">
      <w:pPr>
        <w:pStyle w:val="22"/>
        <w:spacing w:line="360" w:lineRule="auto"/>
        <w:ind w:firstLine="567" w:firstLineChars="189"/>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投标人：</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（盖投标人单位公章）</w:t>
      </w:r>
      <w:r>
        <w:rPr>
          <w:rStyle w:val="49"/>
          <w:rFonts w:ascii="黑体" w:hAnsi="黑体" w:eastAsia="黑体"/>
          <w:color w:val="000000" w:themeColor="text1"/>
          <w:sz w:val="30"/>
          <w:highlight w:val="none"/>
          <w14:textFill>
            <w14:solidFill>
              <w14:schemeClr w14:val="tx1"/>
            </w14:solidFill>
          </w14:textFill>
        </w:rPr>
        <w:footnoteReference w:id="74"/>
      </w:r>
    </w:p>
    <w:p w14:paraId="087945A4">
      <w:pPr>
        <w:pStyle w:val="22"/>
        <w:spacing w:line="360" w:lineRule="auto"/>
        <w:ind w:firstLine="567" w:firstLineChars="189"/>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法定代表人或其委托代理人：</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（签字或盖章）</w:t>
      </w:r>
      <w:r>
        <w:rPr>
          <w:rStyle w:val="49"/>
          <w:rFonts w:ascii="黑体" w:hAnsi="黑体" w:eastAsia="黑体"/>
          <w:color w:val="000000" w:themeColor="text1"/>
          <w:sz w:val="30"/>
          <w:highlight w:val="none"/>
          <w14:textFill>
            <w14:solidFill>
              <w14:schemeClr w14:val="tx1"/>
            </w14:solidFill>
          </w14:textFill>
        </w:rPr>
        <w:footnoteReference w:id="75"/>
      </w:r>
    </w:p>
    <w:p w14:paraId="7E365976">
      <w:pPr>
        <w:pStyle w:val="22"/>
        <w:spacing w:line="360" w:lineRule="auto"/>
        <w:ind w:firstLine="600" w:firstLineChars="200"/>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日期：</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年</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月</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日</w:t>
      </w:r>
    </w:p>
    <w:p w14:paraId="4817B9AF">
      <w:pPr>
        <w:rPr>
          <w:rFonts w:hint="eastAsia"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br w:type="page"/>
      </w:r>
    </w:p>
    <w:p w14:paraId="1EE583D5">
      <w:pPr>
        <w:pStyle w:val="22"/>
        <w:spacing w:beforeLines="400"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目 录</w:t>
      </w:r>
    </w:p>
    <w:p w14:paraId="4189E912">
      <w:pPr>
        <w:pStyle w:val="22"/>
        <w:spacing w:line="360" w:lineRule="auto"/>
        <w:ind w:firstLine="420" w:firstLineChars="200"/>
        <w:jc w:val="left"/>
        <w:rPr>
          <w:rFonts w:hAnsi="宋体"/>
          <w:color w:val="000000" w:themeColor="text1"/>
          <w:highlight w:val="none"/>
          <w14:textFill>
            <w14:solidFill>
              <w14:schemeClr w14:val="tx1"/>
            </w14:solidFill>
          </w14:textFill>
        </w:rPr>
      </w:pPr>
    </w:p>
    <w:p w14:paraId="4AB4B6D3">
      <w:pPr>
        <w:pStyle w:val="13"/>
        <w:tabs>
          <w:tab w:val="left" w:pos="1000"/>
          <w:tab w:val="left" w:pos="1560"/>
        </w:tabs>
        <w:spacing w:line="36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（一）资格审查申请函</w:t>
      </w:r>
    </w:p>
    <w:p w14:paraId="3316F486">
      <w:pPr>
        <w:pStyle w:val="13"/>
        <w:tabs>
          <w:tab w:val="left" w:pos="1000"/>
          <w:tab w:val="left" w:pos="1560"/>
        </w:tabs>
        <w:spacing w:line="36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（二）资格审查申请函附表：</w:t>
      </w:r>
    </w:p>
    <w:p w14:paraId="1D0FA4DB">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附表1：投标人基本情况表</w:t>
      </w:r>
    </w:p>
    <w:p w14:paraId="15C7BA36">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附表2：法定代表人资格证明书和设计项目负责人身份证明</w:t>
      </w:r>
    </w:p>
    <w:p w14:paraId="2E8512D0">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附表3：投标人诚信承诺函</w:t>
      </w:r>
    </w:p>
    <w:p w14:paraId="6AB1B17F">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附表4：授权委托书</w:t>
      </w:r>
    </w:p>
    <w:p w14:paraId="10C8C796">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附表5：拟担任本项目设计（勘察）人员汇总表</w:t>
      </w:r>
    </w:p>
    <w:p w14:paraId="16A9DEBC">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附表6：拟担任主要设计（勘察）人员简历表和注册执业资格（职称）证书</w:t>
      </w:r>
    </w:p>
    <w:p w14:paraId="352D29CF">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附表7：拟担任项目负责人承诺函、设计（勘察）项目负责人和其他主要设计人员到位承诺书</w:t>
      </w:r>
    </w:p>
    <w:p w14:paraId="3452644D">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附表8：投标人和拟担任设计项目负责人“类似项目设计业绩”（如有时）</w:t>
      </w:r>
    </w:p>
    <w:p w14:paraId="653D89DA">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附表9：联合体协议书（如有时）</w:t>
      </w:r>
    </w:p>
    <w:p w14:paraId="6EDD9CFB">
      <w:pPr>
        <w:pStyle w:val="13"/>
        <w:tabs>
          <w:tab w:val="left" w:pos="1000"/>
        </w:tabs>
        <w:spacing w:line="360" w:lineRule="auto"/>
        <w:ind w:firstLine="787" w:firstLineChars="3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附表10：其他需要提交的资料</w:t>
      </w:r>
    </w:p>
    <w:p w14:paraId="45B21FD3">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6AA38DB">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序号和页码由投标人自行编列。</w:t>
      </w:r>
    </w:p>
    <w:p w14:paraId="00F46BBE">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DC8020D">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7E9EE748">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46104E1">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415CEF3">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E16DDB0">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8E69D10">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4C56EF2">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8E66A49">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45C4ACA1">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49C8172D">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F2AC689">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4711F1E">
      <w:pP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br w:type="page"/>
      </w:r>
    </w:p>
    <w:p w14:paraId="6842C949">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（一）资格审查申请函（格式）</w:t>
      </w:r>
    </w:p>
    <w:p w14:paraId="38B9AA00">
      <w:pPr>
        <w:ind w:firstLine="640" w:firstLineChars="20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资格审查申</w:t>
      </w:r>
      <w:r>
        <w:rPr>
          <w:rFonts w:hint="eastAsia" w:ascii="黑体" w:hAnsi="黑体" w:eastAsia="黑体" w:cs="宋体"/>
          <w:color w:val="000000" w:themeColor="text1"/>
          <w:sz w:val="32"/>
          <w:szCs w:val="32"/>
          <w:highlight w:val="none"/>
          <w14:textFill>
            <w14:solidFill>
              <w14:schemeClr w14:val="tx1"/>
            </w14:solidFill>
          </w14:textFill>
        </w:rPr>
        <w:t>请</w:t>
      </w:r>
      <w:r>
        <w:rPr>
          <w:rFonts w:hint="eastAsia" w:ascii="黑体" w:hAnsi="黑体" w:eastAsia="黑体"/>
          <w:color w:val="000000" w:themeColor="text1"/>
          <w:sz w:val="32"/>
          <w:szCs w:val="32"/>
          <w:highlight w:val="none"/>
          <w14:textFill>
            <w14:solidFill>
              <w14:schemeClr w14:val="tx1"/>
            </w14:solidFill>
          </w14:textFill>
        </w:rPr>
        <w:t>函</w:t>
      </w:r>
    </w:p>
    <w:p w14:paraId="10B88156">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p>
    <w:p w14:paraId="1943DC0B">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1.根据</w:t>
      </w:r>
      <w:r>
        <w:rPr>
          <w:rFonts w:hint="eastAsia" w:ascii="宋体" w:hAnsi="宋体" w:cs="宋体"/>
          <w:color w:val="000000" w:themeColor="text1"/>
          <w:sz w:val="21"/>
          <w:szCs w:val="21"/>
          <w:highlight w:val="none"/>
          <w14:textFill>
            <w14:solidFill>
              <w14:schemeClr w14:val="tx1"/>
            </w14:solidFill>
          </w14:textFill>
        </w:rPr>
        <w:t>贵</w:t>
      </w:r>
      <w:r>
        <w:rPr>
          <w:rFonts w:hint="eastAsia" w:ascii="宋体" w:hAnsi="宋体"/>
          <w:color w:val="000000" w:themeColor="text1"/>
          <w:sz w:val="21"/>
          <w:szCs w:val="21"/>
          <w:highlight w:val="none"/>
          <w14:textFill>
            <w14:solidFill>
              <w14:schemeClr w14:val="tx1"/>
            </w14:solidFill>
          </w14:textFill>
        </w:rPr>
        <w:t>方编号</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目名称）招</w:t>
      </w:r>
      <w:r>
        <w:rPr>
          <w:rFonts w:hint="eastAsia" w:ascii="宋体" w:hAnsi="宋体" w:cs="宋体"/>
          <w:color w:val="000000" w:themeColor="text1"/>
          <w:sz w:val="21"/>
          <w:szCs w:val="21"/>
          <w:highlight w:val="none"/>
          <w14:textFill>
            <w14:solidFill>
              <w14:schemeClr w14:val="tx1"/>
            </w14:solidFill>
          </w14:textFill>
        </w:rPr>
        <w:t>标发</w:t>
      </w:r>
      <w:r>
        <w:rPr>
          <w:rFonts w:hint="eastAsia" w:ascii="宋体" w:hAnsi="宋体"/>
          <w:color w:val="000000" w:themeColor="text1"/>
          <w:sz w:val="21"/>
          <w:szCs w:val="21"/>
          <w:highlight w:val="none"/>
          <w14:textFill>
            <w14:solidFill>
              <w14:schemeClr w14:val="tx1"/>
            </w14:solidFill>
          </w14:textFill>
        </w:rPr>
        <w:t>出的招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公告（</w:t>
      </w:r>
      <w:r>
        <w:rPr>
          <w:rFonts w:hint="eastAsia" w:ascii="宋体" w:hAnsi="宋体"/>
          <w:color w:val="000000" w:themeColor="text1"/>
          <w:sz w:val="21"/>
          <w:szCs w:val="21"/>
          <w:highlight w:val="none"/>
          <w:lang w:eastAsia="zh-CN"/>
          <w14:textFill>
            <w14:solidFill>
              <w14:schemeClr w14:val="tx1"/>
            </w14:solidFill>
          </w14:textFill>
        </w:rPr>
        <w:t>或投标邀请书</w:t>
      </w: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（姓名），代表投标人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（投标人名称）愿意按照招标文件的</w:t>
      </w:r>
      <w:r>
        <w:rPr>
          <w:rFonts w:hint="eastAsia" w:ascii="宋体" w:hAnsi="宋体" w:cs="宋体"/>
          <w:color w:val="000000" w:themeColor="text1"/>
          <w:sz w:val="21"/>
          <w:szCs w:val="21"/>
          <w:highlight w:val="none"/>
          <w14:textFill>
            <w14:solidFill>
              <w14:schemeClr w14:val="tx1"/>
            </w14:solidFill>
          </w14:textFill>
        </w:rPr>
        <w:t>资格审查文件</w:t>
      </w:r>
      <w:r>
        <w:rPr>
          <w:rFonts w:hint="eastAsia" w:ascii="宋体" w:hAnsi="宋体"/>
          <w:color w:val="000000" w:themeColor="text1"/>
          <w:sz w:val="21"/>
          <w:szCs w:val="21"/>
          <w:highlight w:val="none"/>
          <w14:textFill>
            <w14:solidFill>
              <w14:schemeClr w14:val="tx1"/>
            </w14:solidFill>
          </w14:textFill>
        </w:rPr>
        <w:t>提出的该项目</w:t>
      </w:r>
      <w:r>
        <w:rPr>
          <w:rFonts w:hint="eastAsia" w:ascii="宋体" w:hAnsi="宋体" w:cs="宋体"/>
          <w:color w:val="000000" w:themeColor="text1"/>
          <w:sz w:val="21"/>
          <w:szCs w:val="21"/>
          <w:highlight w:val="none"/>
          <w14:textFill>
            <w14:solidFill>
              <w14:schemeClr w14:val="tx1"/>
            </w14:solidFill>
          </w14:textFill>
        </w:rPr>
        <w:t>设计</w:t>
      </w:r>
      <w:r>
        <w:rPr>
          <w:rFonts w:hint="eastAsia" w:ascii="宋体" w:hAnsi="宋体"/>
          <w:color w:val="000000" w:themeColor="text1"/>
          <w:sz w:val="21"/>
          <w:szCs w:val="21"/>
          <w:highlight w:val="none"/>
          <w14:textFill>
            <w14:solidFill>
              <w14:schemeClr w14:val="tx1"/>
            </w14:solidFill>
          </w14:textFill>
        </w:rPr>
        <w:t>（勘察）的投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申</w:t>
      </w:r>
      <w:r>
        <w:rPr>
          <w:rFonts w:hint="eastAsia" w:ascii="宋体" w:hAnsi="宋体" w:cs="宋体"/>
          <w:color w:val="000000" w:themeColor="text1"/>
          <w:sz w:val="21"/>
          <w:szCs w:val="21"/>
          <w:highlight w:val="none"/>
          <w14:textFill>
            <w14:solidFill>
              <w14:schemeClr w14:val="tx1"/>
            </w14:solidFill>
          </w14:textFill>
        </w:rPr>
        <w:t>请</w:t>
      </w:r>
      <w:r>
        <w:rPr>
          <w:rFonts w:hint="eastAsia" w:ascii="宋体" w:hAnsi="宋体"/>
          <w:color w:val="000000" w:themeColor="text1"/>
          <w:sz w:val="21"/>
          <w:szCs w:val="21"/>
          <w:highlight w:val="none"/>
          <w14:textFill>
            <w14:solidFill>
              <w14:schemeClr w14:val="tx1"/>
            </w14:solidFill>
          </w14:textFill>
        </w:rPr>
        <w:t>。</w:t>
      </w:r>
    </w:p>
    <w:p w14:paraId="047EADBD">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2.我方己</w:t>
      </w:r>
      <w:r>
        <w:rPr>
          <w:rFonts w:hint="eastAsia" w:ascii="宋体" w:hAnsi="宋体" w:cs="宋体"/>
          <w:color w:val="000000" w:themeColor="text1"/>
          <w:sz w:val="21"/>
          <w:szCs w:val="21"/>
          <w:highlight w:val="none"/>
          <w14:textFill>
            <w14:solidFill>
              <w14:schemeClr w14:val="tx1"/>
            </w14:solidFill>
          </w14:textFill>
        </w:rPr>
        <w:t>详细</w:t>
      </w:r>
      <w:r>
        <w:rPr>
          <w:rFonts w:hint="eastAsia" w:ascii="宋体" w:hAnsi="宋体"/>
          <w:color w:val="000000" w:themeColor="text1"/>
          <w:sz w:val="21"/>
          <w:szCs w:val="21"/>
          <w:highlight w:val="none"/>
          <w14:textFill>
            <w14:solidFill>
              <w14:schemeClr w14:val="tx1"/>
            </w14:solidFill>
          </w14:textFill>
        </w:rPr>
        <w:t>了解全部</w:t>
      </w:r>
      <w:r>
        <w:rPr>
          <w:rFonts w:hint="eastAsia" w:ascii="宋体" w:hAnsi="宋体" w:cs="宋体"/>
          <w:color w:val="000000" w:themeColor="text1"/>
          <w:sz w:val="21"/>
          <w:szCs w:val="21"/>
          <w:highlight w:val="none"/>
          <w14:textFill>
            <w14:solidFill>
              <w14:schemeClr w14:val="tx1"/>
            </w14:solidFill>
          </w14:textFill>
        </w:rPr>
        <w:t>招标文件（含资格审查文件）</w:t>
      </w:r>
      <w:r>
        <w:rPr>
          <w:rFonts w:hint="eastAsia" w:ascii="宋体" w:hAnsi="宋体"/>
          <w:color w:val="000000" w:themeColor="text1"/>
          <w:sz w:val="21"/>
          <w:szCs w:val="21"/>
          <w:highlight w:val="none"/>
          <w14:textFill>
            <w14:solidFill>
              <w14:schemeClr w14:val="tx1"/>
            </w14:solidFill>
          </w14:textFill>
        </w:rPr>
        <w:t>，接受招标文件的</w:t>
      </w:r>
      <w:r>
        <w:rPr>
          <w:rFonts w:hint="eastAsia" w:ascii="宋体" w:hAnsi="宋体" w:cs="宋体"/>
          <w:color w:val="000000" w:themeColor="text1"/>
          <w:sz w:val="21"/>
          <w:szCs w:val="21"/>
          <w:highlight w:val="none"/>
          <w14:textFill>
            <w14:solidFill>
              <w14:schemeClr w14:val="tx1"/>
            </w14:solidFill>
          </w14:textFill>
        </w:rPr>
        <w:t>资格审查文件对</w:t>
      </w:r>
      <w:r>
        <w:rPr>
          <w:rFonts w:hint="eastAsia" w:ascii="宋体" w:hAnsi="宋体"/>
          <w:color w:val="000000" w:themeColor="text1"/>
          <w:sz w:val="21"/>
          <w:szCs w:val="21"/>
          <w:highlight w:val="none"/>
          <w14:textFill>
            <w14:solidFill>
              <w14:schemeClr w14:val="tx1"/>
            </w14:solidFill>
          </w14:textFill>
        </w:rPr>
        <w:t>此次申</w:t>
      </w:r>
      <w:r>
        <w:rPr>
          <w:rFonts w:hint="eastAsia" w:ascii="宋体" w:hAnsi="宋体" w:cs="宋体"/>
          <w:color w:val="000000" w:themeColor="text1"/>
          <w:sz w:val="21"/>
          <w:szCs w:val="21"/>
          <w:highlight w:val="none"/>
          <w14:textFill>
            <w14:solidFill>
              <w14:schemeClr w14:val="tx1"/>
            </w14:solidFill>
          </w14:textFill>
        </w:rPr>
        <w:t>请</w:t>
      </w:r>
      <w:r>
        <w:rPr>
          <w:rFonts w:hint="eastAsia" w:ascii="宋体" w:hAnsi="宋体"/>
          <w:color w:val="000000" w:themeColor="text1"/>
          <w:sz w:val="21"/>
          <w:szCs w:val="21"/>
          <w:highlight w:val="none"/>
          <w14:textFill>
            <w14:solidFill>
              <w14:schemeClr w14:val="tx1"/>
            </w14:solidFill>
          </w14:textFill>
        </w:rPr>
        <w:t>的全部要求和</w:t>
      </w:r>
      <w:r>
        <w:rPr>
          <w:rFonts w:hint="eastAsia" w:ascii="宋体" w:hAnsi="宋体" w:cs="宋体"/>
          <w:color w:val="000000" w:themeColor="text1"/>
          <w:sz w:val="21"/>
          <w:szCs w:val="21"/>
          <w:highlight w:val="none"/>
          <w14:textFill>
            <w14:solidFill>
              <w14:schemeClr w14:val="tx1"/>
            </w14:solidFill>
          </w14:textFill>
        </w:rPr>
        <w:t>规</w:t>
      </w:r>
      <w:r>
        <w:rPr>
          <w:rFonts w:hint="eastAsia" w:ascii="宋体" w:hAnsi="宋体"/>
          <w:color w:val="000000" w:themeColor="text1"/>
          <w:sz w:val="21"/>
          <w:szCs w:val="21"/>
          <w:highlight w:val="none"/>
          <w14:textFill>
            <w14:solidFill>
              <w14:schemeClr w14:val="tx1"/>
            </w14:solidFill>
          </w14:textFill>
        </w:rPr>
        <w:t>定。</w:t>
      </w:r>
    </w:p>
    <w:p w14:paraId="35157C50">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3.本申</w:t>
      </w:r>
      <w:r>
        <w:rPr>
          <w:rFonts w:hint="eastAsia" w:ascii="宋体" w:hAnsi="宋体" w:cs="宋体"/>
          <w:color w:val="000000" w:themeColor="text1"/>
          <w:sz w:val="21"/>
          <w:szCs w:val="21"/>
          <w:highlight w:val="none"/>
          <w14:textFill>
            <w14:solidFill>
              <w14:schemeClr w14:val="tx1"/>
            </w14:solidFill>
          </w14:textFill>
        </w:rPr>
        <w:t>请书</w:t>
      </w:r>
      <w:r>
        <w:rPr>
          <w:rFonts w:hint="eastAsia" w:ascii="宋体" w:hAnsi="宋体"/>
          <w:color w:val="000000" w:themeColor="text1"/>
          <w:sz w:val="21"/>
          <w:szCs w:val="21"/>
          <w:highlight w:val="none"/>
          <w14:textFill>
            <w14:solidFill>
              <w14:schemeClr w14:val="tx1"/>
            </w14:solidFill>
          </w14:textFill>
        </w:rPr>
        <w:t>包括以下内容：</w:t>
      </w:r>
    </w:p>
    <w:p w14:paraId="64B39382">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（1）资格审查申请函；</w:t>
      </w:r>
    </w:p>
    <w:p w14:paraId="7DCDE46E">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（2）资格审查申请函附表；</w:t>
      </w:r>
    </w:p>
    <w:p w14:paraId="50577F9E">
      <w:pPr>
        <w:spacing w:line="360" w:lineRule="auto"/>
        <w:ind w:firstLine="735" w:firstLineChars="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p w14:paraId="4B3E938B">
      <w:pPr>
        <w:spacing w:line="360" w:lineRule="auto"/>
        <w:ind w:firstLine="48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4.我方按照资格审查文件要求组建设计（勘察）项目组，将由</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（级别）级国家注册建筑师（注册编号：</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）任设计项目负责人。由</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（姓名）国家注册土木工程师（岩土）</w:t>
      </w:r>
      <w:r>
        <w:rPr>
          <w:rFonts w:hint="eastAsia" w:ascii="宋体" w:hAnsi="宋体"/>
          <w:color w:val="000000" w:themeColor="text1"/>
          <w:sz w:val="21"/>
          <w:szCs w:val="21"/>
          <w:highlight w:val="none"/>
          <w:u w:val="single"/>
          <w14:textFill>
            <w14:solidFill>
              <w14:schemeClr w14:val="tx1"/>
            </w14:solidFill>
          </w14:textFill>
        </w:rPr>
        <w:t xml:space="preserve">（注册编号：          </w:t>
      </w:r>
      <w:r>
        <w:rPr>
          <w:rFonts w:hint="eastAsia" w:ascii="宋体" w:hAnsi="宋体"/>
          <w:color w:val="000000" w:themeColor="text1"/>
          <w:sz w:val="21"/>
          <w:szCs w:val="21"/>
          <w:highlight w:val="none"/>
          <w14:textFill>
            <w14:solidFill>
              <w14:schemeClr w14:val="tx1"/>
            </w14:solidFill>
          </w14:textFill>
        </w:rPr>
        <w:t>）任勘察项目负责人（发包内容包含勘察）。</w:t>
      </w:r>
    </w:p>
    <w:p w14:paraId="2C790058">
      <w:pPr>
        <w:spacing w:line="360" w:lineRule="auto"/>
        <w:ind w:firstLine="426"/>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5.我方所提交的声明和</w:t>
      </w:r>
      <w:r>
        <w:rPr>
          <w:rFonts w:hint="eastAsia" w:ascii="宋体" w:hAnsi="宋体" w:cs="宋体"/>
          <w:color w:val="000000" w:themeColor="text1"/>
          <w:sz w:val="21"/>
          <w:szCs w:val="21"/>
          <w:highlight w:val="none"/>
          <w14:textFill>
            <w14:solidFill>
              <w14:schemeClr w14:val="tx1"/>
            </w14:solidFill>
          </w14:textFill>
        </w:rPr>
        <w:t>资</w:t>
      </w:r>
      <w:r>
        <w:rPr>
          <w:rFonts w:hint="eastAsia" w:ascii="宋体" w:hAnsi="宋体"/>
          <w:color w:val="000000" w:themeColor="text1"/>
          <w:sz w:val="21"/>
          <w:szCs w:val="21"/>
          <w:highlight w:val="none"/>
          <w14:textFill>
            <w14:solidFill>
              <w14:schemeClr w14:val="tx1"/>
            </w14:solidFill>
          </w14:textFill>
        </w:rPr>
        <w:t>料完整、真</w:t>
      </w:r>
      <w:r>
        <w:rPr>
          <w:rFonts w:hint="eastAsia" w:ascii="宋体" w:hAnsi="宋体" w:cs="宋体"/>
          <w:color w:val="000000" w:themeColor="text1"/>
          <w:sz w:val="21"/>
          <w:szCs w:val="21"/>
          <w:highlight w:val="none"/>
          <w14:textFill>
            <w14:solidFill>
              <w14:schemeClr w14:val="tx1"/>
            </w14:solidFill>
          </w14:textFill>
        </w:rPr>
        <w:t>实</w:t>
      </w:r>
      <w:r>
        <w:rPr>
          <w:rFonts w:hint="eastAsia" w:ascii="宋体" w:hAnsi="宋体"/>
          <w:color w:val="000000" w:themeColor="text1"/>
          <w:sz w:val="21"/>
          <w:szCs w:val="21"/>
          <w:highlight w:val="none"/>
          <w14:textFill>
            <w14:solidFill>
              <w14:schemeClr w14:val="tx1"/>
            </w14:solidFill>
          </w14:textFill>
        </w:rPr>
        <w:t>、准确。</w:t>
      </w:r>
    </w:p>
    <w:p w14:paraId="3BE00BF5">
      <w:pPr>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6.我方承</w:t>
      </w:r>
      <w:r>
        <w:rPr>
          <w:rFonts w:hint="eastAsia" w:ascii="宋体" w:hAnsi="宋体" w:cs="宋体"/>
          <w:color w:val="000000" w:themeColor="text1"/>
          <w:sz w:val="21"/>
          <w:szCs w:val="21"/>
          <w:highlight w:val="none"/>
          <w14:textFill>
            <w14:solidFill>
              <w14:schemeClr w14:val="tx1"/>
            </w14:solidFill>
          </w14:textFill>
        </w:rPr>
        <w:t>诺</w:t>
      </w:r>
      <w:r>
        <w:rPr>
          <w:rFonts w:hint="eastAsia" w:ascii="宋体" w:hAnsi="宋体"/>
          <w:color w:val="000000" w:themeColor="text1"/>
          <w:sz w:val="21"/>
          <w:szCs w:val="21"/>
          <w:highlight w:val="none"/>
          <w14:textFill>
            <w14:solidFill>
              <w14:schemeClr w14:val="tx1"/>
            </w14:solidFill>
          </w14:textFill>
        </w:rPr>
        <w:t>在提交申</w:t>
      </w:r>
      <w:r>
        <w:rPr>
          <w:rFonts w:hint="eastAsia" w:ascii="宋体" w:hAnsi="宋体" w:cs="宋体"/>
          <w:color w:val="000000" w:themeColor="text1"/>
          <w:sz w:val="21"/>
          <w:szCs w:val="21"/>
          <w:highlight w:val="none"/>
          <w14:textFill>
            <w14:solidFill>
              <w14:schemeClr w14:val="tx1"/>
            </w14:solidFill>
          </w14:textFill>
        </w:rPr>
        <w:t>请</w:t>
      </w:r>
      <w:r>
        <w:rPr>
          <w:rFonts w:hint="eastAsia" w:ascii="宋体" w:hAnsi="宋体"/>
          <w:color w:val="000000" w:themeColor="text1"/>
          <w:sz w:val="21"/>
          <w:szCs w:val="21"/>
          <w:highlight w:val="none"/>
          <w14:textFill>
            <w14:solidFill>
              <w14:schemeClr w14:val="tx1"/>
            </w14:solidFill>
          </w14:textFill>
        </w:rPr>
        <w:t>日后的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个日</w:t>
      </w:r>
      <w:r>
        <w:rPr>
          <w:rFonts w:hint="eastAsia" w:ascii="宋体" w:hAnsi="宋体" w:cs="宋体"/>
          <w:color w:val="000000" w:themeColor="text1"/>
          <w:sz w:val="21"/>
          <w:szCs w:val="21"/>
          <w:highlight w:val="none"/>
          <w14:textFill>
            <w14:solidFill>
              <w14:schemeClr w14:val="tx1"/>
            </w14:solidFill>
          </w14:textFill>
        </w:rPr>
        <w:t>历</w:t>
      </w:r>
      <w:r>
        <w:rPr>
          <w:rFonts w:hint="eastAsia" w:ascii="宋体" w:hAnsi="宋体"/>
          <w:color w:val="000000" w:themeColor="text1"/>
          <w:sz w:val="21"/>
          <w:szCs w:val="21"/>
          <w:highlight w:val="none"/>
          <w14:textFill>
            <w14:solidFill>
              <w14:schemeClr w14:val="tx1"/>
            </w14:solidFill>
          </w14:textFill>
        </w:rPr>
        <w:t>天内不改</w:t>
      </w:r>
      <w:r>
        <w:rPr>
          <w:rFonts w:hint="eastAsia" w:ascii="宋体" w:hAnsi="宋体" w:cs="宋体"/>
          <w:color w:val="000000" w:themeColor="text1"/>
          <w:sz w:val="21"/>
          <w:szCs w:val="21"/>
          <w:highlight w:val="none"/>
          <w14:textFill>
            <w14:solidFill>
              <w14:schemeClr w14:val="tx1"/>
            </w14:solidFill>
          </w14:textFill>
        </w:rPr>
        <w:t>变</w:t>
      </w:r>
      <w:r>
        <w:rPr>
          <w:rFonts w:hint="eastAsia" w:ascii="宋体" w:hAnsi="宋体"/>
          <w:color w:val="000000" w:themeColor="text1"/>
          <w:sz w:val="21"/>
          <w:szCs w:val="21"/>
          <w:highlight w:val="none"/>
          <w14:textFill>
            <w14:solidFill>
              <w14:schemeClr w14:val="tx1"/>
            </w14:solidFill>
          </w14:textFill>
        </w:rPr>
        <w:t>申</w:t>
      </w:r>
      <w:r>
        <w:rPr>
          <w:rFonts w:hint="eastAsia" w:ascii="宋体" w:hAnsi="宋体" w:cs="宋体"/>
          <w:color w:val="000000" w:themeColor="text1"/>
          <w:sz w:val="21"/>
          <w:szCs w:val="21"/>
          <w:highlight w:val="none"/>
          <w14:textFill>
            <w14:solidFill>
              <w14:schemeClr w14:val="tx1"/>
            </w14:solidFill>
          </w14:textFill>
        </w:rPr>
        <w:t>请</w:t>
      </w:r>
      <w:r>
        <w:rPr>
          <w:rFonts w:hint="eastAsia" w:ascii="宋体" w:hAnsi="宋体"/>
          <w:color w:val="000000" w:themeColor="text1"/>
          <w:sz w:val="21"/>
          <w:szCs w:val="21"/>
          <w:highlight w:val="none"/>
          <w14:textFill>
            <w14:solidFill>
              <w14:schemeClr w14:val="tx1"/>
            </w14:solidFill>
          </w14:textFill>
        </w:rPr>
        <w:t>内容。本申</w:t>
      </w:r>
      <w:r>
        <w:rPr>
          <w:rFonts w:hint="eastAsia" w:ascii="宋体" w:hAnsi="宋体" w:cs="宋体"/>
          <w:color w:val="000000" w:themeColor="text1"/>
          <w:sz w:val="21"/>
          <w:szCs w:val="21"/>
          <w:highlight w:val="none"/>
          <w14:textFill>
            <w14:solidFill>
              <w14:schemeClr w14:val="tx1"/>
            </w14:solidFill>
          </w14:textFill>
        </w:rPr>
        <w:t>请书</w:t>
      </w:r>
      <w:r>
        <w:rPr>
          <w:rFonts w:hint="eastAsia" w:ascii="宋体" w:hAnsi="宋体"/>
          <w:color w:val="000000" w:themeColor="text1"/>
          <w:sz w:val="21"/>
          <w:szCs w:val="21"/>
          <w:highlight w:val="none"/>
          <w14:textFill>
            <w14:solidFill>
              <w14:schemeClr w14:val="tx1"/>
            </w14:solidFill>
          </w14:textFill>
        </w:rPr>
        <w:t>将作</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人与我方之</w:t>
      </w:r>
      <w:r>
        <w:rPr>
          <w:rFonts w:hint="eastAsia" w:ascii="宋体" w:hAnsi="宋体" w:cs="宋体"/>
          <w:color w:val="000000" w:themeColor="text1"/>
          <w:sz w:val="21"/>
          <w:szCs w:val="21"/>
          <w:highlight w:val="none"/>
          <w14:textFill>
            <w14:solidFill>
              <w14:schemeClr w14:val="tx1"/>
            </w14:solidFill>
          </w14:textFill>
        </w:rPr>
        <w:t>间</w:t>
      </w:r>
      <w:r>
        <w:rPr>
          <w:rFonts w:hint="eastAsia" w:ascii="宋体" w:hAnsi="宋体"/>
          <w:color w:val="000000" w:themeColor="text1"/>
          <w:sz w:val="21"/>
          <w:szCs w:val="21"/>
          <w:highlight w:val="none"/>
          <w14:textFill>
            <w14:solidFill>
              <w14:schemeClr w14:val="tx1"/>
            </w14:solidFill>
          </w14:textFill>
        </w:rPr>
        <w:t>具有法律</w:t>
      </w:r>
      <w:r>
        <w:rPr>
          <w:rFonts w:hint="eastAsia" w:ascii="宋体" w:hAnsi="宋体" w:cs="宋体"/>
          <w:color w:val="000000" w:themeColor="text1"/>
          <w:sz w:val="21"/>
          <w:szCs w:val="21"/>
          <w:highlight w:val="none"/>
          <w14:textFill>
            <w14:solidFill>
              <w14:schemeClr w14:val="tx1"/>
            </w14:solidFill>
          </w14:textFill>
        </w:rPr>
        <w:t>约</w:t>
      </w:r>
      <w:r>
        <w:rPr>
          <w:rFonts w:hint="eastAsia" w:ascii="宋体" w:hAnsi="宋体"/>
          <w:color w:val="000000" w:themeColor="text1"/>
          <w:sz w:val="21"/>
          <w:szCs w:val="21"/>
          <w:highlight w:val="none"/>
          <w14:textFill>
            <w14:solidFill>
              <w14:schemeClr w14:val="tx1"/>
            </w14:solidFill>
          </w14:textFill>
        </w:rPr>
        <w:t>束力的文件。</w:t>
      </w:r>
    </w:p>
    <w:p w14:paraId="0F93891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与本投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有</w:t>
      </w:r>
      <w:r>
        <w:rPr>
          <w:rFonts w:hint="eastAsia" w:ascii="宋体" w:hAnsi="宋体" w:cs="宋体"/>
          <w:color w:val="000000" w:themeColor="text1"/>
          <w:sz w:val="21"/>
          <w:szCs w:val="21"/>
          <w:highlight w:val="none"/>
          <w14:textFill>
            <w14:solidFill>
              <w14:schemeClr w14:val="tx1"/>
            </w14:solidFill>
          </w14:textFill>
        </w:rPr>
        <w:t>关</w:t>
      </w:r>
      <w:r>
        <w:rPr>
          <w:rFonts w:hint="eastAsia" w:ascii="宋体" w:hAnsi="宋体"/>
          <w:color w:val="000000" w:themeColor="text1"/>
          <w:sz w:val="21"/>
          <w:szCs w:val="21"/>
          <w:highlight w:val="none"/>
          <w14:textFill>
            <w14:solidFill>
              <w14:schemeClr w14:val="tx1"/>
            </w14:solidFill>
          </w14:textFill>
        </w:rPr>
        <w:t>的一切正式往来通</w:t>
      </w:r>
      <w:r>
        <w:rPr>
          <w:rFonts w:hint="eastAsia" w:ascii="宋体" w:hAnsi="宋体" w:cs="宋体"/>
          <w:color w:val="000000" w:themeColor="text1"/>
          <w:sz w:val="21"/>
          <w:szCs w:val="21"/>
          <w:highlight w:val="none"/>
          <w14:textFill>
            <w14:solidFill>
              <w14:schemeClr w14:val="tx1"/>
            </w14:solidFill>
          </w14:textFill>
        </w:rPr>
        <w:t>讯请</w:t>
      </w:r>
      <w:r>
        <w:rPr>
          <w:rFonts w:hint="eastAsia" w:ascii="宋体" w:hAnsi="宋体"/>
          <w:color w:val="000000" w:themeColor="text1"/>
          <w:sz w:val="21"/>
          <w:szCs w:val="21"/>
          <w:highlight w:val="none"/>
          <w14:textFill>
            <w14:solidFill>
              <w14:schemeClr w14:val="tx1"/>
            </w14:solidFill>
          </w14:textFill>
        </w:rPr>
        <w:t>寄：</w:t>
      </w:r>
    </w:p>
    <w:p w14:paraId="7BBCEE4D">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27333385">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r>
        <w:rPr>
          <w:rStyle w:val="49"/>
          <w:rFonts w:ascii="宋体" w:hAnsi="宋体"/>
          <w:color w:val="000000" w:themeColor="text1"/>
          <w:sz w:val="21"/>
          <w:szCs w:val="21"/>
          <w:highlight w:val="none"/>
          <w14:textFill>
            <w14:solidFill>
              <w14:schemeClr w14:val="tx1"/>
            </w14:solidFill>
          </w14:textFill>
        </w:rPr>
        <w:footnoteReference w:id="76"/>
      </w:r>
    </w:p>
    <w:p w14:paraId="3C4FAD70">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拟担任设计项目负责人：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（盖实体执业章、签字）</w:t>
      </w:r>
      <w:r>
        <w:rPr>
          <w:rStyle w:val="49"/>
          <w:rFonts w:ascii="宋体" w:hAnsi="宋体"/>
          <w:color w:val="000000" w:themeColor="text1"/>
          <w:sz w:val="21"/>
          <w:szCs w:val="21"/>
          <w:highlight w:val="none"/>
          <w14:textFill>
            <w14:solidFill>
              <w14:schemeClr w14:val="tx1"/>
            </w14:solidFill>
          </w14:textFill>
        </w:rPr>
        <w:footnoteReference w:id="77"/>
      </w:r>
    </w:p>
    <w:p w14:paraId="7D5C6581">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地址：</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邮编</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4B11298E">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电话</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传</w:t>
      </w:r>
      <w:r>
        <w:rPr>
          <w:rFonts w:hint="eastAsia" w:ascii="宋体" w:hAnsi="宋体"/>
          <w:color w:val="000000" w:themeColor="text1"/>
          <w:sz w:val="21"/>
          <w:szCs w:val="21"/>
          <w:highlight w:val="none"/>
          <w14:textFill>
            <w14:solidFill>
              <w14:schemeClr w14:val="tx1"/>
            </w14:solidFill>
          </w14:textFill>
        </w:rPr>
        <w:t>真：</w:t>
      </w:r>
      <w:r>
        <w:rPr>
          <w:rFonts w:hint="eastAsia" w:ascii="宋体" w:hAnsi="宋体"/>
          <w:color w:val="000000" w:themeColor="text1"/>
          <w:sz w:val="21"/>
          <w:szCs w:val="21"/>
          <w:highlight w:val="none"/>
          <w:u w:val="single"/>
          <w14:textFill>
            <w14:solidFill>
              <w14:schemeClr w14:val="tx1"/>
            </w14:solidFill>
          </w14:textFill>
        </w:rPr>
        <w:t xml:space="preserve">             </w:t>
      </w:r>
    </w:p>
    <w:p w14:paraId="545D2B88">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w:t>
      </w:r>
      <w:r>
        <w:rPr>
          <w:rFonts w:hint="eastAsia" w:ascii="宋体" w:hAnsi="宋体"/>
          <w:color w:val="000000" w:themeColor="text1"/>
          <w:sz w:val="21"/>
          <w:szCs w:val="21"/>
          <w:highlight w:val="none"/>
          <w14:textFill>
            <w14:solidFill>
              <w14:schemeClr w14:val="tx1"/>
            </w14:solidFill>
          </w14:textFill>
        </w:rPr>
        <w:t>系人：</w:t>
      </w:r>
      <w:r>
        <w:rPr>
          <w:rFonts w:hint="eastAsia" w:ascii="宋体" w:hAnsi="宋体"/>
          <w:color w:val="000000" w:themeColor="text1"/>
          <w:sz w:val="21"/>
          <w:szCs w:val="21"/>
          <w:highlight w:val="none"/>
          <w:u w:val="single"/>
          <w14:textFill>
            <w14:solidFill>
              <w14:schemeClr w14:val="tx1"/>
            </w14:solidFill>
          </w14:textFill>
        </w:rPr>
        <w:t xml:space="preserve">                 </w:t>
      </w:r>
    </w:p>
    <w:p w14:paraId="053AF705">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60DE7C12">
      <w:pPr>
        <w:pStyle w:val="13"/>
        <w:tabs>
          <w:tab w:val="left" w:pos="113"/>
          <w:tab w:val="left" w:pos="1000"/>
        </w:tabs>
        <w:spacing w:line="360" w:lineRule="auto"/>
        <w:ind w:firstLine="0"/>
        <w:rPr>
          <w:rFonts w:hint="eastAsia" w:ascii="宋体" w:hAnsi="宋体" w:eastAsia="宋体"/>
          <w:color w:val="000000" w:themeColor="text1"/>
          <w:szCs w:val="21"/>
          <w:highlight w:val="none"/>
          <w14:textFill>
            <w14:solidFill>
              <w14:schemeClr w14:val="tx1"/>
            </w14:solidFill>
          </w14:textFill>
        </w:rPr>
      </w:pPr>
    </w:p>
    <w:p w14:paraId="7B8F1622">
      <w:pPr>
        <w:pStyle w:val="13"/>
        <w:tabs>
          <w:tab w:val="left" w:pos="113"/>
          <w:tab w:val="left" w:pos="1000"/>
        </w:tabs>
        <w:spacing w:line="360" w:lineRule="auto"/>
        <w:ind w:firstLine="0"/>
        <w:rPr>
          <w:rFonts w:hint="eastAsia" w:ascii="宋体" w:hAnsi="宋体" w:eastAsia="宋体"/>
          <w:color w:val="000000" w:themeColor="text1"/>
          <w:szCs w:val="21"/>
          <w:highlight w:val="none"/>
          <w14:textFill>
            <w14:solidFill>
              <w14:schemeClr w14:val="tx1"/>
            </w14:solidFill>
          </w14:textFill>
        </w:rPr>
      </w:pPr>
    </w:p>
    <w:p w14:paraId="50281D4B">
      <w:pPr>
        <w:pStyle w:val="13"/>
        <w:tabs>
          <w:tab w:val="left" w:pos="113"/>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（二）资格审查申请函附表</w:t>
      </w:r>
    </w:p>
    <w:p w14:paraId="4D786C5E">
      <w:pPr>
        <w:pStyle w:val="13"/>
        <w:tabs>
          <w:tab w:val="left" w:pos="1000"/>
        </w:tabs>
        <w:spacing w:line="360" w:lineRule="auto"/>
        <w:ind w:firstLine="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 投标人基本情况表（格式）</w:t>
      </w:r>
    </w:p>
    <w:p w14:paraId="10300763">
      <w:pPr>
        <w:spacing w:after="100" w:afterAutospacing="1"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w:t>
      </w:r>
      <w:r>
        <w:rPr>
          <w:rFonts w:hint="eastAsia" w:ascii="黑体" w:hAnsi="黑体" w:eastAsia="黑体" w:cs="宋体"/>
          <w:color w:val="000000" w:themeColor="text1"/>
          <w:sz w:val="32"/>
          <w:szCs w:val="32"/>
          <w:highlight w:val="none"/>
          <w14:textFill>
            <w14:solidFill>
              <w14:schemeClr w14:val="tx1"/>
            </w14:solidFill>
          </w14:textFill>
        </w:rPr>
        <w:t>标</w:t>
      </w:r>
      <w:r>
        <w:rPr>
          <w:rFonts w:hint="eastAsia" w:ascii="黑体" w:hAnsi="黑体" w:eastAsia="黑体"/>
          <w:color w:val="000000" w:themeColor="text1"/>
          <w:sz w:val="32"/>
          <w:szCs w:val="32"/>
          <w:highlight w:val="none"/>
          <w14:textFill>
            <w14:solidFill>
              <w14:schemeClr w14:val="tx1"/>
            </w14:solidFill>
          </w14:textFill>
        </w:rPr>
        <w:t>人基本情况表</w:t>
      </w:r>
      <w:r>
        <w:rPr>
          <w:rStyle w:val="49"/>
          <w:rFonts w:ascii="黑体" w:hAnsi="黑体" w:eastAsia="黑体"/>
          <w:color w:val="000000" w:themeColor="text1"/>
          <w:sz w:val="32"/>
          <w:szCs w:val="32"/>
          <w:highlight w:val="none"/>
          <w14:textFill>
            <w14:solidFill>
              <w14:schemeClr w14:val="tx1"/>
            </w14:solidFill>
          </w14:textFill>
        </w:rPr>
        <w:footnoteReference w:id="78"/>
      </w:r>
    </w:p>
    <w:tbl>
      <w:tblPr>
        <w:tblStyle w:val="41"/>
        <w:tblW w:w="9136" w:type="dxa"/>
        <w:tblInd w:w="-137"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1157"/>
        <w:gridCol w:w="897"/>
        <w:gridCol w:w="1026"/>
        <w:gridCol w:w="1172"/>
        <w:gridCol w:w="117"/>
        <w:gridCol w:w="420"/>
        <w:gridCol w:w="866"/>
        <w:gridCol w:w="833"/>
        <w:gridCol w:w="281"/>
        <w:gridCol w:w="1232"/>
      </w:tblGrid>
      <w:tr w14:paraId="745635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tcBorders>
              <w:tl2br w:val="nil"/>
              <w:tr2bl w:val="nil"/>
            </w:tcBorders>
            <w:vAlign w:val="center"/>
          </w:tcPr>
          <w:p w14:paraId="2B61F8DA">
            <w:pPr>
              <w:pStyle w:val="105"/>
              <w:spacing w:before="107"/>
              <w:ind w:left="4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投标人名称</w:t>
            </w:r>
          </w:p>
        </w:tc>
        <w:tc>
          <w:tcPr>
            <w:tcW w:w="6844" w:type="dxa"/>
            <w:gridSpan w:val="9"/>
            <w:tcBorders>
              <w:tl2br w:val="nil"/>
              <w:tr2bl w:val="nil"/>
            </w:tcBorders>
            <w:vAlign w:val="center"/>
          </w:tcPr>
          <w:p w14:paraId="0E7EB548">
            <w:pPr>
              <w:rPr>
                <w:rFonts w:ascii="宋体" w:hAnsi="宋体"/>
                <w:color w:val="000000" w:themeColor="text1"/>
                <w:sz w:val="21"/>
                <w:szCs w:val="21"/>
                <w:highlight w:val="none"/>
                <w14:textFill>
                  <w14:solidFill>
                    <w14:schemeClr w14:val="tx1"/>
                  </w14:solidFill>
                </w14:textFill>
              </w:rPr>
            </w:pPr>
          </w:p>
        </w:tc>
      </w:tr>
      <w:tr w14:paraId="43B373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tcBorders>
              <w:tl2br w:val="nil"/>
              <w:tr2bl w:val="nil"/>
            </w:tcBorders>
            <w:vAlign w:val="center"/>
          </w:tcPr>
          <w:p w14:paraId="374CE743">
            <w:pPr>
              <w:pStyle w:val="105"/>
              <w:spacing w:before="107"/>
              <w:ind w:left="5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注册地址</w:t>
            </w:r>
          </w:p>
        </w:tc>
        <w:tc>
          <w:tcPr>
            <w:tcW w:w="3212" w:type="dxa"/>
            <w:gridSpan w:val="4"/>
            <w:tcBorders>
              <w:tl2br w:val="nil"/>
              <w:tr2bl w:val="nil"/>
            </w:tcBorders>
            <w:vAlign w:val="center"/>
          </w:tcPr>
          <w:p w14:paraId="38FDE1EA">
            <w:pPr>
              <w:rPr>
                <w:rFonts w:ascii="宋体" w:hAnsi="宋体"/>
                <w:color w:val="000000" w:themeColor="text1"/>
                <w:sz w:val="21"/>
                <w:szCs w:val="21"/>
                <w:highlight w:val="none"/>
                <w14:textFill>
                  <w14:solidFill>
                    <w14:schemeClr w14:val="tx1"/>
                  </w14:solidFill>
                </w14:textFill>
              </w:rPr>
            </w:pPr>
          </w:p>
        </w:tc>
        <w:tc>
          <w:tcPr>
            <w:tcW w:w="1286" w:type="dxa"/>
            <w:gridSpan w:val="2"/>
            <w:tcBorders>
              <w:tl2br w:val="nil"/>
              <w:tr2bl w:val="nil"/>
            </w:tcBorders>
            <w:vAlign w:val="center"/>
          </w:tcPr>
          <w:p w14:paraId="34D6EA60">
            <w:pPr>
              <w:pStyle w:val="105"/>
              <w:spacing w:before="107"/>
              <w:ind w:left="2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邮政编码</w:t>
            </w:r>
          </w:p>
        </w:tc>
        <w:tc>
          <w:tcPr>
            <w:tcW w:w="2346" w:type="dxa"/>
            <w:gridSpan w:val="3"/>
            <w:tcBorders>
              <w:tl2br w:val="nil"/>
              <w:tr2bl w:val="nil"/>
            </w:tcBorders>
            <w:vAlign w:val="center"/>
          </w:tcPr>
          <w:p w14:paraId="0ADC393D">
            <w:pPr>
              <w:rPr>
                <w:rFonts w:ascii="宋体" w:hAnsi="宋体"/>
                <w:color w:val="000000" w:themeColor="text1"/>
                <w:sz w:val="21"/>
                <w:szCs w:val="21"/>
                <w:highlight w:val="none"/>
                <w14:textFill>
                  <w14:solidFill>
                    <w14:schemeClr w14:val="tx1"/>
                  </w14:solidFill>
                </w14:textFill>
              </w:rPr>
            </w:pPr>
          </w:p>
        </w:tc>
      </w:tr>
      <w:tr w14:paraId="3642C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Merge w:val="restart"/>
            <w:tcBorders>
              <w:tl2br w:val="nil"/>
              <w:tr2bl w:val="nil"/>
            </w:tcBorders>
            <w:vAlign w:val="center"/>
          </w:tcPr>
          <w:p w14:paraId="0B99B9C7">
            <w:pPr>
              <w:pStyle w:val="105"/>
              <w:ind w:left="5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联系方式</w:t>
            </w:r>
          </w:p>
        </w:tc>
        <w:tc>
          <w:tcPr>
            <w:tcW w:w="897" w:type="dxa"/>
            <w:tcBorders>
              <w:tl2br w:val="nil"/>
              <w:tr2bl w:val="nil"/>
            </w:tcBorders>
            <w:vAlign w:val="center"/>
          </w:tcPr>
          <w:p w14:paraId="6B77C0D0">
            <w:pPr>
              <w:pStyle w:val="105"/>
              <w:spacing w:before="107"/>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联系人</w:t>
            </w:r>
          </w:p>
        </w:tc>
        <w:tc>
          <w:tcPr>
            <w:tcW w:w="2315" w:type="dxa"/>
            <w:gridSpan w:val="3"/>
            <w:tcBorders>
              <w:tl2br w:val="nil"/>
              <w:tr2bl w:val="nil"/>
            </w:tcBorders>
            <w:vAlign w:val="center"/>
          </w:tcPr>
          <w:p w14:paraId="5681F8B9">
            <w:pPr>
              <w:rPr>
                <w:rFonts w:ascii="宋体" w:hAnsi="宋体"/>
                <w:color w:val="000000" w:themeColor="text1"/>
                <w:sz w:val="21"/>
                <w:szCs w:val="21"/>
                <w:highlight w:val="none"/>
                <w14:textFill>
                  <w14:solidFill>
                    <w14:schemeClr w14:val="tx1"/>
                  </w14:solidFill>
                </w14:textFill>
              </w:rPr>
            </w:pPr>
          </w:p>
        </w:tc>
        <w:tc>
          <w:tcPr>
            <w:tcW w:w="1286" w:type="dxa"/>
            <w:gridSpan w:val="2"/>
            <w:tcBorders>
              <w:tl2br w:val="nil"/>
              <w:tr2bl w:val="nil"/>
            </w:tcBorders>
            <w:vAlign w:val="center"/>
          </w:tcPr>
          <w:p w14:paraId="5548F888">
            <w:pPr>
              <w:pStyle w:val="105"/>
              <w:spacing w:before="107"/>
              <w:ind w:left="37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 话</w:t>
            </w:r>
          </w:p>
        </w:tc>
        <w:tc>
          <w:tcPr>
            <w:tcW w:w="2346" w:type="dxa"/>
            <w:gridSpan w:val="3"/>
            <w:tcBorders>
              <w:tl2br w:val="nil"/>
              <w:tr2bl w:val="nil"/>
            </w:tcBorders>
            <w:vAlign w:val="center"/>
          </w:tcPr>
          <w:p w14:paraId="7E04CF4D">
            <w:pPr>
              <w:rPr>
                <w:rFonts w:ascii="宋体" w:hAnsi="宋体"/>
                <w:color w:val="000000" w:themeColor="text1"/>
                <w:sz w:val="21"/>
                <w:szCs w:val="21"/>
                <w:highlight w:val="none"/>
                <w14:textFill>
                  <w14:solidFill>
                    <w14:schemeClr w14:val="tx1"/>
                  </w14:solidFill>
                </w14:textFill>
              </w:rPr>
            </w:pPr>
          </w:p>
        </w:tc>
      </w:tr>
      <w:tr w14:paraId="6F717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Merge w:val="continue"/>
            <w:tcBorders>
              <w:tl2br w:val="nil"/>
              <w:tr2bl w:val="nil"/>
            </w:tcBorders>
            <w:vAlign w:val="center"/>
          </w:tcPr>
          <w:p w14:paraId="532F26CC">
            <w:pPr>
              <w:rPr>
                <w:rFonts w:ascii="宋体" w:hAnsi="宋体"/>
                <w:color w:val="000000" w:themeColor="text1"/>
                <w:sz w:val="21"/>
                <w:szCs w:val="21"/>
                <w:highlight w:val="none"/>
                <w14:textFill>
                  <w14:solidFill>
                    <w14:schemeClr w14:val="tx1"/>
                  </w14:solidFill>
                </w14:textFill>
              </w:rPr>
            </w:pPr>
          </w:p>
        </w:tc>
        <w:tc>
          <w:tcPr>
            <w:tcW w:w="897" w:type="dxa"/>
            <w:tcBorders>
              <w:tl2br w:val="nil"/>
              <w:tr2bl w:val="nil"/>
            </w:tcBorders>
            <w:vAlign w:val="center"/>
          </w:tcPr>
          <w:p w14:paraId="12807A87">
            <w:pPr>
              <w:pStyle w:val="105"/>
              <w:tabs>
                <w:tab w:val="left" w:pos="422"/>
              </w:tabs>
              <w:spacing w:before="108"/>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传</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真</w:t>
            </w:r>
          </w:p>
        </w:tc>
        <w:tc>
          <w:tcPr>
            <w:tcW w:w="2315" w:type="dxa"/>
            <w:gridSpan w:val="3"/>
            <w:tcBorders>
              <w:tl2br w:val="nil"/>
              <w:tr2bl w:val="nil"/>
            </w:tcBorders>
            <w:vAlign w:val="center"/>
          </w:tcPr>
          <w:p w14:paraId="039A06BE">
            <w:pPr>
              <w:rPr>
                <w:rFonts w:ascii="宋体" w:hAnsi="宋体"/>
                <w:color w:val="000000" w:themeColor="text1"/>
                <w:sz w:val="21"/>
                <w:szCs w:val="21"/>
                <w:highlight w:val="none"/>
                <w14:textFill>
                  <w14:solidFill>
                    <w14:schemeClr w14:val="tx1"/>
                  </w14:solidFill>
                </w14:textFill>
              </w:rPr>
            </w:pPr>
          </w:p>
        </w:tc>
        <w:tc>
          <w:tcPr>
            <w:tcW w:w="1286" w:type="dxa"/>
            <w:gridSpan w:val="2"/>
            <w:tcBorders>
              <w:tl2br w:val="nil"/>
              <w:tr2bl w:val="nil"/>
            </w:tcBorders>
            <w:vAlign w:val="center"/>
          </w:tcPr>
          <w:p w14:paraId="7295BAC5">
            <w:pPr>
              <w:pStyle w:val="105"/>
              <w:spacing w:before="108"/>
              <w:ind w:left="37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网 址</w:t>
            </w:r>
          </w:p>
        </w:tc>
        <w:tc>
          <w:tcPr>
            <w:tcW w:w="2346" w:type="dxa"/>
            <w:gridSpan w:val="3"/>
            <w:tcBorders>
              <w:tl2br w:val="nil"/>
              <w:tr2bl w:val="nil"/>
            </w:tcBorders>
            <w:vAlign w:val="center"/>
          </w:tcPr>
          <w:p w14:paraId="423ABB32">
            <w:pPr>
              <w:rPr>
                <w:rFonts w:ascii="宋体" w:hAnsi="宋体"/>
                <w:color w:val="000000" w:themeColor="text1"/>
                <w:sz w:val="21"/>
                <w:szCs w:val="21"/>
                <w:highlight w:val="none"/>
                <w14:textFill>
                  <w14:solidFill>
                    <w14:schemeClr w14:val="tx1"/>
                  </w14:solidFill>
                </w14:textFill>
              </w:rPr>
            </w:pPr>
          </w:p>
        </w:tc>
      </w:tr>
      <w:tr w14:paraId="1732AB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tcBorders>
              <w:tl2br w:val="nil"/>
              <w:tr2bl w:val="nil"/>
            </w:tcBorders>
            <w:vAlign w:val="center"/>
          </w:tcPr>
          <w:p w14:paraId="1614F8C8">
            <w:pPr>
              <w:pStyle w:val="105"/>
              <w:spacing w:before="107"/>
              <w:ind w:left="4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法定代表人</w:t>
            </w:r>
          </w:p>
        </w:tc>
        <w:tc>
          <w:tcPr>
            <w:tcW w:w="897" w:type="dxa"/>
            <w:tcBorders>
              <w:tl2br w:val="nil"/>
              <w:tr2bl w:val="nil"/>
            </w:tcBorders>
            <w:vAlign w:val="center"/>
          </w:tcPr>
          <w:p w14:paraId="3584B109">
            <w:pPr>
              <w:pStyle w:val="105"/>
              <w:spacing w:before="107"/>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姓名</w:t>
            </w:r>
          </w:p>
        </w:tc>
        <w:tc>
          <w:tcPr>
            <w:tcW w:w="1026" w:type="dxa"/>
            <w:tcBorders>
              <w:tl2br w:val="nil"/>
              <w:tr2bl w:val="nil"/>
            </w:tcBorders>
            <w:vAlign w:val="center"/>
          </w:tcPr>
          <w:p w14:paraId="476B00E8">
            <w:pPr>
              <w:rPr>
                <w:rFonts w:ascii="宋体" w:hAnsi="宋体"/>
                <w:color w:val="000000" w:themeColor="text1"/>
                <w:sz w:val="21"/>
                <w:szCs w:val="21"/>
                <w:highlight w:val="none"/>
                <w14:textFill>
                  <w14:solidFill>
                    <w14:schemeClr w14:val="tx1"/>
                  </w14:solidFill>
                </w14:textFill>
              </w:rPr>
            </w:pPr>
          </w:p>
        </w:tc>
        <w:tc>
          <w:tcPr>
            <w:tcW w:w="1289" w:type="dxa"/>
            <w:gridSpan w:val="2"/>
            <w:tcBorders>
              <w:tl2br w:val="nil"/>
              <w:tr2bl w:val="nil"/>
            </w:tcBorders>
            <w:vAlign w:val="center"/>
          </w:tcPr>
          <w:p w14:paraId="557B0FF7">
            <w:pPr>
              <w:pStyle w:val="105"/>
              <w:spacing w:before="107"/>
              <w:ind w:left="2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技术职称</w:t>
            </w:r>
          </w:p>
        </w:tc>
        <w:tc>
          <w:tcPr>
            <w:tcW w:w="1286" w:type="dxa"/>
            <w:gridSpan w:val="2"/>
            <w:tcBorders>
              <w:tl2br w:val="nil"/>
              <w:tr2bl w:val="nil"/>
            </w:tcBorders>
            <w:vAlign w:val="center"/>
          </w:tcPr>
          <w:p w14:paraId="1438DE83">
            <w:pPr>
              <w:rPr>
                <w:rFonts w:ascii="宋体" w:hAnsi="宋体"/>
                <w:color w:val="000000" w:themeColor="text1"/>
                <w:sz w:val="21"/>
                <w:szCs w:val="21"/>
                <w:highlight w:val="none"/>
                <w14:textFill>
                  <w14:solidFill>
                    <w14:schemeClr w14:val="tx1"/>
                  </w14:solidFill>
                </w14:textFill>
              </w:rPr>
            </w:pPr>
          </w:p>
        </w:tc>
        <w:tc>
          <w:tcPr>
            <w:tcW w:w="1114" w:type="dxa"/>
            <w:gridSpan w:val="2"/>
            <w:tcBorders>
              <w:tl2br w:val="nil"/>
              <w:tr2bl w:val="nil"/>
            </w:tcBorders>
            <w:vAlign w:val="center"/>
          </w:tcPr>
          <w:p w14:paraId="30DA5C38">
            <w:pPr>
              <w:pStyle w:val="105"/>
              <w:spacing w:before="107"/>
              <w:ind w:left="34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电话</w:t>
            </w:r>
          </w:p>
        </w:tc>
        <w:tc>
          <w:tcPr>
            <w:tcW w:w="1232" w:type="dxa"/>
            <w:tcBorders>
              <w:tl2br w:val="nil"/>
              <w:tr2bl w:val="nil"/>
            </w:tcBorders>
            <w:vAlign w:val="center"/>
          </w:tcPr>
          <w:p w14:paraId="51E566A6">
            <w:pPr>
              <w:rPr>
                <w:rFonts w:ascii="宋体" w:hAnsi="宋体"/>
                <w:color w:val="000000" w:themeColor="text1"/>
                <w:sz w:val="21"/>
                <w:szCs w:val="21"/>
                <w:highlight w:val="none"/>
                <w14:textFill>
                  <w14:solidFill>
                    <w14:schemeClr w14:val="tx1"/>
                  </w14:solidFill>
                </w14:textFill>
              </w:rPr>
            </w:pPr>
          </w:p>
        </w:tc>
      </w:tr>
      <w:tr w14:paraId="24C2AF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tcBorders>
              <w:tl2br w:val="nil"/>
              <w:tr2bl w:val="nil"/>
            </w:tcBorders>
            <w:vAlign w:val="center"/>
          </w:tcPr>
          <w:p w14:paraId="06EB988C">
            <w:pPr>
              <w:pStyle w:val="105"/>
              <w:spacing w:before="107"/>
              <w:ind w:left="4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技术负责人</w:t>
            </w:r>
          </w:p>
        </w:tc>
        <w:tc>
          <w:tcPr>
            <w:tcW w:w="897" w:type="dxa"/>
            <w:tcBorders>
              <w:tl2br w:val="nil"/>
              <w:tr2bl w:val="nil"/>
            </w:tcBorders>
            <w:vAlign w:val="center"/>
          </w:tcPr>
          <w:p w14:paraId="0A86747E">
            <w:pPr>
              <w:pStyle w:val="105"/>
              <w:spacing w:before="107"/>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姓名</w:t>
            </w:r>
          </w:p>
        </w:tc>
        <w:tc>
          <w:tcPr>
            <w:tcW w:w="1026" w:type="dxa"/>
            <w:tcBorders>
              <w:tl2br w:val="nil"/>
              <w:tr2bl w:val="nil"/>
            </w:tcBorders>
            <w:vAlign w:val="center"/>
          </w:tcPr>
          <w:p w14:paraId="06CE66C2">
            <w:pPr>
              <w:rPr>
                <w:rFonts w:ascii="宋体" w:hAnsi="宋体"/>
                <w:color w:val="000000" w:themeColor="text1"/>
                <w:sz w:val="21"/>
                <w:szCs w:val="21"/>
                <w:highlight w:val="none"/>
                <w14:textFill>
                  <w14:solidFill>
                    <w14:schemeClr w14:val="tx1"/>
                  </w14:solidFill>
                </w14:textFill>
              </w:rPr>
            </w:pPr>
          </w:p>
        </w:tc>
        <w:tc>
          <w:tcPr>
            <w:tcW w:w="1289" w:type="dxa"/>
            <w:gridSpan w:val="2"/>
            <w:tcBorders>
              <w:tl2br w:val="nil"/>
              <w:tr2bl w:val="nil"/>
            </w:tcBorders>
            <w:vAlign w:val="center"/>
          </w:tcPr>
          <w:p w14:paraId="1C96CD83">
            <w:pPr>
              <w:pStyle w:val="105"/>
              <w:spacing w:before="107"/>
              <w:ind w:left="2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技术职称</w:t>
            </w:r>
          </w:p>
        </w:tc>
        <w:tc>
          <w:tcPr>
            <w:tcW w:w="1286" w:type="dxa"/>
            <w:gridSpan w:val="2"/>
            <w:tcBorders>
              <w:tl2br w:val="nil"/>
              <w:tr2bl w:val="nil"/>
            </w:tcBorders>
            <w:vAlign w:val="center"/>
          </w:tcPr>
          <w:p w14:paraId="06947BCB">
            <w:pPr>
              <w:rPr>
                <w:rFonts w:ascii="宋体" w:hAnsi="宋体"/>
                <w:color w:val="000000" w:themeColor="text1"/>
                <w:sz w:val="21"/>
                <w:szCs w:val="21"/>
                <w:highlight w:val="none"/>
                <w14:textFill>
                  <w14:solidFill>
                    <w14:schemeClr w14:val="tx1"/>
                  </w14:solidFill>
                </w14:textFill>
              </w:rPr>
            </w:pPr>
          </w:p>
        </w:tc>
        <w:tc>
          <w:tcPr>
            <w:tcW w:w="1114" w:type="dxa"/>
            <w:gridSpan w:val="2"/>
            <w:tcBorders>
              <w:tl2br w:val="nil"/>
              <w:tr2bl w:val="nil"/>
            </w:tcBorders>
            <w:vAlign w:val="center"/>
          </w:tcPr>
          <w:p w14:paraId="2CDE211E">
            <w:pPr>
              <w:pStyle w:val="105"/>
              <w:spacing w:before="107"/>
              <w:ind w:left="34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电话</w:t>
            </w:r>
          </w:p>
        </w:tc>
        <w:tc>
          <w:tcPr>
            <w:tcW w:w="1232" w:type="dxa"/>
            <w:tcBorders>
              <w:tl2br w:val="nil"/>
              <w:tr2bl w:val="nil"/>
            </w:tcBorders>
            <w:vAlign w:val="center"/>
          </w:tcPr>
          <w:p w14:paraId="212AF23A">
            <w:pPr>
              <w:rPr>
                <w:rFonts w:ascii="宋体" w:hAnsi="宋体"/>
                <w:color w:val="000000" w:themeColor="text1"/>
                <w:sz w:val="21"/>
                <w:szCs w:val="21"/>
                <w:highlight w:val="none"/>
                <w14:textFill>
                  <w14:solidFill>
                    <w14:schemeClr w14:val="tx1"/>
                  </w14:solidFill>
                </w14:textFill>
              </w:rPr>
            </w:pPr>
          </w:p>
        </w:tc>
      </w:tr>
      <w:tr w14:paraId="441C32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2292" w:type="dxa"/>
            <w:gridSpan w:val="2"/>
            <w:tcBorders>
              <w:tl2br w:val="nil"/>
              <w:tr2bl w:val="nil"/>
            </w:tcBorders>
            <w:vAlign w:val="center"/>
          </w:tcPr>
          <w:p w14:paraId="0FF89B31">
            <w:pPr>
              <w:pStyle w:val="105"/>
              <w:spacing w:before="107"/>
              <w:ind w:left="17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企业设计资质证书</w:t>
            </w:r>
          </w:p>
        </w:tc>
        <w:tc>
          <w:tcPr>
            <w:tcW w:w="6844" w:type="dxa"/>
            <w:gridSpan w:val="9"/>
            <w:tcBorders>
              <w:tl2br w:val="nil"/>
              <w:tr2bl w:val="nil"/>
            </w:tcBorders>
            <w:vAlign w:val="center"/>
          </w:tcPr>
          <w:p w14:paraId="4F38C7B6">
            <w:pPr>
              <w:pStyle w:val="105"/>
              <w:tabs>
                <w:tab w:val="left" w:pos="3785"/>
                <w:tab w:val="left" w:pos="5045"/>
              </w:tabs>
              <w:spacing w:before="107"/>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类型：</w:t>
            </w:r>
            <w:r>
              <w:rPr>
                <w:rFonts w:hint="eastAsia"/>
                <w:color w:val="000000" w:themeColor="text1"/>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等级：</w:t>
            </w:r>
            <w:r>
              <w:rPr>
                <w:color w:val="000000" w:themeColor="text1"/>
                <w:sz w:val="21"/>
                <w:szCs w:val="21"/>
                <w:highlight w:val="non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证书号：</w:t>
            </w:r>
          </w:p>
        </w:tc>
      </w:tr>
      <w:tr w14:paraId="02B999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7" w:hRule="exact"/>
        </w:trPr>
        <w:tc>
          <w:tcPr>
            <w:tcW w:w="2292" w:type="dxa"/>
            <w:gridSpan w:val="2"/>
            <w:tcBorders>
              <w:tl2br w:val="nil"/>
              <w:tr2bl w:val="nil"/>
            </w:tcBorders>
            <w:vAlign w:val="center"/>
          </w:tcPr>
          <w:p w14:paraId="5183004B">
            <w:pPr>
              <w:pStyle w:val="105"/>
              <w:ind w:left="34"/>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企业勘察资质证书</w:t>
            </w:r>
          </w:p>
          <w:p w14:paraId="6772BF5F">
            <w:pPr>
              <w:pStyle w:val="105"/>
              <w:ind w:left="34"/>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（如有）</w:t>
            </w:r>
          </w:p>
        </w:tc>
        <w:tc>
          <w:tcPr>
            <w:tcW w:w="6844" w:type="dxa"/>
            <w:gridSpan w:val="9"/>
            <w:tcBorders>
              <w:tl2br w:val="nil"/>
              <w:tr2bl w:val="nil"/>
            </w:tcBorders>
            <w:vAlign w:val="center"/>
          </w:tcPr>
          <w:p w14:paraId="76920EFE">
            <w:pPr>
              <w:pStyle w:val="105"/>
              <w:tabs>
                <w:tab w:val="left" w:pos="3785"/>
                <w:tab w:val="left" w:pos="5045"/>
              </w:tabs>
              <w:spacing w:before="107"/>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类型：</w:t>
            </w:r>
            <w:r>
              <w:rPr>
                <w:rFonts w:hint="eastAsia"/>
                <w:color w:val="000000" w:themeColor="text1"/>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等级：</w:t>
            </w:r>
            <w:r>
              <w:rPr>
                <w:color w:val="000000" w:themeColor="text1"/>
                <w:sz w:val="21"/>
                <w:szCs w:val="21"/>
                <w:highlight w:val="non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证书号：</w:t>
            </w:r>
          </w:p>
        </w:tc>
      </w:tr>
      <w:tr w14:paraId="7A1961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292" w:type="dxa"/>
            <w:gridSpan w:val="2"/>
            <w:tcBorders>
              <w:tl2br w:val="nil"/>
              <w:tr2bl w:val="nil"/>
            </w:tcBorders>
            <w:vAlign w:val="center"/>
          </w:tcPr>
          <w:p w14:paraId="4F6B90A6">
            <w:pPr>
              <w:pStyle w:val="105"/>
              <w:ind w:right="159"/>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质量管理体系证书</w:t>
            </w:r>
          </w:p>
          <w:p w14:paraId="1F782359">
            <w:pPr>
              <w:pStyle w:val="105"/>
              <w:ind w:right="159"/>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（如有）</w:t>
            </w:r>
          </w:p>
        </w:tc>
        <w:tc>
          <w:tcPr>
            <w:tcW w:w="6844" w:type="dxa"/>
            <w:gridSpan w:val="9"/>
            <w:tcBorders>
              <w:tl2br w:val="nil"/>
              <w:tr2bl w:val="nil"/>
            </w:tcBorders>
            <w:vAlign w:val="center"/>
          </w:tcPr>
          <w:p w14:paraId="544532B0">
            <w:pPr>
              <w:pStyle w:val="105"/>
              <w:spacing w:before="1"/>
              <w:rPr>
                <w:color w:val="000000" w:themeColor="text1"/>
                <w:sz w:val="21"/>
                <w:szCs w:val="21"/>
                <w:highlight w:val="none"/>
                <w:lang w:eastAsia="zh-CN"/>
                <w14:textFill>
                  <w14:solidFill>
                    <w14:schemeClr w14:val="tx1"/>
                  </w14:solidFill>
                </w14:textFill>
              </w:rPr>
            </w:pPr>
          </w:p>
          <w:p w14:paraId="12E62F49">
            <w:pPr>
              <w:pStyle w:val="105"/>
              <w:tabs>
                <w:tab w:val="left" w:pos="3785"/>
                <w:tab w:val="left" w:pos="5045"/>
              </w:tabs>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类型：</w:t>
            </w:r>
            <w:r>
              <w:rPr>
                <w:rFonts w:hint="eastAsia"/>
                <w:color w:val="000000" w:themeColor="text1"/>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等级：</w:t>
            </w:r>
            <w:r>
              <w:rPr>
                <w:color w:val="000000" w:themeColor="text1"/>
                <w:sz w:val="21"/>
                <w:szCs w:val="21"/>
                <w:highlight w:val="non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证书号：</w:t>
            </w:r>
          </w:p>
        </w:tc>
      </w:tr>
      <w:tr w14:paraId="702390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tcBorders>
              <w:tl2br w:val="nil"/>
              <w:tr2bl w:val="nil"/>
            </w:tcBorders>
            <w:vAlign w:val="center"/>
          </w:tcPr>
          <w:p w14:paraId="177E29B0">
            <w:pPr>
              <w:pStyle w:val="105"/>
              <w:spacing w:before="107"/>
              <w:ind w:left="4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营业执照号</w:t>
            </w:r>
          </w:p>
        </w:tc>
        <w:tc>
          <w:tcPr>
            <w:tcW w:w="3095" w:type="dxa"/>
            <w:gridSpan w:val="3"/>
            <w:tcBorders>
              <w:tl2br w:val="nil"/>
              <w:tr2bl w:val="nil"/>
            </w:tcBorders>
            <w:vAlign w:val="center"/>
          </w:tcPr>
          <w:p w14:paraId="0B803B1A">
            <w:pPr>
              <w:rPr>
                <w:rFonts w:ascii="宋体" w:hAnsi="宋体"/>
                <w:color w:val="000000" w:themeColor="text1"/>
                <w:sz w:val="21"/>
                <w:szCs w:val="21"/>
                <w:highlight w:val="none"/>
                <w14:textFill>
                  <w14:solidFill>
                    <w14:schemeClr w14:val="tx1"/>
                  </w14:solidFill>
                </w14:textFill>
              </w:rPr>
            </w:pPr>
          </w:p>
        </w:tc>
        <w:tc>
          <w:tcPr>
            <w:tcW w:w="3749" w:type="dxa"/>
            <w:gridSpan w:val="6"/>
            <w:tcBorders>
              <w:tl2br w:val="nil"/>
              <w:tr2bl w:val="nil"/>
            </w:tcBorders>
            <w:vAlign w:val="center"/>
          </w:tcPr>
          <w:p w14:paraId="72491216">
            <w:pPr>
              <w:pStyle w:val="105"/>
              <w:spacing w:before="107"/>
              <w:ind w:left="117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员工总人数：</w:t>
            </w:r>
          </w:p>
        </w:tc>
      </w:tr>
      <w:tr w14:paraId="5BD689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tcBorders>
              <w:tl2br w:val="nil"/>
              <w:tr2bl w:val="nil"/>
            </w:tcBorders>
            <w:vAlign w:val="center"/>
          </w:tcPr>
          <w:p w14:paraId="2F9F8126">
            <w:pPr>
              <w:pStyle w:val="105"/>
              <w:spacing w:before="107"/>
              <w:ind w:left="5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注册资本</w:t>
            </w:r>
          </w:p>
        </w:tc>
        <w:tc>
          <w:tcPr>
            <w:tcW w:w="3095" w:type="dxa"/>
            <w:gridSpan w:val="3"/>
            <w:tcBorders>
              <w:tl2br w:val="nil"/>
              <w:tr2bl w:val="nil"/>
            </w:tcBorders>
            <w:vAlign w:val="center"/>
          </w:tcPr>
          <w:p w14:paraId="41D4D949">
            <w:pPr>
              <w:rPr>
                <w:rFonts w:ascii="宋体" w:hAnsi="宋体"/>
                <w:color w:val="000000" w:themeColor="text1"/>
                <w:sz w:val="21"/>
                <w:szCs w:val="21"/>
                <w:highlight w:val="none"/>
                <w14:textFill>
                  <w14:solidFill>
                    <w14:schemeClr w14:val="tx1"/>
                  </w14:solidFill>
                </w14:textFill>
              </w:rPr>
            </w:pPr>
          </w:p>
        </w:tc>
        <w:tc>
          <w:tcPr>
            <w:tcW w:w="537" w:type="dxa"/>
            <w:gridSpan w:val="2"/>
            <w:vMerge w:val="restart"/>
            <w:tcBorders>
              <w:tl2br w:val="nil"/>
              <w:tr2bl w:val="nil"/>
            </w:tcBorders>
            <w:vAlign w:val="center"/>
          </w:tcPr>
          <w:p w14:paraId="44CE58D7">
            <w:pPr>
              <w:pStyle w:val="105"/>
              <w:rPr>
                <w:color w:val="000000" w:themeColor="text1"/>
                <w:sz w:val="21"/>
                <w:szCs w:val="21"/>
                <w:highlight w:val="none"/>
                <w14:textFill>
                  <w14:solidFill>
                    <w14:schemeClr w14:val="tx1"/>
                  </w14:solidFill>
                </w14:textFill>
              </w:rPr>
            </w:pPr>
          </w:p>
          <w:p w14:paraId="000665C1">
            <w:pPr>
              <w:pStyle w:val="105"/>
              <w:rPr>
                <w:color w:val="000000" w:themeColor="text1"/>
                <w:sz w:val="21"/>
                <w:szCs w:val="21"/>
                <w:highlight w:val="none"/>
                <w14:textFill>
                  <w14:solidFill>
                    <w14:schemeClr w14:val="tx1"/>
                  </w14:solidFill>
                </w14:textFill>
              </w:rPr>
            </w:pPr>
          </w:p>
          <w:p w14:paraId="0BD6DFEA">
            <w:pPr>
              <w:pStyle w:val="105"/>
              <w:spacing w:before="1" w:line="384" w:lineRule="auto"/>
              <w:ind w:left="103" w:right="7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其 中</w:t>
            </w:r>
          </w:p>
        </w:tc>
        <w:tc>
          <w:tcPr>
            <w:tcW w:w="1699" w:type="dxa"/>
            <w:gridSpan w:val="2"/>
            <w:tcBorders>
              <w:tl2br w:val="nil"/>
              <w:tr2bl w:val="nil"/>
            </w:tcBorders>
            <w:vAlign w:val="center"/>
          </w:tcPr>
          <w:p w14:paraId="6954F408">
            <w:pPr>
              <w:pStyle w:val="105"/>
              <w:spacing w:before="107"/>
              <w:ind w:left="2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高级职称人员</w:t>
            </w:r>
          </w:p>
        </w:tc>
        <w:tc>
          <w:tcPr>
            <w:tcW w:w="1513" w:type="dxa"/>
            <w:gridSpan w:val="2"/>
            <w:tcBorders>
              <w:tl2br w:val="nil"/>
              <w:tr2bl w:val="nil"/>
            </w:tcBorders>
            <w:vAlign w:val="center"/>
          </w:tcPr>
          <w:p w14:paraId="105EBD33">
            <w:pPr>
              <w:rPr>
                <w:rFonts w:ascii="宋体" w:hAnsi="宋体"/>
                <w:color w:val="000000" w:themeColor="text1"/>
                <w:sz w:val="21"/>
                <w:szCs w:val="21"/>
                <w:highlight w:val="none"/>
                <w14:textFill>
                  <w14:solidFill>
                    <w14:schemeClr w14:val="tx1"/>
                  </w14:solidFill>
                </w14:textFill>
              </w:rPr>
            </w:pPr>
          </w:p>
        </w:tc>
      </w:tr>
      <w:tr w14:paraId="62E031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tcBorders>
              <w:tl2br w:val="nil"/>
              <w:tr2bl w:val="nil"/>
            </w:tcBorders>
            <w:vAlign w:val="center"/>
          </w:tcPr>
          <w:p w14:paraId="1E1BDA16">
            <w:pPr>
              <w:pStyle w:val="105"/>
              <w:spacing w:before="107"/>
              <w:ind w:left="5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成立日期</w:t>
            </w:r>
          </w:p>
        </w:tc>
        <w:tc>
          <w:tcPr>
            <w:tcW w:w="3095" w:type="dxa"/>
            <w:gridSpan w:val="3"/>
            <w:tcBorders>
              <w:tl2br w:val="nil"/>
              <w:tr2bl w:val="nil"/>
            </w:tcBorders>
            <w:vAlign w:val="center"/>
          </w:tcPr>
          <w:p w14:paraId="56C1BFA5">
            <w:pPr>
              <w:rPr>
                <w:rFonts w:ascii="宋体" w:hAnsi="宋体"/>
                <w:color w:val="000000" w:themeColor="text1"/>
                <w:sz w:val="21"/>
                <w:szCs w:val="21"/>
                <w:highlight w:val="none"/>
                <w14:textFill>
                  <w14:solidFill>
                    <w14:schemeClr w14:val="tx1"/>
                  </w14:solidFill>
                </w14:textFill>
              </w:rPr>
            </w:pPr>
          </w:p>
        </w:tc>
        <w:tc>
          <w:tcPr>
            <w:tcW w:w="537" w:type="dxa"/>
            <w:gridSpan w:val="2"/>
            <w:vMerge w:val="continue"/>
            <w:tcBorders>
              <w:tl2br w:val="nil"/>
              <w:tr2bl w:val="nil"/>
            </w:tcBorders>
            <w:vAlign w:val="center"/>
          </w:tcPr>
          <w:p w14:paraId="60EF7E9D">
            <w:pPr>
              <w:rPr>
                <w:rFonts w:ascii="宋体" w:hAnsi="宋体"/>
                <w:color w:val="000000" w:themeColor="text1"/>
                <w:sz w:val="21"/>
                <w:szCs w:val="21"/>
                <w:highlight w:val="none"/>
                <w14:textFill>
                  <w14:solidFill>
                    <w14:schemeClr w14:val="tx1"/>
                  </w14:solidFill>
                </w14:textFill>
              </w:rPr>
            </w:pPr>
          </w:p>
        </w:tc>
        <w:tc>
          <w:tcPr>
            <w:tcW w:w="1699" w:type="dxa"/>
            <w:gridSpan w:val="2"/>
            <w:tcBorders>
              <w:tl2br w:val="nil"/>
              <w:tr2bl w:val="nil"/>
            </w:tcBorders>
            <w:vAlign w:val="center"/>
          </w:tcPr>
          <w:p w14:paraId="6118BDB8">
            <w:pPr>
              <w:pStyle w:val="105"/>
              <w:spacing w:before="107"/>
              <w:ind w:left="2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中级职称人员</w:t>
            </w:r>
          </w:p>
        </w:tc>
        <w:tc>
          <w:tcPr>
            <w:tcW w:w="1513" w:type="dxa"/>
            <w:gridSpan w:val="2"/>
            <w:tcBorders>
              <w:tl2br w:val="nil"/>
              <w:tr2bl w:val="nil"/>
            </w:tcBorders>
            <w:vAlign w:val="center"/>
          </w:tcPr>
          <w:p w14:paraId="6E87D946">
            <w:pPr>
              <w:rPr>
                <w:rFonts w:ascii="宋体" w:hAnsi="宋体"/>
                <w:color w:val="000000" w:themeColor="text1"/>
                <w:sz w:val="21"/>
                <w:szCs w:val="21"/>
                <w:highlight w:val="none"/>
                <w14:textFill>
                  <w14:solidFill>
                    <w14:schemeClr w14:val="tx1"/>
                  </w14:solidFill>
                </w14:textFill>
              </w:rPr>
            </w:pPr>
          </w:p>
        </w:tc>
      </w:tr>
      <w:tr w14:paraId="56C6A2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Merge w:val="restart"/>
            <w:tcBorders>
              <w:tl2br w:val="nil"/>
              <w:tr2bl w:val="nil"/>
            </w:tcBorders>
            <w:vAlign w:val="center"/>
          </w:tcPr>
          <w:p w14:paraId="32C4F917">
            <w:pPr>
              <w:pStyle w:val="105"/>
              <w:spacing w:before="107"/>
              <w:ind w:left="177"/>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经营范围</w:t>
            </w:r>
          </w:p>
        </w:tc>
        <w:tc>
          <w:tcPr>
            <w:tcW w:w="3095" w:type="dxa"/>
            <w:gridSpan w:val="3"/>
            <w:vMerge w:val="restart"/>
            <w:tcBorders>
              <w:tl2br w:val="nil"/>
              <w:tr2bl w:val="nil"/>
            </w:tcBorders>
            <w:vAlign w:val="center"/>
          </w:tcPr>
          <w:p w14:paraId="6C744527">
            <w:pPr>
              <w:rPr>
                <w:rFonts w:ascii="宋体" w:hAnsi="宋体"/>
                <w:color w:val="000000" w:themeColor="text1"/>
                <w:sz w:val="21"/>
                <w:szCs w:val="21"/>
                <w:highlight w:val="none"/>
                <w14:textFill>
                  <w14:solidFill>
                    <w14:schemeClr w14:val="tx1"/>
                  </w14:solidFill>
                </w14:textFill>
              </w:rPr>
            </w:pPr>
          </w:p>
        </w:tc>
        <w:tc>
          <w:tcPr>
            <w:tcW w:w="537" w:type="dxa"/>
            <w:gridSpan w:val="2"/>
            <w:vMerge w:val="continue"/>
            <w:tcBorders>
              <w:tl2br w:val="nil"/>
              <w:tr2bl w:val="nil"/>
            </w:tcBorders>
            <w:vAlign w:val="center"/>
          </w:tcPr>
          <w:p w14:paraId="0BB71B9D">
            <w:pPr>
              <w:rPr>
                <w:rFonts w:ascii="宋体" w:hAnsi="宋体"/>
                <w:color w:val="000000" w:themeColor="text1"/>
                <w:sz w:val="21"/>
                <w:szCs w:val="21"/>
                <w:highlight w:val="none"/>
                <w14:textFill>
                  <w14:solidFill>
                    <w14:schemeClr w14:val="tx1"/>
                  </w14:solidFill>
                </w14:textFill>
              </w:rPr>
            </w:pPr>
          </w:p>
        </w:tc>
        <w:tc>
          <w:tcPr>
            <w:tcW w:w="1699" w:type="dxa"/>
            <w:gridSpan w:val="2"/>
            <w:tcBorders>
              <w:tl2br w:val="nil"/>
              <w:tr2bl w:val="nil"/>
            </w:tcBorders>
            <w:vAlign w:val="center"/>
          </w:tcPr>
          <w:p w14:paraId="1E16E0FF">
            <w:pPr>
              <w:pStyle w:val="105"/>
              <w:spacing w:before="107"/>
              <w:ind w:left="2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技术人员数量</w:t>
            </w:r>
          </w:p>
        </w:tc>
        <w:tc>
          <w:tcPr>
            <w:tcW w:w="1513" w:type="dxa"/>
            <w:gridSpan w:val="2"/>
            <w:tcBorders>
              <w:tl2br w:val="nil"/>
              <w:tr2bl w:val="nil"/>
            </w:tcBorders>
            <w:vAlign w:val="center"/>
          </w:tcPr>
          <w:p w14:paraId="712F2A24">
            <w:pPr>
              <w:rPr>
                <w:rFonts w:ascii="宋体" w:hAnsi="宋体"/>
                <w:color w:val="000000" w:themeColor="text1"/>
                <w:sz w:val="21"/>
                <w:szCs w:val="21"/>
                <w:highlight w:val="none"/>
                <w14:textFill>
                  <w14:solidFill>
                    <w14:schemeClr w14:val="tx1"/>
                  </w14:solidFill>
                </w14:textFill>
              </w:rPr>
            </w:pPr>
          </w:p>
        </w:tc>
      </w:tr>
      <w:tr w14:paraId="54AEAB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Merge w:val="continue"/>
            <w:tcBorders>
              <w:tl2br w:val="nil"/>
              <w:tr2bl w:val="nil"/>
            </w:tcBorders>
            <w:vAlign w:val="center"/>
          </w:tcPr>
          <w:p w14:paraId="030E193B">
            <w:pPr>
              <w:pStyle w:val="105"/>
              <w:spacing w:before="107"/>
              <w:ind w:left="177"/>
              <w:rPr>
                <w:color w:val="000000" w:themeColor="text1"/>
                <w:sz w:val="21"/>
                <w:szCs w:val="21"/>
                <w:highlight w:val="none"/>
                <w14:textFill>
                  <w14:solidFill>
                    <w14:schemeClr w14:val="tx1"/>
                  </w14:solidFill>
                </w14:textFill>
              </w:rPr>
            </w:pPr>
          </w:p>
        </w:tc>
        <w:tc>
          <w:tcPr>
            <w:tcW w:w="3095" w:type="dxa"/>
            <w:gridSpan w:val="3"/>
            <w:vMerge w:val="continue"/>
            <w:tcBorders>
              <w:tl2br w:val="nil"/>
              <w:tr2bl w:val="nil"/>
            </w:tcBorders>
            <w:vAlign w:val="center"/>
          </w:tcPr>
          <w:p w14:paraId="5F7407C6">
            <w:pPr>
              <w:rPr>
                <w:rFonts w:ascii="宋体" w:hAnsi="宋体"/>
                <w:color w:val="000000" w:themeColor="text1"/>
                <w:sz w:val="21"/>
                <w:szCs w:val="21"/>
                <w:highlight w:val="none"/>
                <w14:textFill>
                  <w14:solidFill>
                    <w14:schemeClr w14:val="tx1"/>
                  </w14:solidFill>
                </w14:textFill>
              </w:rPr>
            </w:pPr>
          </w:p>
        </w:tc>
        <w:tc>
          <w:tcPr>
            <w:tcW w:w="537" w:type="dxa"/>
            <w:gridSpan w:val="2"/>
            <w:vMerge w:val="continue"/>
            <w:tcBorders>
              <w:tl2br w:val="nil"/>
              <w:tr2bl w:val="nil"/>
            </w:tcBorders>
            <w:vAlign w:val="center"/>
          </w:tcPr>
          <w:p w14:paraId="328AEB7F">
            <w:pPr>
              <w:rPr>
                <w:rFonts w:ascii="宋体" w:hAnsi="宋体"/>
                <w:color w:val="000000" w:themeColor="text1"/>
                <w:sz w:val="21"/>
                <w:szCs w:val="21"/>
                <w:highlight w:val="none"/>
                <w14:textFill>
                  <w14:solidFill>
                    <w14:schemeClr w14:val="tx1"/>
                  </w14:solidFill>
                </w14:textFill>
              </w:rPr>
            </w:pPr>
          </w:p>
        </w:tc>
        <w:tc>
          <w:tcPr>
            <w:tcW w:w="1699" w:type="dxa"/>
            <w:gridSpan w:val="2"/>
            <w:tcBorders>
              <w:tl2br w:val="nil"/>
              <w:tr2bl w:val="nil"/>
            </w:tcBorders>
            <w:vAlign w:val="center"/>
          </w:tcPr>
          <w:p w14:paraId="082C044E">
            <w:pPr>
              <w:pStyle w:val="105"/>
              <w:spacing w:before="107"/>
              <w:ind w:left="2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各类注册人员</w:t>
            </w:r>
          </w:p>
        </w:tc>
        <w:tc>
          <w:tcPr>
            <w:tcW w:w="1513" w:type="dxa"/>
            <w:gridSpan w:val="2"/>
            <w:tcBorders>
              <w:tl2br w:val="nil"/>
              <w:tr2bl w:val="nil"/>
            </w:tcBorders>
            <w:vAlign w:val="center"/>
          </w:tcPr>
          <w:p w14:paraId="31FF6289">
            <w:pPr>
              <w:rPr>
                <w:rFonts w:ascii="宋体" w:hAnsi="宋体"/>
                <w:color w:val="000000" w:themeColor="text1"/>
                <w:sz w:val="21"/>
                <w:szCs w:val="21"/>
                <w:highlight w:val="none"/>
                <w14:textFill>
                  <w14:solidFill>
                    <w14:schemeClr w14:val="tx1"/>
                  </w14:solidFill>
                </w14:textFill>
              </w:rPr>
            </w:pPr>
          </w:p>
        </w:tc>
      </w:tr>
      <w:tr w14:paraId="5E516D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trPr>
        <w:tc>
          <w:tcPr>
            <w:tcW w:w="5387" w:type="dxa"/>
            <w:gridSpan w:val="5"/>
            <w:tcBorders>
              <w:tl2br w:val="nil"/>
              <w:tr2bl w:val="nil"/>
            </w:tcBorders>
            <w:vAlign w:val="center"/>
          </w:tcPr>
          <w:p w14:paraId="6F3601DF">
            <w:pPr>
              <w:pStyle w:val="105"/>
              <w:spacing w:line="360" w:lineRule="exact"/>
              <w:ind w:right="142" w:rightChars="71" w:hanging="3"/>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投标人关联企业情况（包括但不限于与投标人法定</w:t>
            </w:r>
            <w:r>
              <w:rPr>
                <w:rFonts w:hint="eastAsia"/>
                <w:color w:val="000000" w:themeColor="text1"/>
                <w:sz w:val="21"/>
                <w:szCs w:val="21"/>
                <w:highlight w:val="none"/>
                <w:lang w:val="en-US" w:eastAsia="zh-CN"/>
                <w14:textFill>
                  <w14:solidFill>
                    <w14:schemeClr w14:val="tx1"/>
                  </w14:solidFill>
                </w14:textFill>
              </w:rPr>
              <w:t>代</w:t>
            </w:r>
            <w:r>
              <w:rPr>
                <w:color w:val="000000" w:themeColor="text1"/>
                <w:sz w:val="21"/>
                <w:szCs w:val="21"/>
                <w:highlight w:val="none"/>
                <w:lang w:eastAsia="zh-CN"/>
                <w14:textFill>
                  <w14:solidFill>
                    <w14:schemeClr w14:val="tx1"/>
                  </w14:solidFill>
                </w14:textFill>
              </w:rPr>
              <w:t>表人为同一人或者存在控股、管理关系的不同单位）</w:t>
            </w:r>
          </w:p>
        </w:tc>
        <w:tc>
          <w:tcPr>
            <w:tcW w:w="3749" w:type="dxa"/>
            <w:gridSpan w:val="6"/>
            <w:tcBorders>
              <w:tl2br w:val="nil"/>
              <w:tr2bl w:val="nil"/>
            </w:tcBorders>
            <w:vAlign w:val="center"/>
          </w:tcPr>
          <w:p w14:paraId="5A989DF7">
            <w:pPr>
              <w:rPr>
                <w:rFonts w:ascii="宋体" w:hAnsi="宋体"/>
                <w:color w:val="000000" w:themeColor="text1"/>
                <w:sz w:val="21"/>
                <w:szCs w:val="21"/>
                <w:highlight w:val="none"/>
                <w14:textFill>
                  <w14:solidFill>
                    <w14:schemeClr w14:val="tx1"/>
                  </w14:solidFill>
                </w14:textFill>
              </w:rPr>
            </w:pPr>
          </w:p>
        </w:tc>
      </w:tr>
      <w:tr w14:paraId="33B9CB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835" w:hRule="exact"/>
        </w:trPr>
        <w:tc>
          <w:tcPr>
            <w:tcW w:w="5387" w:type="dxa"/>
            <w:gridSpan w:val="5"/>
            <w:tcBorders>
              <w:tl2br w:val="nil"/>
              <w:tr2bl w:val="nil"/>
            </w:tcBorders>
            <w:vAlign w:val="center"/>
          </w:tcPr>
          <w:p w14:paraId="4CE3D549">
            <w:pPr>
              <w:pStyle w:val="105"/>
              <w:spacing w:line="360" w:lineRule="exact"/>
              <w:ind w:right="142" w:rightChars="71" w:hanging="3"/>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是否存在招标文件第二章投标须知正文第1.5.4条规定的任何一种情形。其中，投标人存在进入清算程序，或被宣告破产，或其他丧失履约能力的情形的，应当如实填写具体情况，由评标委员会对是否会导致中标后合同无法履行作出判断。</w:t>
            </w:r>
          </w:p>
        </w:tc>
        <w:tc>
          <w:tcPr>
            <w:tcW w:w="3749" w:type="dxa"/>
            <w:gridSpan w:val="6"/>
            <w:tcBorders>
              <w:tl2br w:val="nil"/>
              <w:tr2bl w:val="nil"/>
            </w:tcBorders>
            <w:vAlign w:val="center"/>
          </w:tcPr>
          <w:p w14:paraId="0204B9DE">
            <w:pPr>
              <w:rPr>
                <w:rFonts w:ascii="宋体" w:hAnsi="宋体"/>
                <w:color w:val="000000" w:themeColor="text1"/>
                <w:sz w:val="21"/>
                <w:szCs w:val="21"/>
                <w:highlight w:val="none"/>
                <w14:textFill>
                  <w14:solidFill>
                    <w14:schemeClr w14:val="tx1"/>
                  </w14:solidFill>
                </w14:textFill>
              </w:rPr>
            </w:pPr>
          </w:p>
        </w:tc>
      </w:tr>
      <w:tr w14:paraId="4A5C4E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135" w:type="dxa"/>
            <w:tcBorders>
              <w:tl2br w:val="nil"/>
              <w:tr2bl w:val="nil"/>
            </w:tcBorders>
            <w:vAlign w:val="center"/>
          </w:tcPr>
          <w:p w14:paraId="474C58C4">
            <w:pPr>
              <w:pStyle w:val="105"/>
              <w:spacing w:before="107"/>
              <w:ind w:left="158" w:right="154"/>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c>
          <w:tcPr>
            <w:tcW w:w="8001" w:type="dxa"/>
            <w:gridSpan w:val="10"/>
            <w:tcBorders>
              <w:tl2br w:val="nil"/>
              <w:tr2bl w:val="nil"/>
            </w:tcBorders>
            <w:vAlign w:val="center"/>
          </w:tcPr>
          <w:p w14:paraId="50CE4E3D">
            <w:pP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投标人基本情况表附件见后页，附件是本表的组成部分。</w:t>
            </w:r>
          </w:p>
        </w:tc>
      </w:tr>
    </w:tbl>
    <w:p w14:paraId="63272653">
      <w:pPr>
        <w:pStyle w:val="13"/>
        <w:tabs>
          <w:tab w:val="left" w:pos="1000"/>
        </w:tabs>
        <w:spacing w:line="360" w:lineRule="auto"/>
        <w:ind w:firstLine="0"/>
        <w:rPr>
          <w:rFonts w:ascii="黑体" w:hAnsi="黑体" w:eastAsia="黑体"/>
          <w:color w:val="000000" w:themeColor="text1"/>
          <w:szCs w:val="21"/>
          <w:highlight w:val="none"/>
          <w14:textFill>
            <w14:solidFill>
              <w14:schemeClr w14:val="tx1"/>
            </w14:solidFill>
          </w14:textFill>
        </w:rPr>
      </w:pPr>
    </w:p>
    <w:p w14:paraId="75F66F09">
      <w:pPr>
        <w:pStyle w:val="13"/>
        <w:tabs>
          <w:tab w:val="left" w:pos="1000"/>
        </w:tabs>
        <w:spacing w:line="360" w:lineRule="auto"/>
        <w:ind w:firstLine="0"/>
        <w:rPr>
          <w:rFonts w:ascii="黑体" w:hAnsi="黑体" w:eastAsia="黑体"/>
          <w:color w:val="000000" w:themeColor="text1"/>
          <w:szCs w:val="21"/>
          <w:highlight w:val="none"/>
          <w14:textFill>
            <w14:solidFill>
              <w14:schemeClr w14:val="tx1"/>
            </w14:solidFill>
          </w14:textFill>
        </w:rPr>
      </w:pPr>
    </w:p>
    <w:p w14:paraId="265CA234">
      <w:pPr>
        <w:pStyle w:val="13"/>
        <w:tabs>
          <w:tab w:val="left" w:pos="1000"/>
        </w:tabs>
        <w:spacing w:line="360" w:lineRule="auto"/>
        <w:ind w:firstLine="0"/>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投</w:t>
      </w:r>
      <w:r>
        <w:rPr>
          <w:rFonts w:hint="eastAsia" w:ascii="黑体" w:hAnsi="黑体" w:eastAsia="黑体" w:cs="宋体"/>
          <w:color w:val="000000" w:themeColor="text1"/>
          <w:szCs w:val="21"/>
          <w:highlight w:val="none"/>
          <w14:textFill>
            <w14:solidFill>
              <w14:schemeClr w14:val="tx1"/>
            </w14:solidFill>
          </w14:textFill>
        </w:rPr>
        <w:t>标</w:t>
      </w:r>
      <w:r>
        <w:rPr>
          <w:rFonts w:hint="eastAsia" w:ascii="黑体" w:hAnsi="黑体" w:eastAsia="黑体"/>
          <w:color w:val="000000" w:themeColor="text1"/>
          <w:szCs w:val="21"/>
          <w:highlight w:val="none"/>
          <w14:textFill>
            <w14:solidFill>
              <w14:schemeClr w14:val="tx1"/>
            </w14:solidFill>
          </w14:textFill>
        </w:rPr>
        <w:t>人基本情况表附件：</w:t>
      </w:r>
    </w:p>
    <w:p w14:paraId="5EDB3B91">
      <w:pPr>
        <w:pStyle w:val="13"/>
        <w:tabs>
          <w:tab w:val="left" w:pos="1000"/>
        </w:tabs>
        <w:spacing w:line="360" w:lineRule="auto"/>
        <w:ind w:firstLine="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highlight w:val="none"/>
          <w14:textFill>
            <w14:solidFill>
              <w14:schemeClr w14:val="tx1"/>
            </w14:solidFill>
          </w14:textFill>
        </w:rPr>
        <w:t>资质证书（含变更证明文件）</w:t>
      </w:r>
      <w:r>
        <w:rPr>
          <w:rStyle w:val="49"/>
          <w:rFonts w:ascii="宋体" w:hAnsi="宋体" w:eastAsia="宋体"/>
          <w:color w:val="000000" w:themeColor="text1"/>
          <w:highlight w:val="none"/>
          <w14:textFill>
            <w14:solidFill>
              <w14:schemeClr w14:val="tx1"/>
            </w14:solidFill>
          </w14:textFill>
        </w:rPr>
        <w:footnoteReference w:id="79"/>
      </w:r>
    </w:p>
    <w:p w14:paraId="1D8D59F8">
      <w:pPr>
        <w:pStyle w:val="13"/>
        <w:tabs>
          <w:tab w:val="left" w:pos="1000"/>
        </w:tabs>
        <w:spacing w:line="360" w:lineRule="auto"/>
        <w:ind w:firstLine="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（2）营业执照（含变更证明文件）</w:t>
      </w:r>
      <w:r>
        <w:rPr>
          <w:rStyle w:val="49"/>
          <w:rFonts w:ascii="宋体" w:hAnsi="宋体" w:eastAsia="宋体"/>
          <w:color w:val="000000" w:themeColor="text1"/>
          <w:highlight w:val="none"/>
          <w14:textFill>
            <w14:solidFill>
              <w14:schemeClr w14:val="tx1"/>
            </w14:solidFill>
          </w14:textFill>
        </w:rPr>
        <w:footnoteReference w:id="80"/>
      </w:r>
    </w:p>
    <w:p w14:paraId="6B45DB10">
      <w:pPr>
        <w:pStyle w:val="13"/>
        <w:tabs>
          <w:tab w:val="left" w:pos="1000"/>
        </w:tabs>
        <w:spacing w:line="360" w:lineRule="auto"/>
        <w:ind w:firstLine="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（3）土工试验证明文件（如有时）</w:t>
      </w:r>
      <w:r>
        <w:rPr>
          <w:rStyle w:val="49"/>
          <w:rFonts w:ascii="宋体" w:hAnsi="宋体" w:eastAsia="宋体"/>
          <w:color w:val="000000" w:themeColor="text1"/>
          <w:highlight w:val="none"/>
          <w14:textFill>
            <w14:solidFill>
              <w14:schemeClr w14:val="tx1"/>
            </w14:solidFill>
          </w14:textFill>
        </w:rPr>
        <w:footnoteReference w:id="81"/>
      </w:r>
    </w:p>
    <w:p w14:paraId="37909724">
      <w:pPr>
        <w:pStyle w:val="13"/>
        <w:tabs>
          <w:tab w:val="left" w:pos="1000"/>
        </w:tabs>
        <w:spacing w:line="360" w:lineRule="auto"/>
        <w:ind w:firstLine="0"/>
        <w:rPr>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（4）信用评价结果 （如有时，见下表）</w:t>
      </w:r>
    </w:p>
    <w:p w14:paraId="1685EEE1">
      <w:pPr>
        <w:pStyle w:val="13"/>
        <w:tabs>
          <w:tab w:val="left" w:pos="1000"/>
        </w:tabs>
        <w:spacing w:line="360" w:lineRule="auto"/>
        <w:ind w:firstLine="0"/>
        <w:rPr>
          <w:rFonts w:ascii="宋体" w:hAnsi="宋体" w:eastAsia="宋体"/>
          <w:color w:val="000000" w:themeColor="text1"/>
          <w:highlight w:val="none"/>
          <w14:textFill>
            <w14:solidFill>
              <w14:schemeClr w14:val="tx1"/>
            </w14:solidFill>
          </w14:textFill>
        </w:rPr>
      </w:pPr>
    </w:p>
    <w:p w14:paraId="427991F6">
      <w:pPr>
        <w:pStyle w:val="13"/>
        <w:tabs>
          <w:tab w:val="left" w:pos="1000"/>
        </w:tabs>
        <w:spacing w:line="360" w:lineRule="auto"/>
        <w:ind w:firstLine="0"/>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信用评价结果表</w:t>
      </w:r>
      <w:r>
        <w:rPr>
          <w:rStyle w:val="49"/>
          <w:rFonts w:ascii="黑体" w:hAnsi="黑体" w:eastAsia="黑体"/>
          <w:color w:val="000000" w:themeColor="text1"/>
          <w:sz w:val="28"/>
          <w:szCs w:val="28"/>
          <w:highlight w:val="none"/>
          <w14:textFill>
            <w14:solidFill>
              <w14:schemeClr w14:val="tx1"/>
            </w14:solidFill>
          </w14:textFill>
        </w:rPr>
        <w:footnoteReference w:id="82"/>
      </w:r>
    </w:p>
    <w:tbl>
      <w:tblPr>
        <w:tblStyle w:val="42"/>
        <w:tblW w:w="8522" w:type="dxa"/>
        <w:tblInd w:w="27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1939"/>
        <w:gridCol w:w="1797"/>
      </w:tblGrid>
      <w:tr w14:paraId="23D9B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tcBorders>
              <w:tl2br w:val="nil"/>
              <w:tr2bl w:val="nil"/>
            </w:tcBorders>
            <w:vAlign w:val="center"/>
          </w:tcPr>
          <w:p w14:paraId="3CBB767D">
            <w:pPr>
              <w:spacing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信用评价部门</w:t>
            </w:r>
          </w:p>
        </w:tc>
        <w:tc>
          <w:tcPr>
            <w:tcW w:w="2835" w:type="dxa"/>
            <w:tcBorders>
              <w:tl2br w:val="nil"/>
              <w:tr2bl w:val="nil"/>
            </w:tcBorders>
            <w:vAlign w:val="center"/>
          </w:tcPr>
          <w:p w14:paraId="52F7EC17">
            <w:pPr>
              <w:spacing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信用评价时间</w:t>
            </w:r>
          </w:p>
        </w:tc>
        <w:tc>
          <w:tcPr>
            <w:tcW w:w="1939" w:type="dxa"/>
            <w:tcBorders>
              <w:tl2br w:val="nil"/>
              <w:tr2bl w:val="nil"/>
            </w:tcBorders>
            <w:vAlign w:val="center"/>
          </w:tcPr>
          <w:p w14:paraId="66DCBC8D">
            <w:pPr>
              <w:spacing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信用得分/等级</w:t>
            </w:r>
          </w:p>
        </w:tc>
        <w:tc>
          <w:tcPr>
            <w:tcW w:w="1797" w:type="dxa"/>
            <w:tcBorders>
              <w:tl2br w:val="nil"/>
              <w:tr2bl w:val="nil"/>
            </w:tcBorders>
            <w:vAlign w:val="center"/>
          </w:tcPr>
          <w:p w14:paraId="305D1365">
            <w:pPr>
              <w:spacing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排名（如有时）</w:t>
            </w:r>
          </w:p>
        </w:tc>
      </w:tr>
      <w:tr w14:paraId="5C2C9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tcBorders>
              <w:tl2br w:val="nil"/>
              <w:tr2bl w:val="nil"/>
            </w:tcBorders>
            <w:vAlign w:val="center"/>
          </w:tcPr>
          <w:p w14:paraId="025E9511">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2835" w:type="dxa"/>
            <w:tcBorders>
              <w:tl2br w:val="nil"/>
              <w:tr2bl w:val="nil"/>
            </w:tcBorders>
            <w:vAlign w:val="center"/>
          </w:tcPr>
          <w:p w14:paraId="0776BD44">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939" w:type="dxa"/>
            <w:tcBorders>
              <w:tl2br w:val="nil"/>
              <w:tr2bl w:val="nil"/>
            </w:tcBorders>
            <w:vAlign w:val="center"/>
          </w:tcPr>
          <w:p w14:paraId="682A8C3F">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797" w:type="dxa"/>
            <w:tcBorders>
              <w:tl2br w:val="nil"/>
              <w:tr2bl w:val="nil"/>
            </w:tcBorders>
            <w:vAlign w:val="center"/>
          </w:tcPr>
          <w:p w14:paraId="62B6AF15">
            <w:pPr>
              <w:spacing w:line="360" w:lineRule="auto"/>
              <w:jc w:val="center"/>
              <w:rPr>
                <w:rFonts w:ascii="宋体" w:hAnsi="宋体"/>
                <w:b/>
                <w:color w:val="000000" w:themeColor="text1"/>
                <w:sz w:val="21"/>
                <w:szCs w:val="21"/>
                <w:highlight w:val="none"/>
                <w14:textFill>
                  <w14:solidFill>
                    <w14:schemeClr w14:val="tx1"/>
                  </w14:solidFill>
                </w14:textFill>
              </w:rPr>
            </w:pPr>
          </w:p>
        </w:tc>
      </w:tr>
      <w:tr w14:paraId="60B74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tcBorders>
              <w:tl2br w:val="nil"/>
              <w:tr2bl w:val="nil"/>
            </w:tcBorders>
            <w:vAlign w:val="center"/>
          </w:tcPr>
          <w:p w14:paraId="3DD736BD">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2835" w:type="dxa"/>
            <w:tcBorders>
              <w:tl2br w:val="nil"/>
              <w:tr2bl w:val="nil"/>
            </w:tcBorders>
            <w:vAlign w:val="center"/>
          </w:tcPr>
          <w:p w14:paraId="66D6FDCB">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939" w:type="dxa"/>
            <w:tcBorders>
              <w:tl2br w:val="nil"/>
              <w:tr2bl w:val="nil"/>
            </w:tcBorders>
            <w:vAlign w:val="center"/>
          </w:tcPr>
          <w:p w14:paraId="7F1E120F">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797" w:type="dxa"/>
            <w:tcBorders>
              <w:tl2br w:val="nil"/>
              <w:tr2bl w:val="nil"/>
            </w:tcBorders>
            <w:vAlign w:val="center"/>
          </w:tcPr>
          <w:p w14:paraId="099767DC">
            <w:pPr>
              <w:spacing w:line="360" w:lineRule="auto"/>
              <w:jc w:val="center"/>
              <w:rPr>
                <w:rFonts w:ascii="宋体" w:hAnsi="宋体"/>
                <w:b/>
                <w:color w:val="000000" w:themeColor="text1"/>
                <w:sz w:val="21"/>
                <w:szCs w:val="21"/>
                <w:highlight w:val="none"/>
                <w14:textFill>
                  <w14:solidFill>
                    <w14:schemeClr w14:val="tx1"/>
                  </w14:solidFill>
                </w14:textFill>
              </w:rPr>
            </w:pPr>
          </w:p>
        </w:tc>
      </w:tr>
      <w:tr w14:paraId="03E4B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tcBorders>
              <w:tl2br w:val="nil"/>
              <w:tr2bl w:val="nil"/>
            </w:tcBorders>
            <w:vAlign w:val="center"/>
          </w:tcPr>
          <w:p w14:paraId="22BDF239">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2835" w:type="dxa"/>
            <w:tcBorders>
              <w:tl2br w:val="nil"/>
              <w:tr2bl w:val="nil"/>
            </w:tcBorders>
            <w:vAlign w:val="center"/>
          </w:tcPr>
          <w:p w14:paraId="6EB4F40C">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939" w:type="dxa"/>
            <w:tcBorders>
              <w:tl2br w:val="nil"/>
              <w:tr2bl w:val="nil"/>
            </w:tcBorders>
            <w:vAlign w:val="center"/>
          </w:tcPr>
          <w:p w14:paraId="44B72C64">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797" w:type="dxa"/>
            <w:tcBorders>
              <w:tl2br w:val="nil"/>
              <w:tr2bl w:val="nil"/>
            </w:tcBorders>
            <w:vAlign w:val="center"/>
          </w:tcPr>
          <w:p w14:paraId="242FE6FC">
            <w:pPr>
              <w:spacing w:line="360" w:lineRule="auto"/>
              <w:jc w:val="center"/>
              <w:rPr>
                <w:rFonts w:ascii="宋体" w:hAnsi="宋体"/>
                <w:b/>
                <w:color w:val="000000" w:themeColor="text1"/>
                <w:sz w:val="21"/>
                <w:szCs w:val="21"/>
                <w:highlight w:val="none"/>
                <w14:textFill>
                  <w14:solidFill>
                    <w14:schemeClr w14:val="tx1"/>
                  </w14:solidFill>
                </w14:textFill>
              </w:rPr>
            </w:pPr>
          </w:p>
        </w:tc>
      </w:tr>
    </w:tbl>
    <w:p w14:paraId="29F081B8">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51D4440">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7F13167">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759A7782">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F289A9B">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0A9F3DA">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28FA48F5">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E5414C6">
      <w:pPr>
        <w:spacing w:line="360" w:lineRule="auto"/>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br w:type="page"/>
      </w:r>
    </w:p>
    <w:p w14:paraId="652D0435">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附表2 法定代表人资格证明书和设计项目负责人身份证明</w:t>
      </w:r>
    </w:p>
    <w:p w14:paraId="363E5170">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2-1.法定代表人资格证明书</w:t>
      </w:r>
      <w:r>
        <w:rPr>
          <w:rFonts w:hint="eastAsia" w:ascii="宋体" w:hAnsi="宋体"/>
          <w:color w:val="000000" w:themeColor="text1"/>
          <w:sz w:val="21"/>
          <w:szCs w:val="21"/>
          <w:highlight w:val="none"/>
          <w14:textFill>
            <w14:solidFill>
              <w14:schemeClr w14:val="tx1"/>
            </w14:solidFill>
          </w14:textFill>
        </w:rPr>
        <w:t>（格式）</w:t>
      </w:r>
    </w:p>
    <w:p w14:paraId="5CC76D13">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14:paraId="02530C91">
      <w:pPr>
        <w:spacing w:after="100" w:afterAutospacing="1"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法定代表人</w:t>
      </w:r>
      <w:r>
        <w:rPr>
          <w:rFonts w:hint="eastAsia" w:ascii="黑体" w:hAnsi="黑体" w:eastAsia="黑体" w:cs="宋体"/>
          <w:color w:val="000000" w:themeColor="text1"/>
          <w:sz w:val="32"/>
          <w:szCs w:val="32"/>
          <w:highlight w:val="none"/>
          <w14:textFill>
            <w14:solidFill>
              <w14:schemeClr w14:val="tx1"/>
            </w14:solidFill>
          </w14:textFill>
        </w:rPr>
        <w:t>资</w:t>
      </w:r>
      <w:r>
        <w:rPr>
          <w:rFonts w:hint="eastAsia" w:ascii="黑体" w:hAnsi="黑体" w:eastAsia="黑体"/>
          <w:color w:val="000000" w:themeColor="text1"/>
          <w:sz w:val="32"/>
          <w:szCs w:val="32"/>
          <w:highlight w:val="none"/>
          <w14:textFill>
            <w14:solidFill>
              <w14:schemeClr w14:val="tx1"/>
            </w14:solidFill>
          </w14:textFill>
        </w:rPr>
        <w:t>格</w:t>
      </w:r>
      <w:r>
        <w:rPr>
          <w:rFonts w:hint="eastAsia" w:ascii="黑体" w:hAnsi="黑体" w:eastAsia="黑体" w:cs="宋体"/>
          <w:color w:val="000000" w:themeColor="text1"/>
          <w:sz w:val="32"/>
          <w:szCs w:val="32"/>
          <w:highlight w:val="none"/>
          <w14:textFill>
            <w14:solidFill>
              <w14:schemeClr w14:val="tx1"/>
            </w14:solidFill>
          </w14:textFill>
        </w:rPr>
        <w:t>证</w:t>
      </w:r>
      <w:r>
        <w:rPr>
          <w:rFonts w:hint="eastAsia" w:ascii="黑体" w:hAnsi="黑体" w:eastAsia="黑体"/>
          <w:color w:val="000000" w:themeColor="text1"/>
          <w:sz w:val="32"/>
          <w:szCs w:val="32"/>
          <w:highlight w:val="none"/>
          <w14:textFill>
            <w14:solidFill>
              <w14:schemeClr w14:val="tx1"/>
            </w14:solidFill>
          </w14:textFill>
        </w:rPr>
        <w:t>明书</w:t>
      </w:r>
      <w:r>
        <w:rPr>
          <w:rStyle w:val="49"/>
          <w:rFonts w:ascii="黑体" w:hAnsi="黑体" w:eastAsia="黑体"/>
          <w:color w:val="000000" w:themeColor="text1"/>
          <w:sz w:val="32"/>
          <w:szCs w:val="32"/>
          <w:highlight w:val="none"/>
          <w14:textFill>
            <w14:solidFill>
              <w14:schemeClr w14:val="tx1"/>
            </w14:solidFill>
          </w14:textFill>
        </w:rPr>
        <w:footnoteReference w:id="83"/>
      </w:r>
    </w:p>
    <w:p w14:paraId="603A0927">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位名称：</w:t>
      </w:r>
      <w:r>
        <w:rPr>
          <w:rFonts w:hint="eastAsia" w:ascii="宋体" w:hAnsi="宋体"/>
          <w:color w:val="000000" w:themeColor="text1"/>
          <w:sz w:val="21"/>
          <w:szCs w:val="21"/>
          <w:highlight w:val="none"/>
          <w:u w:val="single"/>
          <w14:textFill>
            <w14:solidFill>
              <w14:schemeClr w14:val="tx1"/>
            </w14:solidFill>
          </w14:textFill>
        </w:rPr>
        <w:t xml:space="preserve">                        </w:t>
      </w:r>
    </w:p>
    <w:p w14:paraId="5FAF1813">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u w:val="single"/>
          <w14:textFill>
            <w14:solidFill>
              <w14:schemeClr w14:val="tx1"/>
            </w14:solidFill>
          </w14:textFill>
        </w:rPr>
        <w:t xml:space="preserve">                        </w:t>
      </w:r>
    </w:p>
    <w:p w14:paraId="391673E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身份证号码：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性</w:t>
      </w:r>
      <w:r>
        <w:rPr>
          <w:rFonts w:hint="eastAsia" w:ascii="宋体" w:hAnsi="宋体" w:cs="宋体"/>
          <w:color w:val="000000" w:themeColor="text1"/>
          <w:sz w:val="21"/>
          <w:szCs w:val="21"/>
          <w:highlight w:val="none"/>
          <w14:textFill>
            <w14:solidFill>
              <w14:schemeClr w14:val="tx1"/>
            </w14:solidFill>
          </w14:textFill>
        </w:rPr>
        <w:t>别</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14:textFill>
            <w14:solidFill>
              <w14:schemeClr w14:val="tx1"/>
            </w14:solidFill>
          </w14:textFill>
        </w:rPr>
        <w:t>龄</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职务</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（投标人名称）的法定代表人。</w:t>
      </w:r>
    </w:p>
    <w:p w14:paraId="36A6880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w:t>
      </w:r>
      <w:r>
        <w:rPr>
          <w:rFonts w:hint="eastAsia" w:ascii="宋体" w:hAnsi="宋体" w:cs="宋体"/>
          <w:color w:val="000000" w:themeColor="text1"/>
          <w:sz w:val="21"/>
          <w:szCs w:val="21"/>
          <w:highlight w:val="none"/>
          <w14:textFill>
            <w14:solidFill>
              <w14:schemeClr w14:val="tx1"/>
            </w14:solidFill>
          </w14:textFill>
        </w:rPr>
        <w:t>证</w:t>
      </w:r>
      <w:r>
        <w:rPr>
          <w:rFonts w:hint="eastAsia" w:ascii="宋体" w:hAnsi="宋体"/>
          <w:color w:val="000000" w:themeColor="text1"/>
          <w:sz w:val="21"/>
          <w:szCs w:val="21"/>
          <w:highlight w:val="none"/>
          <w14:textFill>
            <w14:solidFill>
              <w14:schemeClr w14:val="tx1"/>
            </w14:solidFill>
          </w14:textFill>
        </w:rPr>
        <w:t>明。</w:t>
      </w:r>
    </w:p>
    <w:p w14:paraId="74FB9D73">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B7E9421">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附：法定代表人身份证扫描件</w:t>
      </w:r>
    </w:p>
    <w:p w14:paraId="5205731D">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80813B8">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06918DC0">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1DB8D81">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w:t>
      </w:r>
      <w:r>
        <w:rPr>
          <w:rFonts w:hint="eastAsia" w:ascii="宋体" w:hAnsi="宋体"/>
          <w:color w:val="000000" w:themeColor="text1"/>
          <w:sz w:val="21"/>
          <w:szCs w:val="21"/>
          <w:highlight w:val="none"/>
          <w:lang w:val="en-US" w:eastAsia="zh-CN"/>
          <w14:textFill>
            <w14:solidFill>
              <w14:schemeClr w14:val="tx1"/>
            </w14:solidFill>
          </w14:textFill>
        </w:rPr>
        <w:t>公</w:t>
      </w:r>
      <w:r>
        <w:rPr>
          <w:rFonts w:hint="eastAsia" w:ascii="宋体" w:hAnsi="宋体"/>
          <w:color w:val="000000" w:themeColor="text1"/>
          <w:sz w:val="21"/>
          <w:szCs w:val="21"/>
          <w:highlight w:val="none"/>
          <w14:textFill>
            <w14:solidFill>
              <w14:schemeClr w14:val="tx1"/>
            </w14:solidFill>
          </w14:textFill>
        </w:rPr>
        <w:t xml:space="preserve">章） </w:t>
      </w:r>
    </w:p>
    <w:p w14:paraId="36EEB72E">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0CF556F1">
      <w:pPr>
        <w:spacing w:line="360" w:lineRule="auto"/>
        <w:rPr>
          <w:rFonts w:ascii="宋体" w:hAnsi="宋体"/>
          <w:color w:val="000000" w:themeColor="text1"/>
          <w:sz w:val="21"/>
          <w:szCs w:val="21"/>
          <w:highlight w:val="none"/>
          <w14:textFill>
            <w14:solidFill>
              <w14:schemeClr w14:val="tx1"/>
            </w14:solidFill>
          </w14:textFill>
        </w:rPr>
      </w:pPr>
    </w:p>
    <w:p w14:paraId="7FE48DA9">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14:paraId="60C1B1B7">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14:paraId="04039759">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14:paraId="2BEF2DC5">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14:paraId="65D202F0">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14:paraId="7F6229C9">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14:paraId="4ECE2CB2">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2-2设计项目负责人身份证明</w:t>
      </w:r>
      <w:r>
        <w:rPr>
          <w:rFonts w:hint="eastAsia" w:ascii="宋体" w:hAnsi="宋体"/>
          <w:color w:val="000000" w:themeColor="text1"/>
          <w:sz w:val="21"/>
          <w:szCs w:val="21"/>
          <w:highlight w:val="none"/>
          <w14:textFill>
            <w14:solidFill>
              <w14:schemeClr w14:val="tx1"/>
            </w14:solidFill>
          </w14:textFill>
        </w:rPr>
        <w:t>（格式）</w:t>
      </w:r>
    </w:p>
    <w:p w14:paraId="6E36685E">
      <w:pPr>
        <w:tabs>
          <w:tab w:val="left" w:pos="0"/>
          <w:tab w:val="left" w:pos="567"/>
          <w:tab w:val="left" w:pos="993"/>
          <w:tab w:val="left" w:pos="1134"/>
        </w:tabs>
        <w:snapToGrid w:val="0"/>
        <w:spacing w:beforeLines="100" w:line="30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设计项目负责人身份证明</w:t>
      </w:r>
      <w:r>
        <w:rPr>
          <w:rStyle w:val="49"/>
          <w:rFonts w:ascii="黑体" w:hAnsi="黑体" w:eastAsia="黑体"/>
          <w:color w:val="000000" w:themeColor="text1"/>
          <w:sz w:val="32"/>
          <w:szCs w:val="32"/>
          <w:highlight w:val="none"/>
          <w14:textFill>
            <w14:solidFill>
              <w14:schemeClr w14:val="tx1"/>
            </w14:solidFill>
          </w14:textFill>
        </w:rPr>
        <w:footnoteReference w:id="84"/>
      </w:r>
    </w:p>
    <w:p w14:paraId="005AC0D2">
      <w:pPr>
        <w:pStyle w:val="13"/>
        <w:spacing w:line="540" w:lineRule="exact"/>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单位名称：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（投标人名称）  </w:t>
      </w:r>
    </w:p>
    <w:p w14:paraId="2215E5BD">
      <w:pPr>
        <w:pStyle w:val="13"/>
        <w:spacing w:line="540" w:lineRule="exact"/>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（投标人地址）</w:t>
      </w:r>
    </w:p>
    <w:p w14:paraId="12661613">
      <w:pPr>
        <w:pStyle w:val="13"/>
        <w:spacing w:line="540" w:lineRule="exact"/>
        <w:ind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姓名：</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身份证号码：</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性别：</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年龄：</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职务：</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注册建筑师注册编号：</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系</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（投标人名称）的拟担任</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（招标项目名称）设计项目负责人并由其签署本项目投标的设计文件。</w:t>
      </w:r>
    </w:p>
    <w:p w14:paraId="5F7C09AF">
      <w:pPr>
        <w:pStyle w:val="13"/>
        <w:spacing w:line="540" w:lineRule="exact"/>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特此证明</w:t>
      </w:r>
    </w:p>
    <w:p w14:paraId="615C1826">
      <w:pPr>
        <w:pStyle w:val="13"/>
        <w:spacing w:line="540" w:lineRule="exact"/>
        <w:ind w:firstLineChars="200"/>
        <w:rPr>
          <w:rFonts w:ascii="宋体" w:hAnsi="宋体" w:eastAsia="宋体"/>
          <w:color w:val="000000" w:themeColor="text1"/>
          <w:szCs w:val="21"/>
          <w:highlight w:val="none"/>
          <w14:textFill>
            <w14:solidFill>
              <w14:schemeClr w14:val="tx1"/>
            </w14:solidFill>
          </w14:textFill>
        </w:rPr>
      </w:pPr>
    </w:p>
    <w:p w14:paraId="24B50CAF">
      <w:pPr>
        <w:pStyle w:val="13"/>
        <w:spacing w:line="540" w:lineRule="exact"/>
        <w:ind w:firstLine="315" w:firstLineChars="1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附：设计项目负责人身份证扫描件</w:t>
      </w:r>
    </w:p>
    <w:p w14:paraId="79E0E35C">
      <w:pPr>
        <w:pStyle w:val="13"/>
        <w:spacing w:line="540" w:lineRule="exact"/>
        <w:ind w:firstLine="315" w:firstLineChars="150"/>
        <w:rPr>
          <w:rFonts w:ascii="宋体" w:hAnsi="宋体" w:eastAsia="宋体"/>
          <w:color w:val="000000" w:themeColor="text1"/>
          <w:szCs w:val="21"/>
          <w:highlight w:val="none"/>
          <w14:textFill>
            <w14:solidFill>
              <w14:schemeClr w14:val="tx1"/>
            </w14:solidFill>
          </w14:textFill>
        </w:rPr>
      </w:pPr>
    </w:p>
    <w:p w14:paraId="3F54649E">
      <w:pPr>
        <w:pStyle w:val="13"/>
        <w:spacing w:line="540" w:lineRule="exact"/>
        <w:ind w:firstLine="315" w:firstLineChars="150"/>
        <w:rPr>
          <w:rFonts w:ascii="宋体" w:hAnsi="宋体" w:eastAsia="宋体"/>
          <w:color w:val="000000" w:themeColor="text1"/>
          <w:szCs w:val="21"/>
          <w:highlight w:val="none"/>
          <w14:textFill>
            <w14:solidFill>
              <w14:schemeClr w14:val="tx1"/>
            </w14:solidFill>
          </w14:textFill>
        </w:rPr>
      </w:pPr>
    </w:p>
    <w:p w14:paraId="51D79F8D">
      <w:pPr>
        <w:pStyle w:val="13"/>
        <w:spacing w:line="540" w:lineRule="exact"/>
        <w:ind w:firstLine="315" w:firstLineChars="150"/>
        <w:rPr>
          <w:rFonts w:ascii="宋体" w:hAnsi="宋体" w:eastAsia="宋体"/>
          <w:color w:val="000000" w:themeColor="text1"/>
          <w:szCs w:val="21"/>
          <w:highlight w:val="none"/>
          <w14:textFill>
            <w14:solidFill>
              <w14:schemeClr w14:val="tx1"/>
            </w14:solidFill>
          </w14:textFill>
        </w:rPr>
      </w:pPr>
    </w:p>
    <w:p w14:paraId="1E619BD3">
      <w:pPr>
        <w:pStyle w:val="13"/>
        <w:spacing w:line="540" w:lineRule="exact"/>
        <w:ind w:firstLine="315" w:firstLineChars="150"/>
        <w:rPr>
          <w:rFonts w:ascii="宋体" w:hAnsi="宋体" w:eastAsia="宋体"/>
          <w:color w:val="000000" w:themeColor="text1"/>
          <w:szCs w:val="21"/>
          <w:highlight w:val="none"/>
          <w14:textFill>
            <w14:solidFill>
              <w14:schemeClr w14:val="tx1"/>
            </w14:solidFill>
          </w14:textFill>
        </w:rPr>
      </w:pPr>
    </w:p>
    <w:p w14:paraId="45BF8A0D">
      <w:pPr>
        <w:spacing w:line="360" w:lineRule="auto"/>
        <w:ind w:left="3358" w:leftChars="1679" w:firstLine="630" w:firstLineChars="3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p>
    <w:p w14:paraId="5389DDE0">
      <w:pPr>
        <w:spacing w:line="360" w:lineRule="auto"/>
        <w:ind w:firstLine="3990" w:firstLineChars="1900"/>
        <w:rPr>
          <w:rFonts w:ascii="宋体" w:hAnsi="宋体"/>
          <w:b/>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641E7CCA">
      <w:pPr>
        <w:spacing w:line="360" w:lineRule="auto"/>
        <w:rPr>
          <w:rFonts w:ascii="宋体" w:hAnsi="宋体"/>
          <w:b/>
          <w:color w:val="000000" w:themeColor="text1"/>
          <w:sz w:val="21"/>
          <w:szCs w:val="21"/>
          <w:highlight w:val="none"/>
          <w14:textFill>
            <w14:solidFill>
              <w14:schemeClr w14:val="tx1"/>
            </w14:solidFill>
          </w14:textFill>
        </w:rPr>
      </w:pPr>
    </w:p>
    <w:p w14:paraId="62CB1342">
      <w:pPr>
        <w:spacing w:line="360" w:lineRule="auto"/>
        <w:rPr>
          <w:rFonts w:ascii="宋体" w:hAnsi="宋体"/>
          <w:b/>
          <w:color w:val="000000" w:themeColor="text1"/>
          <w:sz w:val="21"/>
          <w:szCs w:val="21"/>
          <w:highlight w:val="none"/>
          <w14:textFill>
            <w14:solidFill>
              <w14:schemeClr w14:val="tx1"/>
            </w14:solidFill>
          </w14:textFill>
        </w:rPr>
      </w:pPr>
    </w:p>
    <w:p w14:paraId="4D8CB8A0">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01817DC">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B097673">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1FD8CCA">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732DA7A">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12877D2">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288E872E">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F90497B">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07C4FDB">
      <w:pPr>
        <w:pStyle w:val="17"/>
        <w:spacing w:line="300" w:lineRule="auto"/>
        <w:outlineLvl w:val="3"/>
        <w:rPr>
          <w:rFonts w:ascii="宋体"/>
          <w:color w:val="000000" w:themeColor="text1"/>
          <w:kern w:val="2"/>
          <w:sz w:val="21"/>
          <w:szCs w:val="21"/>
          <w:highlight w:val="none"/>
          <w14:textFill>
            <w14:solidFill>
              <w14:schemeClr w14:val="tx1"/>
            </w14:solidFill>
          </w14:textFill>
        </w:rPr>
      </w:pPr>
      <w:r>
        <w:rPr>
          <w:rFonts w:hint="eastAsia" w:ascii="宋体"/>
          <w:color w:val="000000" w:themeColor="text1"/>
          <w:kern w:val="2"/>
          <w:sz w:val="21"/>
          <w:szCs w:val="21"/>
          <w:highlight w:val="none"/>
          <w14:textFill>
            <w14:solidFill>
              <w14:schemeClr w14:val="tx1"/>
            </w14:solidFill>
          </w14:textFill>
        </w:rPr>
        <w:t>附表3：投标人诚信承诺函（格式）</w:t>
      </w:r>
    </w:p>
    <w:p w14:paraId="2D00EBB2">
      <w:pPr>
        <w:pStyle w:val="17"/>
        <w:spacing w:line="300" w:lineRule="auto"/>
        <w:jc w:val="center"/>
        <w:outlineLvl w:val="3"/>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s="宋体"/>
          <w:color w:val="000000" w:themeColor="text1"/>
          <w:sz w:val="32"/>
          <w:szCs w:val="32"/>
          <w:highlight w:val="none"/>
          <w14:textFill>
            <w14:solidFill>
              <w14:schemeClr w14:val="tx1"/>
            </w14:solidFill>
          </w14:textFill>
        </w:rPr>
        <w:t>投标人诚信承诺函</w:t>
      </w:r>
      <w:r>
        <w:rPr>
          <w:rStyle w:val="49"/>
          <w:rFonts w:ascii="黑体" w:hAnsi="黑体" w:eastAsia="黑体" w:cs="宋体"/>
          <w:color w:val="000000" w:themeColor="text1"/>
          <w:sz w:val="32"/>
          <w:szCs w:val="32"/>
          <w:highlight w:val="none"/>
          <w14:textFill>
            <w14:solidFill>
              <w14:schemeClr w14:val="tx1"/>
            </w14:solidFill>
          </w14:textFill>
        </w:rPr>
        <w:footnoteReference w:id="85"/>
      </w:r>
    </w:p>
    <w:p w14:paraId="626AE633">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（招标人名称）：</w:t>
      </w:r>
    </w:p>
    <w:p w14:paraId="478154B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我单位参与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（招标项目名称及标段）的投标。作为法定代表人，本人清楚知晓我单位在本项目投标活动的情况。本人已详细阅读承诺函的内容，并在此郑重承诺：</w:t>
      </w:r>
    </w:p>
    <w:p w14:paraId="10DDF6E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一、我单位和我本人遵循公开、公平、公正、诚实守信的原则，依法依规参与本项目投标，没有串通投标、弄虚作假，没有借用资质给他人投标。</w:t>
      </w:r>
    </w:p>
    <w:p w14:paraId="61A6CD65">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二、经确认，我单位在本项目投标过程中：</w:t>
      </w:r>
    </w:p>
    <w:p w14:paraId="77C49C7C">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（一）从</w:t>
      </w:r>
      <w:r>
        <w:rPr>
          <w:rFonts w:hint="eastAsia" w:ascii="宋体" w:hAnsi="宋体"/>
          <w:color w:val="000000" w:themeColor="text1"/>
          <w:sz w:val="21"/>
          <w:szCs w:val="21"/>
          <w:highlight w:val="none"/>
          <w:shd w:val="clear" w:color="auto" w:fill="FFFFFF"/>
          <w:lang w:eastAsia="zh-CN"/>
          <w14:textFill>
            <w14:solidFill>
              <w14:schemeClr w14:val="tx1"/>
            </w14:solidFill>
          </w14:textFill>
        </w:rPr>
        <w:t>招标公告/投标邀请书</w:t>
      </w:r>
      <w:r>
        <w:rPr>
          <w:rFonts w:hint="eastAsia" w:ascii="宋体" w:hAnsi="宋体"/>
          <w:color w:val="000000" w:themeColor="text1"/>
          <w:sz w:val="21"/>
          <w:szCs w:val="21"/>
          <w:highlight w:val="none"/>
          <w:shd w:val="clear" w:color="auto" w:fill="FFFFFF"/>
          <w14:textFill>
            <w14:solidFill>
              <w14:schemeClr w14:val="tx1"/>
            </w14:solidFill>
          </w14:textFill>
        </w:rPr>
        <w:t>列明的渠道获取招标文件，没有通过其他不正当渠道获取招标文件。</w:t>
      </w:r>
    </w:p>
    <w:p w14:paraId="09FE126D">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（二）使用本单位自有办公设备编制、递交、解密投标文件。</w:t>
      </w:r>
    </w:p>
    <w:p w14:paraId="3FC0EF5E">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（三）没有向其他投标人提供本单位的投标文件信息，也没有获取他人的投标文件信息。</w:t>
      </w:r>
    </w:p>
    <w:p w14:paraId="58F33391">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（四）由本单位在岗人员办理投标保证金事宜。</w:t>
      </w:r>
    </w:p>
    <w:p w14:paraId="2D12F40A">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（五）授权委托的投标代理人为本单位</w:t>
      </w:r>
      <w:r>
        <w:rPr>
          <w:rFonts w:hint="eastAsia" w:ascii="宋体" w:hAnsi="宋体"/>
          <w:color w:val="000000" w:themeColor="text1"/>
          <w:sz w:val="21"/>
          <w:szCs w:val="21"/>
          <w:highlight w:val="none"/>
          <w14:textFill>
            <w14:solidFill>
              <w14:schemeClr w14:val="tx1"/>
            </w14:solidFill>
          </w14:textFill>
        </w:rPr>
        <w:t>正式在岗职工</w:t>
      </w:r>
      <w:r>
        <w:rPr>
          <w:rFonts w:hint="eastAsia" w:ascii="宋体" w:hAnsi="宋体"/>
          <w:color w:val="000000" w:themeColor="text1"/>
          <w:sz w:val="21"/>
          <w:szCs w:val="21"/>
          <w:highlight w:val="none"/>
          <w:shd w:val="clear" w:color="auto" w:fill="FFFFFF"/>
          <w14:textFill>
            <w14:solidFill>
              <w14:schemeClr w14:val="tx1"/>
            </w14:solidFill>
          </w14:textFill>
        </w:rPr>
        <w:t>。</w:t>
      </w:r>
    </w:p>
    <w:p w14:paraId="5EE895AB">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（六）递交的投标文件及其有关资料（包括第三方提供的资料）没有弄虚作假。</w:t>
      </w:r>
    </w:p>
    <w:p w14:paraId="33BAD120">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14:paraId="4CD314BE">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（一）不同投标人的电子投标文件使用同一台计算机上传、解密（开标现场上传、解密除外）。</w:t>
      </w:r>
    </w:p>
    <w:p w14:paraId="00CD07AB">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（二）不同投标人的电子投标文件使用同一台计算机编制。</w:t>
      </w:r>
    </w:p>
    <w:p w14:paraId="1DC48A65">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（三）不同投标人的投标报价文件使用同一台计算机编制。</w:t>
      </w:r>
    </w:p>
    <w:p w14:paraId="1DDD9AB1">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（四）符合《中华人民共和国招标投标法》《中华人民共和国招标投标法实施条例》串通投标认定的其他行为。</w:t>
      </w:r>
    </w:p>
    <w:p w14:paraId="7B9D506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四、</w:t>
      </w:r>
      <w:r>
        <w:rPr>
          <w:rFonts w:hint="eastAsia" w:ascii="宋体" w:hAnsi="宋体"/>
          <w:color w:val="000000" w:themeColor="text1"/>
          <w:sz w:val="21"/>
          <w:szCs w:val="21"/>
          <w:highlight w:val="none"/>
          <w14:textFill>
            <w14:solidFill>
              <w14:schemeClr w14:val="tx1"/>
            </w14:solidFill>
          </w14:textFill>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2EF5361B">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五、我单位如在本项目招标投标活动评标工作中存在串通投标、弄虚作假以及出借他人资质的，本人自愿承担法律责任，接受相应刑事、纪律和行政处罚以及失信惩戒。</w:t>
      </w:r>
    </w:p>
    <w:p w14:paraId="73548680">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六、本承诺函由我单位盖章及法定代表人亲自签字确认。</w:t>
      </w:r>
    </w:p>
    <w:p w14:paraId="5EBEC77F">
      <w:pPr>
        <w:spacing w:line="520" w:lineRule="exact"/>
        <w:ind w:firstLine="420" w:firstLineChars="200"/>
        <w:rPr>
          <w:rFonts w:ascii="宋体" w:hAnsi="宋体"/>
          <w:color w:val="000000" w:themeColor="text1"/>
          <w:sz w:val="21"/>
          <w:szCs w:val="21"/>
          <w:highlight w:val="none"/>
          <w14:textFill>
            <w14:solidFill>
              <w14:schemeClr w14:val="tx1"/>
            </w14:solidFill>
          </w14:textFill>
        </w:rPr>
      </w:pPr>
    </w:p>
    <w:p w14:paraId="1EDDAA87">
      <w:pPr>
        <w:spacing w:line="360" w:lineRule="auto"/>
        <w:ind w:firstLine="2940" w:firstLineChars="1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（盖投标人单位实体公章）</w:t>
      </w:r>
      <w:r>
        <w:rPr>
          <w:rStyle w:val="49"/>
          <w:rFonts w:ascii="宋体" w:hAnsi="宋体"/>
          <w:color w:val="000000" w:themeColor="text1"/>
          <w:sz w:val="21"/>
          <w:szCs w:val="21"/>
          <w:highlight w:val="none"/>
          <w14:textFill>
            <w14:solidFill>
              <w14:schemeClr w14:val="tx1"/>
            </w14:solidFill>
          </w14:textFill>
        </w:rPr>
        <w:footnoteReference w:id="86"/>
      </w:r>
    </w:p>
    <w:p w14:paraId="0F5C46FB">
      <w:pPr>
        <w:spacing w:line="360" w:lineRule="auto"/>
        <w:ind w:firstLine="2940" w:firstLineChars="1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r>
        <w:rPr>
          <w:rStyle w:val="49"/>
          <w:rFonts w:ascii="宋体" w:hAnsi="宋体"/>
          <w:color w:val="000000" w:themeColor="text1"/>
          <w:sz w:val="21"/>
          <w:szCs w:val="21"/>
          <w:highlight w:val="none"/>
          <w14:textFill>
            <w14:solidFill>
              <w14:schemeClr w14:val="tx1"/>
            </w14:solidFill>
          </w14:textFill>
        </w:rPr>
        <w:footnoteReference w:id="87"/>
      </w:r>
    </w:p>
    <w:p w14:paraId="17C27255">
      <w:pPr>
        <w:pStyle w:val="13"/>
        <w:tabs>
          <w:tab w:val="left" w:pos="1000"/>
        </w:tabs>
        <w:spacing w:line="360" w:lineRule="auto"/>
        <w:ind w:firstLine="2940" w:firstLineChars="14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承诺时间：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5DBF4A1E">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3B689DA">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3AB52D0">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912B291">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29264A83">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4E36019C">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5472AE5">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4C5EFEF0">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51002EF">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27B7831C">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778F4EE5">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7DCEDC9">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4B64D6C5">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A3D6668">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C2EFAED">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C0998D3">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A60F2BA">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0D72562">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42F8C434">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E8FC0AF">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B37FF94">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33BECD6">
      <w:pPr>
        <w:spacing w:line="360" w:lineRule="auto"/>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br w:type="page"/>
      </w:r>
    </w:p>
    <w:p w14:paraId="21650DEB">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附表4：授权委托书（格式）</w:t>
      </w:r>
    </w:p>
    <w:p w14:paraId="1FE94F61">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授</w:t>
      </w:r>
      <w:r>
        <w:rPr>
          <w:rFonts w:hint="eastAsia" w:ascii="黑体" w:hAnsi="黑体" w:eastAsia="黑体" w:cs="宋体"/>
          <w:color w:val="000000" w:themeColor="text1"/>
          <w:sz w:val="32"/>
          <w:szCs w:val="32"/>
          <w:highlight w:val="none"/>
          <w14:textFill>
            <w14:solidFill>
              <w14:schemeClr w14:val="tx1"/>
            </w14:solidFill>
          </w14:textFill>
        </w:rPr>
        <w:t>权</w:t>
      </w:r>
      <w:r>
        <w:rPr>
          <w:rFonts w:hint="eastAsia" w:ascii="黑体" w:hAnsi="黑体" w:eastAsia="黑体"/>
          <w:color w:val="000000" w:themeColor="text1"/>
          <w:sz w:val="32"/>
          <w:szCs w:val="32"/>
          <w:highlight w:val="none"/>
          <w14:textFill>
            <w14:solidFill>
              <w14:schemeClr w14:val="tx1"/>
            </w14:solidFill>
          </w14:textFill>
        </w:rPr>
        <w:t>委托</w:t>
      </w:r>
      <w:r>
        <w:rPr>
          <w:rFonts w:hint="eastAsia" w:ascii="黑体" w:hAnsi="黑体" w:eastAsia="黑体" w:cs="宋体"/>
          <w:color w:val="000000" w:themeColor="text1"/>
          <w:sz w:val="32"/>
          <w:szCs w:val="32"/>
          <w:highlight w:val="none"/>
          <w14:textFill>
            <w14:solidFill>
              <w14:schemeClr w14:val="tx1"/>
            </w14:solidFill>
          </w14:textFill>
        </w:rPr>
        <w:t>书</w:t>
      </w:r>
    </w:p>
    <w:p w14:paraId="4B8BFCEF">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p>
    <w:p w14:paraId="028E367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w:t>
      </w:r>
      <w:r>
        <w:rPr>
          <w:rFonts w:hint="eastAsia" w:ascii="宋体" w:hAnsi="宋体" w:cs="宋体"/>
          <w:color w:val="000000" w:themeColor="text1"/>
          <w:sz w:val="21"/>
          <w:szCs w:val="21"/>
          <w:highlight w:val="none"/>
          <w14:textFill>
            <w14:solidFill>
              <w14:schemeClr w14:val="tx1"/>
            </w14:solidFill>
          </w14:textFill>
        </w:rPr>
        <w:t>权书</w:t>
      </w:r>
      <w:r>
        <w:rPr>
          <w:rFonts w:hint="eastAsia" w:ascii="宋体" w:hAnsi="宋体"/>
          <w:color w:val="000000" w:themeColor="text1"/>
          <w:sz w:val="21"/>
          <w:szCs w:val="21"/>
          <w:highlight w:val="none"/>
          <w14:textFill>
            <w14:solidFill>
              <w14:schemeClr w14:val="tx1"/>
            </w14:solidFill>
          </w14:textFill>
        </w:rPr>
        <w:t>宣告，在下面</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字的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（法定代表人姓名）以法定代表人身份代表本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（授权委托人姓名），其身份证号码为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，作为</w:t>
      </w:r>
      <w:r>
        <w:rPr>
          <w:rFonts w:hint="eastAsia" w:ascii="宋体" w:hAnsi="宋体"/>
          <w:color w:val="000000" w:themeColor="text1"/>
          <w:sz w:val="21"/>
          <w:szCs w:val="21"/>
          <w:highlight w:val="none"/>
          <w14:textFill>
            <w14:solidFill>
              <w14:schemeClr w14:val="tx1"/>
            </w14:solidFill>
          </w14:textFill>
        </w:rPr>
        <w:t>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位的合法授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其在编号为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（招标</w:t>
      </w:r>
      <w:r>
        <w:rPr>
          <w:rFonts w:hint="eastAsia" w:ascii="宋体" w:hAnsi="宋体" w:cs="宋体"/>
          <w:color w:val="000000" w:themeColor="text1"/>
          <w:sz w:val="21"/>
          <w:szCs w:val="21"/>
          <w:highlight w:val="none"/>
          <w14:textFill>
            <w14:solidFill>
              <w14:schemeClr w14:val="tx1"/>
            </w14:solidFill>
          </w14:textFill>
        </w:rPr>
        <w:t>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w:t>
      </w:r>
      <w:r>
        <w:rPr>
          <w:rFonts w:hint="eastAsia" w:ascii="宋体" w:hAnsi="宋体" w:cs="宋体"/>
          <w:color w:val="000000" w:themeColor="text1"/>
          <w:sz w:val="21"/>
          <w:szCs w:val="21"/>
          <w:highlight w:val="none"/>
          <w14:textFill>
            <w14:solidFill>
              <w14:schemeClr w14:val="tx1"/>
            </w14:solidFill>
          </w14:textFill>
        </w:rPr>
        <w:t>设计（勘察）</w:t>
      </w:r>
      <w:r>
        <w:rPr>
          <w:rFonts w:hint="eastAsia" w:ascii="宋体" w:hAnsi="宋体"/>
          <w:color w:val="000000" w:themeColor="text1"/>
          <w:sz w:val="21"/>
          <w:szCs w:val="21"/>
          <w:highlight w:val="none"/>
          <w14:textFill>
            <w14:solidFill>
              <w14:schemeClr w14:val="tx1"/>
            </w14:solidFill>
          </w14:textFill>
        </w:rPr>
        <w:t>招投标活</w:t>
      </w:r>
      <w:r>
        <w:rPr>
          <w:rFonts w:hint="eastAsia" w:ascii="宋体" w:hAnsi="宋体" w:cs="宋体"/>
          <w:color w:val="000000" w:themeColor="text1"/>
          <w:sz w:val="21"/>
          <w:szCs w:val="21"/>
          <w:highlight w:val="none"/>
          <w14:textFill>
            <w14:solidFill>
              <w14:schemeClr w14:val="tx1"/>
            </w14:solidFill>
          </w14:textFill>
        </w:rPr>
        <w:t>动</w:t>
      </w:r>
      <w:r>
        <w:rPr>
          <w:rFonts w:hint="eastAsia" w:ascii="宋体" w:hAnsi="宋体"/>
          <w:color w:val="000000" w:themeColor="text1"/>
          <w:sz w:val="21"/>
          <w:szCs w:val="21"/>
          <w:highlight w:val="none"/>
          <w14:textFill>
            <w14:solidFill>
              <w14:schemeClr w14:val="tx1"/>
            </w14:solidFill>
          </w14:textFill>
        </w:rPr>
        <w:t>中，以本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位的名</w:t>
      </w:r>
      <w:r>
        <w:rPr>
          <w:rFonts w:hint="eastAsia" w:ascii="宋体" w:hAnsi="宋体" w:cs="宋体"/>
          <w:color w:val="000000" w:themeColor="text1"/>
          <w:sz w:val="21"/>
          <w:szCs w:val="21"/>
          <w:highlight w:val="none"/>
          <w14:textFill>
            <w14:solidFill>
              <w14:schemeClr w14:val="tx1"/>
            </w14:solidFill>
          </w14:textFill>
        </w:rPr>
        <w:t>义</w:t>
      </w:r>
      <w:r>
        <w:rPr>
          <w:rFonts w:hint="eastAsia" w:ascii="宋体" w:hAnsi="宋体"/>
          <w:color w:val="000000" w:themeColor="text1"/>
          <w:sz w:val="21"/>
          <w:szCs w:val="21"/>
          <w:highlight w:val="none"/>
          <w14:textFill>
            <w14:solidFill>
              <w14:schemeClr w14:val="tx1"/>
            </w14:solidFill>
          </w14:textFill>
        </w:rPr>
        <w:t>，并代表本人与你</w:t>
      </w:r>
      <w:r>
        <w:rPr>
          <w:rFonts w:hint="eastAsia" w:ascii="宋体" w:hAnsi="宋体" w:cs="宋体"/>
          <w:color w:val="000000" w:themeColor="text1"/>
          <w:sz w:val="21"/>
          <w:szCs w:val="21"/>
          <w:highlight w:val="none"/>
          <w14:textFill>
            <w14:solidFill>
              <w14:schemeClr w14:val="tx1"/>
            </w14:solidFill>
          </w14:textFill>
        </w:rPr>
        <w:t>们进</w:t>
      </w:r>
      <w:r>
        <w:rPr>
          <w:rFonts w:hint="eastAsia" w:ascii="宋体" w:hAnsi="宋体"/>
          <w:color w:val="000000" w:themeColor="text1"/>
          <w:sz w:val="21"/>
          <w:szCs w:val="21"/>
          <w:highlight w:val="none"/>
          <w14:textFill>
            <w14:solidFill>
              <w14:schemeClr w14:val="tx1"/>
            </w14:solidFill>
          </w14:textFill>
        </w:rPr>
        <w:t>行磋商、</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署文件和</w:t>
      </w:r>
      <w:r>
        <w:rPr>
          <w:rFonts w:hint="eastAsia" w:ascii="宋体" w:hAnsi="宋体" w:cs="宋体"/>
          <w:color w:val="000000" w:themeColor="text1"/>
          <w:sz w:val="21"/>
          <w:szCs w:val="21"/>
          <w:highlight w:val="none"/>
          <w14:textFill>
            <w14:solidFill>
              <w14:schemeClr w14:val="tx1"/>
            </w14:solidFill>
          </w14:textFill>
        </w:rPr>
        <w:t>处</w:t>
      </w:r>
      <w:r>
        <w:rPr>
          <w:rFonts w:hint="eastAsia" w:ascii="宋体" w:hAnsi="宋体"/>
          <w:color w:val="000000" w:themeColor="text1"/>
          <w:sz w:val="21"/>
          <w:szCs w:val="21"/>
          <w:highlight w:val="none"/>
          <w14:textFill>
            <w14:solidFill>
              <w14:schemeClr w14:val="tx1"/>
            </w14:solidFill>
          </w14:textFill>
        </w:rPr>
        <w:t>理一切与此事有</w:t>
      </w:r>
      <w:r>
        <w:rPr>
          <w:rFonts w:hint="eastAsia" w:ascii="宋体" w:hAnsi="宋体" w:cs="宋体"/>
          <w:color w:val="000000" w:themeColor="text1"/>
          <w:sz w:val="21"/>
          <w:szCs w:val="21"/>
          <w:highlight w:val="none"/>
          <w14:textFill>
            <w14:solidFill>
              <w14:schemeClr w14:val="tx1"/>
            </w14:solidFill>
          </w14:textFill>
        </w:rPr>
        <w:t>关</w:t>
      </w:r>
      <w:r>
        <w:rPr>
          <w:rFonts w:hint="eastAsia" w:ascii="宋体" w:hAnsi="宋体"/>
          <w:color w:val="000000" w:themeColor="text1"/>
          <w:sz w:val="21"/>
          <w:szCs w:val="21"/>
          <w:highlight w:val="none"/>
          <w14:textFill>
            <w14:solidFill>
              <w14:schemeClr w14:val="tx1"/>
            </w14:solidFill>
          </w14:textFill>
        </w:rPr>
        <w:t>的事</w:t>
      </w:r>
      <w:r>
        <w:rPr>
          <w:rFonts w:hint="eastAsia" w:ascii="宋体" w:hAnsi="宋体" w:cs="宋体"/>
          <w:color w:val="000000" w:themeColor="text1"/>
          <w:sz w:val="21"/>
          <w:szCs w:val="21"/>
          <w:highlight w:val="none"/>
          <w14:textFill>
            <w14:solidFill>
              <w14:schemeClr w14:val="tx1"/>
            </w14:solidFill>
          </w14:textFill>
        </w:rPr>
        <w:t>务</w:t>
      </w: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代表的一切行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均代表本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位，与本人的行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具有同等法律效力。本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位将承担授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的全部法律</w:t>
      </w:r>
      <w:r>
        <w:rPr>
          <w:rFonts w:hint="eastAsia" w:ascii="宋体" w:hAnsi="宋体" w:cs="宋体"/>
          <w:color w:val="000000" w:themeColor="text1"/>
          <w:sz w:val="21"/>
          <w:szCs w:val="21"/>
          <w:highlight w:val="none"/>
          <w14:textFill>
            <w14:solidFill>
              <w14:schemeClr w14:val="tx1"/>
            </w14:solidFill>
          </w14:textFill>
        </w:rPr>
        <w:t>责</w:t>
      </w:r>
      <w:r>
        <w:rPr>
          <w:rFonts w:hint="eastAsia" w:ascii="宋体" w:hAnsi="宋体"/>
          <w:color w:val="000000" w:themeColor="text1"/>
          <w:sz w:val="21"/>
          <w:szCs w:val="21"/>
          <w:highlight w:val="none"/>
          <w14:textFill>
            <w14:solidFill>
              <w14:schemeClr w14:val="tx1"/>
            </w14:solidFill>
          </w14:textFill>
        </w:rPr>
        <w:t>任和后果。</w:t>
      </w:r>
    </w:p>
    <w:p w14:paraId="20E0E348">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本授权委托书期限自</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日起至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日止。</w:t>
      </w:r>
    </w:p>
    <w:p w14:paraId="0C0B35D0">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代表无</w:t>
      </w:r>
      <w:r>
        <w:rPr>
          <w:rFonts w:hint="eastAsia" w:ascii="宋体" w:hAnsi="宋体" w:cs="宋体"/>
          <w:color w:val="000000" w:themeColor="text1"/>
          <w:sz w:val="21"/>
          <w:szCs w:val="21"/>
          <w:highlight w:val="none"/>
          <w14:textFill>
            <w14:solidFill>
              <w14:schemeClr w14:val="tx1"/>
            </w14:solidFill>
          </w14:textFill>
        </w:rPr>
        <w:t>权转让</w:t>
      </w:r>
      <w:r>
        <w:rPr>
          <w:rFonts w:hint="eastAsia" w:ascii="宋体" w:hAnsi="宋体"/>
          <w:color w:val="000000" w:themeColor="text1"/>
          <w:sz w:val="21"/>
          <w:szCs w:val="21"/>
          <w:highlight w:val="none"/>
          <w14:textFill>
            <w14:solidFill>
              <w14:schemeClr w14:val="tx1"/>
            </w14:solidFill>
          </w14:textFill>
        </w:rPr>
        <w:t>委托</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，特此委托。</w:t>
      </w:r>
    </w:p>
    <w:p w14:paraId="7835B684">
      <w:pPr>
        <w:pStyle w:val="13"/>
        <w:spacing w:line="540" w:lineRule="exact"/>
        <w:ind w:firstLine="315" w:firstLineChars="1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附：1.授权委托人身份证扫描件</w:t>
      </w:r>
    </w:p>
    <w:p w14:paraId="38F5086D">
      <w:pPr>
        <w:pStyle w:val="13"/>
        <w:spacing w:line="540" w:lineRule="exact"/>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2.授权委托人系投标人本单位正式在岗职工</w:t>
      </w:r>
      <w:r>
        <w:rPr>
          <w:rStyle w:val="49"/>
          <w:rFonts w:ascii="宋体" w:hAnsi="宋体" w:eastAsia="宋体"/>
          <w:color w:val="000000" w:themeColor="text1"/>
          <w:szCs w:val="21"/>
          <w:highlight w:val="none"/>
          <w14:textFill>
            <w14:solidFill>
              <w14:schemeClr w14:val="tx1"/>
            </w14:solidFill>
          </w14:textFill>
        </w:rPr>
        <w:footnoteReference w:id="88"/>
      </w:r>
      <w:r>
        <w:rPr>
          <w:rFonts w:hint="eastAsia" w:ascii="宋体" w:hAnsi="宋体" w:eastAsia="宋体"/>
          <w:color w:val="000000" w:themeColor="text1"/>
          <w:szCs w:val="21"/>
          <w:highlight w:val="none"/>
          <w14:textFill>
            <w14:solidFill>
              <w14:schemeClr w14:val="tx1"/>
            </w14:solidFill>
          </w14:textFill>
        </w:rPr>
        <w:t>（以住房城乡建设行政主管部门核发的有效执业资格证书证明或社保管理部门出具的社保缴费证明所署单位为准）的证明材料扫描件。</w:t>
      </w:r>
    </w:p>
    <w:p w14:paraId="229358EB">
      <w:pPr>
        <w:spacing w:line="360" w:lineRule="auto"/>
        <w:rPr>
          <w:rFonts w:ascii="宋体" w:hAnsi="宋体"/>
          <w:color w:val="000000" w:themeColor="text1"/>
          <w:sz w:val="21"/>
          <w:szCs w:val="21"/>
          <w:highlight w:val="none"/>
          <w14:textFill>
            <w14:solidFill>
              <w14:schemeClr w14:val="tx1"/>
            </w14:solidFill>
          </w14:textFill>
        </w:rPr>
      </w:pPr>
    </w:p>
    <w:p w14:paraId="42D61B36">
      <w:pPr>
        <w:spacing w:line="360" w:lineRule="auto"/>
        <w:rPr>
          <w:rFonts w:ascii="宋体" w:hAnsi="宋体"/>
          <w:color w:val="000000" w:themeColor="text1"/>
          <w:sz w:val="21"/>
          <w:szCs w:val="21"/>
          <w:highlight w:val="none"/>
          <w14:textFill>
            <w14:solidFill>
              <w14:schemeClr w14:val="tx1"/>
            </w14:solidFill>
          </w14:textFill>
        </w:rPr>
      </w:pPr>
    </w:p>
    <w:p w14:paraId="5B23AEAC">
      <w:pPr>
        <w:spacing w:line="360" w:lineRule="auto"/>
        <w:rPr>
          <w:rFonts w:ascii="宋体" w:hAnsi="宋体"/>
          <w:color w:val="000000" w:themeColor="text1"/>
          <w:sz w:val="21"/>
          <w:szCs w:val="21"/>
          <w:highlight w:val="none"/>
          <w14:textFill>
            <w14:solidFill>
              <w14:schemeClr w14:val="tx1"/>
            </w14:solidFill>
          </w14:textFill>
        </w:rPr>
      </w:pPr>
    </w:p>
    <w:p w14:paraId="4B858D9D">
      <w:pPr>
        <w:spacing w:line="360" w:lineRule="auto"/>
        <w:ind w:firstLine="3685" w:firstLineChars="1755"/>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r>
        <w:rPr>
          <w:rStyle w:val="49"/>
          <w:rFonts w:ascii="宋体" w:hAnsi="宋体"/>
          <w:color w:val="000000" w:themeColor="text1"/>
          <w:sz w:val="21"/>
          <w:szCs w:val="21"/>
          <w:highlight w:val="none"/>
          <w14:textFill>
            <w14:solidFill>
              <w14:schemeClr w14:val="tx1"/>
            </w14:solidFill>
          </w14:textFill>
        </w:rPr>
        <w:footnoteReference w:id="89"/>
      </w:r>
    </w:p>
    <w:p w14:paraId="3760E878">
      <w:pPr>
        <w:spacing w:line="360" w:lineRule="auto"/>
        <w:ind w:firstLine="3685" w:firstLineChars="1755"/>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（签字或盖章）</w:t>
      </w:r>
      <w:r>
        <w:rPr>
          <w:rStyle w:val="49"/>
          <w:rFonts w:ascii="宋体" w:hAnsi="宋体"/>
          <w:color w:val="000000" w:themeColor="text1"/>
          <w:sz w:val="21"/>
          <w:szCs w:val="21"/>
          <w:highlight w:val="none"/>
          <w14:textFill>
            <w14:solidFill>
              <w14:schemeClr w14:val="tx1"/>
            </w14:solidFill>
          </w14:textFill>
        </w:rPr>
        <w:footnoteReference w:id="90"/>
      </w:r>
    </w:p>
    <w:p w14:paraId="44D9421E">
      <w:pPr>
        <w:spacing w:line="360" w:lineRule="auto"/>
        <w:ind w:firstLine="3685" w:firstLineChars="1755"/>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委托人：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（签字或盖章）</w:t>
      </w:r>
      <w:r>
        <w:rPr>
          <w:rStyle w:val="49"/>
          <w:rFonts w:ascii="宋体" w:hAnsi="宋体"/>
          <w:color w:val="000000" w:themeColor="text1"/>
          <w:sz w:val="21"/>
          <w:szCs w:val="21"/>
          <w:highlight w:val="none"/>
          <w14:textFill>
            <w14:solidFill>
              <w14:schemeClr w14:val="tx1"/>
            </w14:solidFill>
          </w14:textFill>
        </w:rPr>
        <w:footnoteReference w:id="91"/>
      </w:r>
    </w:p>
    <w:p w14:paraId="03825B31">
      <w:pPr>
        <w:spacing w:line="360" w:lineRule="auto"/>
        <w:ind w:firstLine="3685" w:firstLineChars="1755"/>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日期：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3B63E9DA">
      <w:pPr>
        <w:spacing w:line="360" w:lineRule="auto"/>
        <w:rPr>
          <w:rFonts w:ascii="宋体" w:hAnsi="宋体"/>
          <w:color w:val="000000" w:themeColor="text1"/>
          <w:sz w:val="21"/>
          <w:szCs w:val="21"/>
          <w:highlight w:val="none"/>
          <w14:textFill>
            <w14:solidFill>
              <w14:schemeClr w14:val="tx1"/>
            </w14:solidFill>
          </w14:textFill>
        </w:rPr>
      </w:pPr>
    </w:p>
    <w:p w14:paraId="5C5F07D5">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790C023E">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5BA785B">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C975F1D">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9796CEE">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附表5：拟担任本项目设计（勘察）人员汇总表（格式）</w:t>
      </w:r>
    </w:p>
    <w:p w14:paraId="18B35343">
      <w:pPr>
        <w:tabs>
          <w:tab w:val="left" w:pos="0"/>
          <w:tab w:val="left" w:pos="567"/>
          <w:tab w:val="left" w:pos="993"/>
          <w:tab w:val="left" w:pos="1134"/>
        </w:tabs>
        <w:snapToGrid w:val="0"/>
        <w:spacing w:line="300" w:lineRule="auto"/>
        <w:jc w:val="center"/>
        <w:rPr>
          <w:rFonts w:ascii="黑体" w:hAnsi="黑体" w:eastAsia="黑体"/>
          <w:color w:val="000000" w:themeColor="text1"/>
          <w:kern w:val="2"/>
          <w:sz w:val="32"/>
          <w:szCs w:val="32"/>
          <w:highlight w:val="none"/>
          <w14:textFill>
            <w14:solidFill>
              <w14:schemeClr w14:val="tx1"/>
            </w14:solidFill>
          </w14:textFill>
        </w:rPr>
      </w:pPr>
      <w:r>
        <w:rPr>
          <w:rFonts w:hint="eastAsia" w:ascii="黑体" w:hAnsi="黑体" w:eastAsia="黑体"/>
          <w:color w:val="000000" w:themeColor="text1"/>
          <w:kern w:val="2"/>
          <w:sz w:val="32"/>
          <w:szCs w:val="32"/>
          <w:highlight w:val="none"/>
          <w14:textFill>
            <w14:solidFill>
              <w14:schemeClr w14:val="tx1"/>
            </w14:solidFill>
          </w14:textFill>
        </w:rPr>
        <w:t>拟担任本项目设计（勘察）人员汇总表</w:t>
      </w:r>
      <w:r>
        <w:rPr>
          <w:rStyle w:val="49"/>
          <w:rFonts w:ascii="黑体" w:hAnsi="黑体" w:eastAsia="黑体"/>
          <w:color w:val="000000" w:themeColor="text1"/>
          <w:kern w:val="2"/>
          <w:sz w:val="32"/>
          <w:szCs w:val="32"/>
          <w:highlight w:val="none"/>
          <w14:textFill>
            <w14:solidFill>
              <w14:schemeClr w14:val="tx1"/>
            </w14:solidFill>
          </w14:textFill>
        </w:rPr>
        <w:footnoteReference w:id="92"/>
      </w:r>
    </w:p>
    <w:tbl>
      <w:tblPr>
        <w:tblStyle w:val="41"/>
        <w:tblW w:w="936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335"/>
        <w:gridCol w:w="851"/>
        <w:gridCol w:w="992"/>
        <w:gridCol w:w="722"/>
        <w:gridCol w:w="1830"/>
        <w:gridCol w:w="1134"/>
        <w:gridCol w:w="996"/>
      </w:tblGrid>
      <w:tr w14:paraId="11C1D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835" w:type="dxa"/>
            <w:gridSpan w:val="2"/>
            <w:tcBorders>
              <w:tl2br w:val="nil"/>
              <w:tr2bl w:val="nil"/>
            </w:tcBorders>
            <w:vAlign w:val="center"/>
          </w:tcPr>
          <w:p w14:paraId="435C8E7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岗位名称</w:t>
            </w:r>
          </w:p>
        </w:tc>
        <w:tc>
          <w:tcPr>
            <w:tcW w:w="851" w:type="dxa"/>
            <w:tcBorders>
              <w:tl2br w:val="nil"/>
              <w:tr2bl w:val="nil"/>
            </w:tcBorders>
            <w:vAlign w:val="center"/>
          </w:tcPr>
          <w:p w14:paraId="4F001B1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姓名</w:t>
            </w:r>
          </w:p>
        </w:tc>
        <w:tc>
          <w:tcPr>
            <w:tcW w:w="992" w:type="dxa"/>
            <w:tcBorders>
              <w:tl2br w:val="nil"/>
              <w:tr2bl w:val="nil"/>
            </w:tcBorders>
            <w:vAlign w:val="center"/>
          </w:tcPr>
          <w:p w14:paraId="4445CAD1">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执业资格/职称</w:t>
            </w:r>
          </w:p>
        </w:tc>
        <w:tc>
          <w:tcPr>
            <w:tcW w:w="722" w:type="dxa"/>
            <w:tcBorders>
              <w:tl2br w:val="nil"/>
              <w:tr2bl w:val="nil"/>
            </w:tcBorders>
            <w:vAlign w:val="center"/>
          </w:tcPr>
          <w:p w14:paraId="4C38C6C3">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现任</w:t>
            </w:r>
          </w:p>
          <w:p w14:paraId="4B4389EB">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职务</w:t>
            </w:r>
          </w:p>
        </w:tc>
        <w:tc>
          <w:tcPr>
            <w:tcW w:w="1830" w:type="dxa"/>
            <w:tcBorders>
              <w:tl2br w:val="nil"/>
              <w:tr2bl w:val="nil"/>
            </w:tcBorders>
            <w:vAlign w:val="center"/>
          </w:tcPr>
          <w:p w14:paraId="470BC108">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从事设计年限、经验和在该项目中担任的职务</w:t>
            </w:r>
          </w:p>
        </w:tc>
        <w:tc>
          <w:tcPr>
            <w:tcW w:w="1134" w:type="dxa"/>
            <w:tcBorders>
              <w:tl2br w:val="nil"/>
              <w:tr2bl w:val="nil"/>
            </w:tcBorders>
            <w:vAlign w:val="center"/>
          </w:tcPr>
          <w:p w14:paraId="79ED80EB">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是否驻施工现场</w:t>
            </w:r>
          </w:p>
        </w:tc>
        <w:tc>
          <w:tcPr>
            <w:tcW w:w="996" w:type="dxa"/>
            <w:tcBorders>
              <w:tl2br w:val="nil"/>
              <w:tr2bl w:val="nil"/>
            </w:tcBorders>
            <w:vAlign w:val="center"/>
          </w:tcPr>
          <w:p w14:paraId="2DB406D5">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备注</w:t>
            </w:r>
          </w:p>
        </w:tc>
      </w:tr>
      <w:tr w14:paraId="157B7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restart"/>
            <w:tcBorders>
              <w:tl2br w:val="nil"/>
              <w:tr2bl w:val="nil"/>
            </w:tcBorders>
            <w:vAlign w:val="center"/>
          </w:tcPr>
          <w:p w14:paraId="003EA9F7">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总部</w:t>
            </w:r>
          </w:p>
        </w:tc>
        <w:tc>
          <w:tcPr>
            <w:tcW w:w="2335" w:type="dxa"/>
            <w:tcBorders>
              <w:tl2br w:val="nil"/>
              <w:tr2bl w:val="nil"/>
            </w:tcBorders>
            <w:vAlign w:val="center"/>
          </w:tcPr>
          <w:p w14:paraId="26D4F17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项目主管</w:t>
            </w:r>
          </w:p>
        </w:tc>
        <w:tc>
          <w:tcPr>
            <w:tcW w:w="851" w:type="dxa"/>
            <w:tcBorders>
              <w:tl2br w:val="nil"/>
              <w:tr2bl w:val="nil"/>
            </w:tcBorders>
            <w:vAlign w:val="center"/>
          </w:tcPr>
          <w:p w14:paraId="06FDC8AD">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12024D7D">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3FDA08B9">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43E2C6D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1134" w:type="dxa"/>
            <w:tcBorders>
              <w:tl2br w:val="nil"/>
              <w:tr2bl w:val="nil"/>
            </w:tcBorders>
            <w:vAlign w:val="center"/>
          </w:tcPr>
          <w:p w14:paraId="48D13123">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6DE393A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5E58B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0" w:type="dxa"/>
            <w:vMerge w:val="continue"/>
            <w:tcBorders>
              <w:tl2br w:val="nil"/>
              <w:tr2bl w:val="nil"/>
            </w:tcBorders>
            <w:vAlign w:val="center"/>
          </w:tcPr>
          <w:p w14:paraId="4EC4F71E">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71E2CB4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技术主管</w:t>
            </w:r>
          </w:p>
        </w:tc>
        <w:tc>
          <w:tcPr>
            <w:tcW w:w="851" w:type="dxa"/>
            <w:tcBorders>
              <w:tl2br w:val="nil"/>
              <w:tr2bl w:val="nil"/>
            </w:tcBorders>
            <w:vAlign w:val="center"/>
          </w:tcPr>
          <w:p w14:paraId="2E8D9AFB">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2B06495A">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5A3F3C2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4CB0387A">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1134" w:type="dxa"/>
            <w:tcBorders>
              <w:tl2br w:val="nil"/>
              <w:tr2bl w:val="nil"/>
            </w:tcBorders>
            <w:vAlign w:val="center"/>
          </w:tcPr>
          <w:p w14:paraId="221CD41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6679200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7A67C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 w:type="dxa"/>
            <w:vMerge w:val="continue"/>
            <w:tcBorders>
              <w:tl2br w:val="nil"/>
              <w:tr2bl w:val="nil"/>
            </w:tcBorders>
            <w:vAlign w:val="center"/>
          </w:tcPr>
          <w:p w14:paraId="579CDC06">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391927A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851" w:type="dxa"/>
            <w:tcBorders>
              <w:tl2br w:val="nil"/>
              <w:tr2bl w:val="nil"/>
            </w:tcBorders>
            <w:vAlign w:val="center"/>
          </w:tcPr>
          <w:p w14:paraId="133E86A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1C76BEF7">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7C76615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34174DD3">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1134" w:type="dxa"/>
            <w:tcBorders>
              <w:tl2br w:val="nil"/>
              <w:tr2bl w:val="nil"/>
            </w:tcBorders>
            <w:vAlign w:val="center"/>
          </w:tcPr>
          <w:p w14:paraId="64C9861B">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761F1921">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2CE71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 w:type="dxa"/>
            <w:vMerge w:val="restart"/>
            <w:tcBorders>
              <w:tl2br w:val="nil"/>
              <w:tr2bl w:val="nil"/>
            </w:tcBorders>
            <w:vAlign w:val="center"/>
          </w:tcPr>
          <w:p w14:paraId="40D5E50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项目主要设计人员</w:t>
            </w:r>
          </w:p>
        </w:tc>
        <w:tc>
          <w:tcPr>
            <w:tcW w:w="2335" w:type="dxa"/>
            <w:tcBorders>
              <w:tl2br w:val="nil"/>
              <w:tr2bl w:val="nil"/>
            </w:tcBorders>
            <w:vAlign w:val="center"/>
          </w:tcPr>
          <w:p w14:paraId="3C92E136">
            <w:pPr>
              <w:pStyle w:val="13"/>
              <w:spacing w:line="24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设计项目负责人（注册建筑师）（必须填写）</w:t>
            </w:r>
          </w:p>
        </w:tc>
        <w:tc>
          <w:tcPr>
            <w:tcW w:w="851" w:type="dxa"/>
            <w:tcBorders>
              <w:tl2br w:val="nil"/>
              <w:tr2bl w:val="nil"/>
            </w:tcBorders>
            <w:vAlign w:val="center"/>
          </w:tcPr>
          <w:p w14:paraId="12A82924">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1BB20D8A">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7C13CCF5">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458141DD">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08E5F3F6">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161AA7A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3784B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 w:type="dxa"/>
            <w:vMerge w:val="continue"/>
            <w:tcBorders>
              <w:tl2br w:val="nil"/>
              <w:tr2bl w:val="nil"/>
            </w:tcBorders>
            <w:vAlign w:val="center"/>
          </w:tcPr>
          <w:p w14:paraId="7147B9E7">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70DB168E">
            <w:pPr>
              <w:pStyle w:val="13"/>
              <w:spacing w:line="440" w:lineRule="exact"/>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专业负责人（必须填写）</w:t>
            </w:r>
          </w:p>
        </w:tc>
        <w:tc>
          <w:tcPr>
            <w:tcW w:w="851" w:type="dxa"/>
            <w:tcBorders>
              <w:tl2br w:val="nil"/>
              <w:tr2bl w:val="nil"/>
            </w:tcBorders>
            <w:vAlign w:val="center"/>
          </w:tcPr>
          <w:p w14:paraId="397DF412">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341C3EC3">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252519B9">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59F514F7">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4CFD3626">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4613EEE9">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2E27D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 w:type="dxa"/>
            <w:vMerge w:val="continue"/>
            <w:tcBorders>
              <w:tl2br w:val="nil"/>
              <w:tr2bl w:val="nil"/>
            </w:tcBorders>
            <w:vAlign w:val="center"/>
          </w:tcPr>
          <w:p w14:paraId="2650A985">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5836E93A">
            <w:pPr>
              <w:pStyle w:val="13"/>
              <w:spacing w:line="440" w:lineRule="exact"/>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相应设计人员</w:t>
            </w:r>
          </w:p>
        </w:tc>
        <w:tc>
          <w:tcPr>
            <w:tcW w:w="851" w:type="dxa"/>
            <w:tcBorders>
              <w:tl2br w:val="nil"/>
              <w:tr2bl w:val="nil"/>
            </w:tcBorders>
            <w:vAlign w:val="center"/>
          </w:tcPr>
          <w:p w14:paraId="2008BCC7">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0116D82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58675326">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50247D7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7C2A6A7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3B61F78F">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13A19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 w:type="dxa"/>
            <w:vMerge w:val="continue"/>
            <w:tcBorders>
              <w:tl2br w:val="nil"/>
              <w:tr2bl w:val="nil"/>
            </w:tcBorders>
            <w:vAlign w:val="center"/>
          </w:tcPr>
          <w:p w14:paraId="33A4E5E5">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0CE430AB">
            <w:pPr>
              <w:pStyle w:val="13"/>
              <w:spacing w:line="440" w:lineRule="exact"/>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851" w:type="dxa"/>
            <w:tcBorders>
              <w:tl2br w:val="nil"/>
              <w:tr2bl w:val="nil"/>
            </w:tcBorders>
            <w:vAlign w:val="center"/>
          </w:tcPr>
          <w:p w14:paraId="0CA9AE56">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410DA7BF">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1055FD8A">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2ECBDD9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767E252A">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662CD2F9">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5AFB5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 w:type="dxa"/>
            <w:vMerge w:val="continue"/>
            <w:tcBorders>
              <w:tl2br w:val="nil"/>
              <w:tr2bl w:val="nil"/>
            </w:tcBorders>
            <w:vAlign w:val="center"/>
          </w:tcPr>
          <w:p w14:paraId="5E6A0D93">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3688003C">
            <w:pPr>
              <w:pStyle w:val="13"/>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2020BB1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482230F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70D5AE3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7E0FC54F">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15C3EF12">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1ADD70AD">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679EF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 w:type="dxa"/>
            <w:vMerge w:val="continue"/>
            <w:tcBorders>
              <w:tl2br w:val="nil"/>
              <w:tr2bl w:val="nil"/>
            </w:tcBorders>
            <w:vAlign w:val="center"/>
          </w:tcPr>
          <w:p w14:paraId="38E4EC5D">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295F5283">
            <w:pPr>
              <w:pStyle w:val="13"/>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32E6839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1637F4AD">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4C228B4F">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45FDB3B3">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1DA9B0CB">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06A620D4">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56416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 w:type="dxa"/>
            <w:vMerge w:val="continue"/>
            <w:tcBorders>
              <w:tl2br w:val="nil"/>
              <w:tr2bl w:val="nil"/>
            </w:tcBorders>
            <w:vAlign w:val="center"/>
          </w:tcPr>
          <w:p w14:paraId="37E03040">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31525CDE">
            <w:pPr>
              <w:pStyle w:val="13"/>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28EE4691">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7AD7F91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7FE489A6">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70EED3B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1E87DF86">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05AF576D">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4F49A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 w:type="dxa"/>
            <w:vMerge w:val="continue"/>
            <w:tcBorders>
              <w:tl2br w:val="nil"/>
              <w:tr2bl w:val="nil"/>
            </w:tcBorders>
            <w:vAlign w:val="center"/>
          </w:tcPr>
          <w:p w14:paraId="12BC56D6">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tcMar>
              <w:left w:w="28" w:type="dxa"/>
              <w:right w:w="28" w:type="dxa"/>
            </w:tcMar>
            <w:vAlign w:val="center"/>
          </w:tcPr>
          <w:p w14:paraId="6D17BB59">
            <w:pPr>
              <w:pStyle w:val="13"/>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7B94FE6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5D6528A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5D90A11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077CCF52">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26E3A799">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3B2EA102">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791DA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 w:type="dxa"/>
            <w:vMerge w:val="continue"/>
            <w:tcBorders>
              <w:tl2br w:val="nil"/>
              <w:tr2bl w:val="nil"/>
            </w:tcBorders>
            <w:vAlign w:val="center"/>
          </w:tcPr>
          <w:p w14:paraId="068E6B64">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585FB17C">
            <w:pPr>
              <w:pStyle w:val="13"/>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7F9F99F3">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0C58D69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021C09C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748AB10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3D2E1C04">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3F69240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2D540C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0" w:type="dxa"/>
            <w:vMerge w:val="continue"/>
            <w:tcBorders>
              <w:tl2br w:val="nil"/>
              <w:tr2bl w:val="nil"/>
            </w:tcBorders>
            <w:vAlign w:val="center"/>
          </w:tcPr>
          <w:p w14:paraId="7A8C9E46">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616A4FA6">
            <w:pPr>
              <w:pStyle w:val="13"/>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2C727BF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5F4789B5">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072AF70F">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3C4A232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4F4AADB4">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1B3DB4F2">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0C5B2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 w:type="dxa"/>
            <w:vMerge w:val="continue"/>
            <w:tcBorders>
              <w:tl2br w:val="nil"/>
              <w:tr2bl w:val="nil"/>
            </w:tcBorders>
            <w:vAlign w:val="center"/>
          </w:tcPr>
          <w:p w14:paraId="0D62B4CD">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6B913BA1">
            <w:pPr>
              <w:pStyle w:val="13"/>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55C7F77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43710624">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2E89BC3A">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3486A40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2C3BB60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7EB20915">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42F1E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 w:type="dxa"/>
            <w:vMerge w:val="continue"/>
            <w:tcBorders>
              <w:tl2br w:val="nil"/>
              <w:tr2bl w:val="nil"/>
            </w:tcBorders>
            <w:vAlign w:val="center"/>
          </w:tcPr>
          <w:p w14:paraId="5D926119">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20B0281C">
            <w:pPr>
              <w:pStyle w:val="13"/>
              <w:spacing w:line="24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勘察负责人（招标内容包含勘察的必须填写）</w:t>
            </w:r>
          </w:p>
        </w:tc>
        <w:tc>
          <w:tcPr>
            <w:tcW w:w="851" w:type="dxa"/>
            <w:tcBorders>
              <w:tl2br w:val="nil"/>
              <w:tr2bl w:val="nil"/>
            </w:tcBorders>
            <w:vAlign w:val="center"/>
          </w:tcPr>
          <w:p w14:paraId="4FA10ECD">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48775FC1">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3332F0ED">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7C119E8F">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58E7E805">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13BCEF6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7C3DA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 w:type="dxa"/>
            <w:vMerge w:val="continue"/>
            <w:tcBorders>
              <w:tl2br w:val="nil"/>
              <w:tr2bl w:val="nil"/>
            </w:tcBorders>
            <w:vAlign w:val="center"/>
          </w:tcPr>
          <w:p w14:paraId="11662A60">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128F52DB">
            <w:pPr>
              <w:pStyle w:val="13"/>
              <w:spacing w:line="240" w:lineRule="auto"/>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5D51B5F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6EF9EA4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660BF224">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200BA0C9">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67BA9526">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4E074B9B">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06E9D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 w:type="dxa"/>
            <w:vMerge w:val="continue"/>
            <w:tcBorders>
              <w:tl2br w:val="nil"/>
              <w:tr2bl w:val="nil"/>
            </w:tcBorders>
            <w:vAlign w:val="center"/>
          </w:tcPr>
          <w:p w14:paraId="57A57BEA">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3825E28F">
            <w:pPr>
              <w:pStyle w:val="13"/>
              <w:spacing w:line="240" w:lineRule="auto"/>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6469194F">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659A8BF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5306016F">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5C68957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5ABAC23C">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2FDB766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6FB50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 w:type="dxa"/>
            <w:vMerge w:val="continue"/>
            <w:tcBorders>
              <w:tl2br w:val="nil"/>
              <w:tr2bl w:val="nil"/>
            </w:tcBorders>
            <w:vAlign w:val="center"/>
          </w:tcPr>
          <w:p w14:paraId="711A0C49">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5E0DFCC3">
            <w:pPr>
              <w:pStyle w:val="13"/>
              <w:spacing w:line="240" w:lineRule="auto"/>
              <w:ind w:firstLine="0"/>
              <w:rPr>
                <w:rFonts w:ascii="宋体" w:hAnsi="宋体" w:eastAsia="宋体"/>
                <w:color w:val="000000" w:themeColor="text1"/>
                <w:szCs w:val="21"/>
                <w:highlight w:val="none"/>
                <w14:textFill>
                  <w14:solidFill>
                    <w14:schemeClr w14:val="tx1"/>
                  </w14:solidFill>
                </w14:textFill>
              </w:rPr>
            </w:pPr>
          </w:p>
        </w:tc>
        <w:tc>
          <w:tcPr>
            <w:tcW w:w="851" w:type="dxa"/>
            <w:tcBorders>
              <w:tl2br w:val="nil"/>
              <w:tr2bl w:val="nil"/>
            </w:tcBorders>
            <w:vAlign w:val="center"/>
          </w:tcPr>
          <w:p w14:paraId="22FA29F7">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5BB2B60A">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1B4E7B27">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34341521">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67E0D76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14881D00">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14:paraId="37420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 w:type="dxa"/>
            <w:vMerge w:val="continue"/>
            <w:tcBorders>
              <w:tl2br w:val="nil"/>
              <w:tr2bl w:val="nil"/>
            </w:tcBorders>
            <w:vAlign w:val="center"/>
          </w:tcPr>
          <w:p w14:paraId="34D9223B">
            <w:pPr>
              <w:rPr>
                <w:rFonts w:ascii="宋体" w:hAnsi="宋体"/>
                <w:color w:val="000000" w:themeColor="text1"/>
                <w:sz w:val="21"/>
                <w:szCs w:val="21"/>
                <w:highlight w:val="none"/>
                <w14:textFill>
                  <w14:solidFill>
                    <w14:schemeClr w14:val="tx1"/>
                  </w14:solidFill>
                </w14:textFill>
              </w:rPr>
            </w:pPr>
          </w:p>
        </w:tc>
        <w:tc>
          <w:tcPr>
            <w:tcW w:w="2335" w:type="dxa"/>
            <w:tcBorders>
              <w:tl2br w:val="nil"/>
              <w:tr2bl w:val="nil"/>
            </w:tcBorders>
            <w:vAlign w:val="center"/>
          </w:tcPr>
          <w:p w14:paraId="3C2F0C42">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851" w:type="dxa"/>
            <w:tcBorders>
              <w:tl2br w:val="nil"/>
              <w:tr2bl w:val="nil"/>
            </w:tcBorders>
            <w:vAlign w:val="center"/>
          </w:tcPr>
          <w:p w14:paraId="7C1D3D18">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tcBorders>
              <w:tl2br w:val="nil"/>
              <w:tr2bl w:val="nil"/>
            </w:tcBorders>
            <w:vAlign w:val="center"/>
          </w:tcPr>
          <w:p w14:paraId="2E5B5793">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tcBorders>
              <w:tl2br w:val="nil"/>
              <w:tr2bl w:val="nil"/>
            </w:tcBorders>
            <w:vAlign w:val="center"/>
          </w:tcPr>
          <w:p w14:paraId="36BBD42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tcBorders>
              <w:tl2br w:val="nil"/>
              <w:tr2bl w:val="nil"/>
            </w:tcBorders>
            <w:vAlign w:val="center"/>
          </w:tcPr>
          <w:p w14:paraId="1C9A2ABE">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tcBorders>
              <w:tl2br w:val="nil"/>
              <w:tr2bl w:val="nil"/>
            </w:tcBorders>
            <w:vAlign w:val="center"/>
          </w:tcPr>
          <w:p w14:paraId="6C5194F9">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3A911021">
            <w:pPr>
              <w:pStyle w:val="13"/>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bl>
    <w:p w14:paraId="1DE44285">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62D3468">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04D0962">
      <w:pPr>
        <w:pStyle w:val="13"/>
        <w:tabs>
          <w:tab w:val="left" w:pos="1000"/>
        </w:tabs>
        <w:spacing w:line="360" w:lineRule="auto"/>
        <w:ind w:firstLine="0"/>
        <w:rPr>
          <w:rFonts w:hint="eastAsia" w:ascii="宋体" w:hAnsi="宋体" w:eastAsia="宋体"/>
          <w:color w:val="000000" w:themeColor="text1"/>
          <w:szCs w:val="21"/>
          <w:highlight w:val="none"/>
          <w14:textFill>
            <w14:solidFill>
              <w14:schemeClr w14:val="tx1"/>
            </w14:solidFill>
          </w14:textFill>
        </w:rPr>
      </w:pPr>
    </w:p>
    <w:p w14:paraId="376786A0">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附表6：拟担任主要设计（勘察）人员简历表和注册执业资格（职称）证书（格式）</w:t>
      </w:r>
    </w:p>
    <w:p w14:paraId="047D385B">
      <w:pPr>
        <w:tabs>
          <w:tab w:val="left" w:pos="0"/>
          <w:tab w:val="left" w:pos="567"/>
          <w:tab w:val="left" w:pos="993"/>
          <w:tab w:val="left" w:pos="1134"/>
        </w:tabs>
        <w:snapToGrid w:val="0"/>
        <w:spacing w:line="300" w:lineRule="auto"/>
        <w:jc w:val="center"/>
        <w:rPr>
          <w:rFonts w:ascii="黑体" w:hAnsi="黑体" w:eastAsia="黑体"/>
          <w:color w:val="000000" w:themeColor="text1"/>
          <w:kern w:val="2"/>
          <w:sz w:val="32"/>
          <w:szCs w:val="32"/>
          <w:highlight w:val="none"/>
          <w14:textFill>
            <w14:solidFill>
              <w14:schemeClr w14:val="tx1"/>
            </w14:solidFill>
          </w14:textFill>
        </w:rPr>
      </w:pPr>
      <w:r>
        <w:rPr>
          <w:rFonts w:hint="eastAsia" w:ascii="黑体" w:hAnsi="黑体" w:eastAsia="黑体"/>
          <w:color w:val="000000" w:themeColor="text1"/>
          <w:kern w:val="2"/>
          <w:sz w:val="32"/>
          <w:szCs w:val="32"/>
          <w:highlight w:val="none"/>
          <w14:textFill>
            <w14:solidFill>
              <w14:schemeClr w14:val="tx1"/>
            </w14:solidFill>
          </w14:textFill>
        </w:rPr>
        <w:t>拟担任主要设计（勘察）人员简历表</w:t>
      </w:r>
      <w:r>
        <w:rPr>
          <w:rStyle w:val="49"/>
          <w:rFonts w:ascii="黑体" w:hAnsi="黑体" w:eastAsia="黑体"/>
          <w:color w:val="000000" w:themeColor="text1"/>
          <w:kern w:val="2"/>
          <w:sz w:val="32"/>
          <w:szCs w:val="32"/>
          <w:highlight w:val="none"/>
          <w14:textFill>
            <w14:solidFill>
              <w14:schemeClr w14:val="tx1"/>
            </w14:solidFill>
          </w14:textFill>
        </w:rPr>
        <w:footnoteReference w:id="93"/>
      </w:r>
    </w:p>
    <w:tbl>
      <w:tblPr>
        <w:tblStyle w:val="41"/>
        <w:tblW w:w="921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803"/>
      </w:tblGrid>
      <w:tr w14:paraId="4B544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tcBorders>
              <w:tl2br w:val="nil"/>
              <w:tr2bl w:val="nil"/>
            </w:tcBorders>
            <w:vAlign w:val="center"/>
          </w:tcPr>
          <w:p w14:paraId="070EC4DD">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67" w:type="dxa"/>
            <w:tcBorders>
              <w:tl2br w:val="nil"/>
              <w:tr2bl w:val="nil"/>
            </w:tcBorders>
            <w:vAlign w:val="center"/>
          </w:tcPr>
          <w:p w14:paraId="37358695">
            <w:pPr>
              <w:jc w:val="center"/>
              <w:rPr>
                <w:rFonts w:ascii="宋体" w:hAnsi="宋体"/>
                <w:color w:val="000000" w:themeColor="text1"/>
                <w:sz w:val="21"/>
                <w:szCs w:val="21"/>
                <w:highlight w:val="none"/>
                <w14:textFill>
                  <w14:solidFill>
                    <w14:schemeClr w14:val="tx1"/>
                  </w14:solidFill>
                </w14:textFill>
              </w:rPr>
            </w:pPr>
          </w:p>
        </w:tc>
        <w:tc>
          <w:tcPr>
            <w:tcW w:w="1052" w:type="dxa"/>
            <w:tcBorders>
              <w:tl2br w:val="nil"/>
              <w:tr2bl w:val="nil"/>
            </w:tcBorders>
            <w:vAlign w:val="center"/>
          </w:tcPr>
          <w:p w14:paraId="0797B1C9">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性别</w:t>
            </w:r>
          </w:p>
        </w:tc>
        <w:tc>
          <w:tcPr>
            <w:tcW w:w="1022" w:type="dxa"/>
            <w:tcBorders>
              <w:tl2br w:val="nil"/>
              <w:tr2bl w:val="nil"/>
            </w:tcBorders>
            <w:vAlign w:val="center"/>
          </w:tcPr>
          <w:p w14:paraId="7D2F7F39">
            <w:pPr>
              <w:jc w:val="center"/>
              <w:rPr>
                <w:rFonts w:ascii="宋体" w:hAnsi="宋体"/>
                <w:color w:val="000000" w:themeColor="text1"/>
                <w:sz w:val="21"/>
                <w:szCs w:val="21"/>
                <w:highlight w:val="none"/>
                <w14:textFill>
                  <w14:solidFill>
                    <w14:schemeClr w14:val="tx1"/>
                  </w14:solidFill>
                </w14:textFill>
              </w:rPr>
            </w:pPr>
          </w:p>
        </w:tc>
        <w:tc>
          <w:tcPr>
            <w:tcW w:w="1260" w:type="dxa"/>
            <w:gridSpan w:val="2"/>
            <w:tcBorders>
              <w:tl2br w:val="nil"/>
              <w:tr2bl w:val="nil"/>
            </w:tcBorders>
            <w:vAlign w:val="center"/>
          </w:tcPr>
          <w:p w14:paraId="18D9EE7B">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出生日期</w:t>
            </w:r>
          </w:p>
        </w:tc>
        <w:tc>
          <w:tcPr>
            <w:tcW w:w="2803" w:type="dxa"/>
            <w:tcBorders>
              <w:tl2br w:val="nil"/>
              <w:tr2bl w:val="nil"/>
            </w:tcBorders>
            <w:vAlign w:val="center"/>
          </w:tcPr>
          <w:p w14:paraId="6A724C32">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  月   日</w:t>
            </w:r>
          </w:p>
        </w:tc>
      </w:tr>
      <w:tr w14:paraId="7C028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tcBorders>
              <w:tl2br w:val="nil"/>
              <w:tr2bl w:val="nil"/>
            </w:tcBorders>
            <w:vAlign w:val="center"/>
          </w:tcPr>
          <w:p w14:paraId="7920515D">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毕业院校专业</w:t>
            </w:r>
          </w:p>
        </w:tc>
        <w:tc>
          <w:tcPr>
            <w:tcW w:w="3241" w:type="dxa"/>
            <w:gridSpan w:val="3"/>
            <w:tcBorders>
              <w:tl2br w:val="nil"/>
              <w:tr2bl w:val="nil"/>
            </w:tcBorders>
            <w:vAlign w:val="center"/>
          </w:tcPr>
          <w:p w14:paraId="41CD133B">
            <w:pPr>
              <w:jc w:val="center"/>
              <w:rPr>
                <w:rFonts w:ascii="宋体" w:hAnsi="宋体"/>
                <w:color w:val="000000" w:themeColor="text1"/>
                <w:sz w:val="21"/>
                <w:szCs w:val="21"/>
                <w:highlight w:val="none"/>
                <w14:textFill>
                  <w14:solidFill>
                    <w14:schemeClr w14:val="tx1"/>
                  </w14:solidFill>
                </w14:textFill>
              </w:rPr>
            </w:pPr>
          </w:p>
        </w:tc>
        <w:tc>
          <w:tcPr>
            <w:tcW w:w="1260" w:type="dxa"/>
            <w:gridSpan w:val="2"/>
            <w:tcBorders>
              <w:tl2br w:val="nil"/>
              <w:tr2bl w:val="nil"/>
            </w:tcBorders>
            <w:vAlign w:val="center"/>
          </w:tcPr>
          <w:p w14:paraId="383D9224">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毕业时间</w:t>
            </w:r>
          </w:p>
        </w:tc>
        <w:tc>
          <w:tcPr>
            <w:tcW w:w="2803" w:type="dxa"/>
            <w:tcBorders>
              <w:tl2br w:val="nil"/>
              <w:tr2bl w:val="nil"/>
            </w:tcBorders>
            <w:vAlign w:val="center"/>
          </w:tcPr>
          <w:p w14:paraId="59782738">
            <w:pPr>
              <w:ind w:firstLine="840" w:firstLineChars="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  月   日</w:t>
            </w:r>
          </w:p>
        </w:tc>
      </w:tr>
      <w:tr w14:paraId="7F7E1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tcBorders>
              <w:tl2br w:val="nil"/>
              <w:tr2bl w:val="nil"/>
            </w:tcBorders>
            <w:vAlign w:val="center"/>
          </w:tcPr>
          <w:p w14:paraId="1622CAE1">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从事本专业时间</w:t>
            </w:r>
          </w:p>
        </w:tc>
        <w:tc>
          <w:tcPr>
            <w:tcW w:w="2219" w:type="dxa"/>
            <w:gridSpan w:val="2"/>
            <w:tcBorders>
              <w:tl2br w:val="nil"/>
              <w:tr2bl w:val="nil"/>
            </w:tcBorders>
            <w:vAlign w:val="center"/>
          </w:tcPr>
          <w:p w14:paraId="7B17311F">
            <w:pPr>
              <w:jc w:val="center"/>
              <w:rPr>
                <w:rFonts w:ascii="宋体" w:hAnsi="宋体"/>
                <w:color w:val="000000" w:themeColor="text1"/>
                <w:sz w:val="21"/>
                <w:szCs w:val="21"/>
                <w:highlight w:val="none"/>
                <w14:textFill>
                  <w14:solidFill>
                    <w14:schemeClr w14:val="tx1"/>
                  </w14:solidFill>
                </w14:textFill>
              </w:rPr>
            </w:pPr>
          </w:p>
        </w:tc>
        <w:tc>
          <w:tcPr>
            <w:tcW w:w="2282" w:type="dxa"/>
            <w:gridSpan w:val="3"/>
            <w:tcBorders>
              <w:tl2br w:val="nil"/>
              <w:tr2bl w:val="nil"/>
            </w:tcBorders>
            <w:vAlign w:val="center"/>
          </w:tcPr>
          <w:p w14:paraId="6758B9CD">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为投标人服务时间</w:t>
            </w:r>
          </w:p>
        </w:tc>
        <w:tc>
          <w:tcPr>
            <w:tcW w:w="2803" w:type="dxa"/>
            <w:tcBorders>
              <w:tl2br w:val="nil"/>
              <w:tr2bl w:val="nil"/>
            </w:tcBorders>
            <w:vAlign w:val="center"/>
          </w:tcPr>
          <w:p w14:paraId="27A34125">
            <w:pPr>
              <w:jc w:val="center"/>
              <w:rPr>
                <w:rFonts w:ascii="宋体" w:hAnsi="宋体"/>
                <w:color w:val="000000" w:themeColor="text1"/>
                <w:sz w:val="21"/>
                <w:szCs w:val="21"/>
                <w:highlight w:val="none"/>
                <w14:textFill>
                  <w14:solidFill>
                    <w14:schemeClr w14:val="tx1"/>
                  </w14:solidFill>
                </w14:textFill>
              </w:rPr>
            </w:pPr>
          </w:p>
        </w:tc>
      </w:tr>
      <w:tr w14:paraId="3C9C9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tcBorders>
              <w:tl2br w:val="nil"/>
              <w:tr2bl w:val="nil"/>
            </w:tcBorders>
            <w:vAlign w:val="center"/>
          </w:tcPr>
          <w:p w14:paraId="7EE175ED">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执业注册（若要求）</w:t>
            </w:r>
          </w:p>
        </w:tc>
        <w:tc>
          <w:tcPr>
            <w:tcW w:w="2219" w:type="dxa"/>
            <w:gridSpan w:val="2"/>
            <w:tcBorders>
              <w:tl2br w:val="nil"/>
              <w:tr2bl w:val="nil"/>
            </w:tcBorders>
            <w:vAlign w:val="center"/>
          </w:tcPr>
          <w:p w14:paraId="0B1D9541">
            <w:pPr>
              <w:jc w:val="center"/>
              <w:rPr>
                <w:rFonts w:ascii="宋体" w:hAnsi="宋体"/>
                <w:color w:val="000000" w:themeColor="text1"/>
                <w:sz w:val="21"/>
                <w:szCs w:val="21"/>
                <w:highlight w:val="none"/>
                <w14:textFill>
                  <w14:solidFill>
                    <w14:schemeClr w14:val="tx1"/>
                  </w14:solidFill>
                </w14:textFill>
              </w:rPr>
            </w:pPr>
          </w:p>
        </w:tc>
        <w:tc>
          <w:tcPr>
            <w:tcW w:w="2282" w:type="dxa"/>
            <w:gridSpan w:val="3"/>
            <w:tcBorders>
              <w:tl2br w:val="nil"/>
              <w:tr2bl w:val="nil"/>
            </w:tcBorders>
            <w:vAlign w:val="center"/>
          </w:tcPr>
          <w:p w14:paraId="1EF6F505">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2803" w:type="dxa"/>
            <w:tcBorders>
              <w:tl2br w:val="nil"/>
              <w:tr2bl w:val="nil"/>
            </w:tcBorders>
            <w:vAlign w:val="center"/>
          </w:tcPr>
          <w:p w14:paraId="22138AED">
            <w:pPr>
              <w:jc w:val="center"/>
              <w:rPr>
                <w:rFonts w:ascii="宋体" w:hAnsi="宋体"/>
                <w:color w:val="000000" w:themeColor="text1"/>
                <w:sz w:val="21"/>
                <w:szCs w:val="21"/>
                <w:highlight w:val="none"/>
                <w14:textFill>
                  <w14:solidFill>
                    <w14:schemeClr w14:val="tx1"/>
                  </w14:solidFill>
                </w14:textFill>
              </w:rPr>
            </w:pPr>
          </w:p>
        </w:tc>
      </w:tr>
      <w:tr w14:paraId="3BC49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tcBorders>
              <w:tl2br w:val="nil"/>
              <w:tr2bl w:val="nil"/>
            </w:tcBorders>
            <w:vAlign w:val="center"/>
          </w:tcPr>
          <w:p w14:paraId="0EF55C65">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在本项目拟任职务</w:t>
            </w:r>
          </w:p>
        </w:tc>
        <w:tc>
          <w:tcPr>
            <w:tcW w:w="5085" w:type="dxa"/>
            <w:gridSpan w:val="4"/>
            <w:tcBorders>
              <w:tl2br w:val="nil"/>
              <w:tr2bl w:val="nil"/>
            </w:tcBorders>
            <w:vAlign w:val="center"/>
          </w:tcPr>
          <w:p w14:paraId="466B80FB">
            <w:pPr>
              <w:jc w:val="center"/>
              <w:rPr>
                <w:rFonts w:ascii="宋体" w:hAnsi="宋体"/>
                <w:color w:val="000000" w:themeColor="text1"/>
                <w:sz w:val="21"/>
                <w:szCs w:val="21"/>
                <w:highlight w:val="none"/>
                <w14:textFill>
                  <w14:solidFill>
                    <w14:schemeClr w14:val="tx1"/>
                  </w14:solidFill>
                </w14:textFill>
              </w:rPr>
            </w:pPr>
          </w:p>
        </w:tc>
      </w:tr>
      <w:tr w14:paraId="74EB5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1" w:type="dxa"/>
            <w:gridSpan w:val="7"/>
            <w:tcBorders>
              <w:tl2br w:val="nil"/>
              <w:tr2bl w:val="nil"/>
            </w:tcBorders>
            <w:vAlign w:val="center"/>
          </w:tcPr>
          <w:p w14:paraId="08C9ED20">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  要  经  历</w:t>
            </w:r>
          </w:p>
        </w:tc>
      </w:tr>
      <w:tr w14:paraId="36E98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tcBorders>
              <w:tl2br w:val="nil"/>
              <w:tr2bl w:val="nil"/>
            </w:tcBorders>
            <w:vAlign w:val="center"/>
          </w:tcPr>
          <w:p w14:paraId="3B9506E6">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时间</w:t>
            </w:r>
          </w:p>
        </w:tc>
        <w:tc>
          <w:tcPr>
            <w:tcW w:w="3961" w:type="dxa"/>
            <w:gridSpan w:val="4"/>
            <w:tcBorders>
              <w:tl2br w:val="nil"/>
              <w:tr2bl w:val="nil"/>
            </w:tcBorders>
            <w:vAlign w:val="center"/>
          </w:tcPr>
          <w:p w14:paraId="7C91EAC7">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参加过的工程设计项目名称及规模</w:t>
            </w:r>
          </w:p>
        </w:tc>
        <w:tc>
          <w:tcPr>
            <w:tcW w:w="3343" w:type="dxa"/>
            <w:gridSpan w:val="2"/>
            <w:tcBorders>
              <w:tl2br w:val="nil"/>
              <w:tr2bl w:val="nil"/>
            </w:tcBorders>
            <w:vAlign w:val="center"/>
          </w:tcPr>
          <w:p w14:paraId="6CEC50CB">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该项目中担任职务</w:t>
            </w:r>
          </w:p>
        </w:tc>
      </w:tr>
      <w:tr w14:paraId="3F443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tcBorders>
              <w:tl2br w:val="nil"/>
              <w:tr2bl w:val="nil"/>
            </w:tcBorders>
            <w:vAlign w:val="center"/>
          </w:tcPr>
          <w:p w14:paraId="27BDA17D">
            <w:pPr>
              <w:jc w:val="center"/>
              <w:rPr>
                <w:rFonts w:ascii="宋体" w:hAnsi="宋体"/>
                <w:color w:val="000000" w:themeColor="text1"/>
                <w:sz w:val="21"/>
                <w:szCs w:val="21"/>
                <w:highlight w:val="none"/>
                <w14:textFill>
                  <w14:solidFill>
                    <w14:schemeClr w14:val="tx1"/>
                  </w14:solidFill>
                </w14:textFill>
              </w:rPr>
            </w:pPr>
          </w:p>
        </w:tc>
        <w:tc>
          <w:tcPr>
            <w:tcW w:w="3961" w:type="dxa"/>
            <w:gridSpan w:val="4"/>
            <w:tcBorders>
              <w:tl2br w:val="nil"/>
              <w:tr2bl w:val="nil"/>
            </w:tcBorders>
            <w:vAlign w:val="center"/>
          </w:tcPr>
          <w:p w14:paraId="629859BC">
            <w:pPr>
              <w:jc w:val="center"/>
              <w:rPr>
                <w:rFonts w:ascii="宋体" w:hAnsi="宋体"/>
                <w:color w:val="000000" w:themeColor="text1"/>
                <w:sz w:val="21"/>
                <w:szCs w:val="21"/>
                <w:highlight w:val="none"/>
                <w14:textFill>
                  <w14:solidFill>
                    <w14:schemeClr w14:val="tx1"/>
                  </w14:solidFill>
                </w14:textFill>
              </w:rPr>
            </w:pPr>
          </w:p>
        </w:tc>
        <w:tc>
          <w:tcPr>
            <w:tcW w:w="3343" w:type="dxa"/>
            <w:gridSpan w:val="2"/>
            <w:tcBorders>
              <w:tl2br w:val="nil"/>
              <w:tr2bl w:val="nil"/>
            </w:tcBorders>
            <w:vAlign w:val="center"/>
          </w:tcPr>
          <w:p w14:paraId="3525109B">
            <w:pPr>
              <w:jc w:val="center"/>
              <w:rPr>
                <w:rFonts w:ascii="宋体" w:hAnsi="宋体"/>
                <w:color w:val="000000" w:themeColor="text1"/>
                <w:sz w:val="21"/>
                <w:szCs w:val="21"/>
                <w:highlight w:val="none"/>
                <w14:textFill>
                  <w14:solidFill>
                    <w14:schemeClr w14:val="tx1"/>
                  </w14:solidFill>
                </w14:textFill>
              </w:rPr>
            </w:pPr>
          </w:p>
        </w:tc>
      </w:tr>
      <w:tr w14:paraId="62099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tcBorders>
              <w:tl2br w:val="nil"/>
              <w:tr2bl w:val="nil"/>
            </w:tcBorders>
            <w:vAlign w:val="center"/>
          </w:tcPr>
          <w:p w14:paraId="4B6689F7">
            <w:pPr>
              <w:jc w:val="center"/>
              <w:rPr>
                <w:rFonts w:ascii="宋体" w:hAnsi="宋体"/>
                <w:color w:val="000000" w:themeColor="text1"/>
                <w:sz w:val="21"/>
                <w:szCs w:val="21"/>
                <w:highlight w:val="none"/>
                <w14:textFill>
                  <w14:solidFill>
                    <w14:schemeClr w14:val="tx1"/>
                  </w14:solidFill>
                </w14:textFill>
              </w:rPr>
            </w:pPr>
          </w:p>
        </w:tc>
        <w:tc>
          <w:tcPr>
            <w:tcW w:w="3961" w:type="dxa"/>
            <w:gridSpan w:val="4"/>
            <w:tcBorders>
              <w:tl2br w:val="nil"/>
              <w:tr2bl w:val="nil"/>
            </w:tcBorders>
            <w:vAlign w:val="center"/>
          </w:tcPr>
          <w:p w14:paraId="3C0E213B">
            <w:pPr>
              <w:jc w:val="center"/>
              <w:rPr>
                <w:rFonts w:ascii="宋体" w:hAnsi="宋体"/>
                <w:color w:val="000000" w:themeColor="text1"/>
                <w:sz w:val="21"/>
                <w:szCs w:val="21"/>
                <w:highlight w:val="none"/>
                <w14:textFill>
                  <w14:solidFill>
                    <w14:schemeClr w14:val="tx1"/>
                  </w14:solidFill>
                </w14:textFill>
              </w:rPr>
            </w:pPr>
          </w:p>
        </w:tc>
        <w:tc>
          <w:tcPr>
            <w:tcW w:w="3343" w:type="dxa"/>
            <w:gridSpan w:val="2"/>
            <w:tcBorders>
              <w:tl2br w:val="nil"/>
              <w:tr2bl w:val="nil"/>
            </w:tcBorders>
            <w:vAlign w:val="center"/>
          </w:tcPr>
          <w:p w14:paraId="7E78AFCB">
            <w:pPr>
              <w:jc w:val="center"/>
              <w:rPr>
                <w:rFonts w:ascii="宋体" w:hAnsi="宋体"/>
                <w:color w:val="000000" w:themeColor="text1"/>
                <w:sz w:val="21"/>
                <w:szCs w:val="21"/>
                <w:highlight w:val="none"/>
                <w14:textFill>
                  <w14:solidFill>
                    <w14:schemeClr w14:val="tx1"/>
                  </w14:solidFill>
                </w14:textFill>
              </w:rPr>
            </w:pPr>
          </w:p>
        </w:tc>
      </w:tr>
      <w:tr w14:paraId="30330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tcBorders>
              <w:tl2br w:val="nil"/>
              <w:tr2bl w:val="nil"/>
            </w:tcBorders>
            <w:vAlign w:val="center"/>
          </w:tcPr>
          <w:p w14:paraId="03D68F18">
            <w:pPr>
              <w:jc w:val="center"/>
              <w:rPr>
                <w:rFonts w:ascii="宋体" w:hAnsi="宋体"/>
                <w:color w:val="000000" w:themeColor="text1"/>
                <w:sz w:val="21"/>
                <w:szCs w:val="21"/>
                <w:highlight w:val="none"/>
                <w14:textFill>
                  <w14:solidFill>
                    <w14:schemeClr w14:val="tx1"/>
                  </w14:solidFill>
                </w14:textFill>
              </w:rPr>
            </w:pPr>
          </w:p>
        </w:tc>
        <w:tc>
          <w:tcPr>
            <w:tcW w:w="3961" w:type="dxa"/>
            <w:gridSpan w:val="4"/>
            <w:tcBorders>
              <w:tl2br w:val="nil"/>
              <w:tr2bl w:val="nil"/>
            </w:tcBorders>
            <w:vAlign w:val="center"/>
          </w:tcPr>
          <w:p w14:paraId="47E50F7A">
            <w:pPr>
              <w:jc w:val="center"/>
              <w:rPr>
                <w:rFonts w:ascii="宋体" w:hAnsi="宋体"/>
                <w:color w:val="000000" w:themeColor="text1"/>
                <w:sz w:val="21"/>
                <w:szCs w:val="21"/>
                <w:highlight w:val="none"/>
                <w14:textFill>
                  <w14:solidFill>
                    <w14:schemeClr w14:val="tx1"/>
                  </w14:solidFill>
                </w14:textFill>
              </w:rPr>
            </w:pPr>
          </w:p>
        </w:tc>
        <w:tc>
          <w:tcPr>
            <w:tcW w:w="3343" w:type="dxa"/>
            <w:gridSpan w:val="2"/>
            <w:tcBorders>
              <w:tl2br w:val="nil"/>
              <w:tr2bl w:val="nil"/>
            </w:tcBorders>
            <w:vAlign w:val="center"/>
          </w:tcPr>
          <w:p w14:paraId="5F0828A5">
            <w:pPr>
              <w:jc w:val="center"/>
              <w:rPr>
                <w:rFonts w:ascii="宋体" w:hAnsi="宋体"/>
                <w:color w:val="000000" w:themeColor="text1"/>
                <w:sz w:val="21"/>
                <w:szCs w:val="21"/>
                <w:highlight w:val="none"/>
                <w14:textFill>
                  <w14:solidFill>
                    <w14:schemeClr w14:val="tx1"/>
                  </w14:solidFill>
                </w14:textFill>
              </w:rPr>
            </w:pPr>
          </w:p>
        </w:tc>
      </w:tr>
      <w:tr w14:paraId="753D2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7" w:type="dxa"/>
            <w:tcBorders>
              <w:tl2br w:val="nil"/>
              <w:tr2bl w:val="nil"/>
            </w:tcBorders>
            <w:vAlign w:val="center"/>
          </w:tcPr>
          <w:p w14:paraId="0BD8724B">
            <w:pPr>
              <w:jc w:val="center"/>
              <w:rPr>
                <w:rFonts w:ascii="宋体" w:hAnsi="宋体"/>
                <w:color w:val="000000" w:themeColor="text1"/>
                <w:sz w:val="21"/>
                <w:szCs w:val="21"/>
                <w:highlight w:val="none"/>
                <w14:textFill>
                  <w14:solidFill>
                    <w14:schemeClr w14:val="tx1"/>
                  </w14:solidFill>
                </w14:textFill>
              </w:rPr>
            </w:pPr>
          </w:p>
        </w:tc>
        <w:tc>
          <w:tcPr>
            <w:tcW w:w="3961" w:type="dxa"/>
            <w:gridSpan w:val="4"/>
            <w:tcBorders>
              <w:tl2br w:val="nil"/>
              <w:tr2bl w:val="nil"/>
            </w:tcBorders>
            <w:vAlign w:val="center"/>
          </w:tcPr>
          <w:p w14:paraId="4C2E4AB4">
            <w:pPr>
              <w:jc w:val="center"/>
              <w:rPr>
                <w:rFonts w:ascii="宋体" w:hAnsi="宋体"/>
                <w:color w:val="000000" w:themeColor="text1"/>
                <w:sz w:val="21"/>
                <w:szCs w:val="21"/>
                <w:highlight w:val="none"/>
                <w14:textFill>
                  <w14:solidFill>
                    <w14:schemeClr w14:val="tx1"/>
                  </w14:solidFill>
                </w14:textFill>
              </w:rPr>
            </w:pPr>
          </w:p>
        </w:tc>
        <w:tc>
          <w:tcPr>
            <w:tcW w:w="3343" w:type="dxa"/>
            <w:gridSpan w:val="2"/>
            <w:tcBorders>
              <w:tl2br w:val="nil"/>
              <w:tr2bl w:val="nil"/>
            </w:tcBorders>
            <w:vAlign w:val="center"/>
          </w:tcPr>
          <w:p w14:paraId="2AE16CAD">
            <w:pPr>
              <w:jc w:val="center"/>
              <w:rPr>
                <w:rFonts w:ascii="宋体" w:hAnsi="宋体"/>
                <w:color w:val="000000" w:themeColor="text1"/>
                <w:sz w:val="21"/>
                <w:szCs w:val="21"/>
                <w:highlight w:val="none"/>
                <w14:textFill>
                  <w14:solidFill>
                    <w14:schemeClr w14:val="tx1"/>
                  </w14:solidFill>
                </w14:textFill>
              </w:rPr>
            </w:pPr>
          </w:p>
        </w:tc>
      </w:tr>
      <w:tr w14:paraId="70600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7" w:type="dxa"/>
            <w:tcBorders>
              <w:tl2br w:val="nil"/>
              <w:tr2bl w:val="nil"/>
            </w:tcBorders>
            <w:vAlign w:val="center"/>
          </w:tcPr>
          <w:p w14:paraId="4DE8F8D1">
            <w:pPr>
              <w:jc w:val="center"/>
              <w:rPr>
                <w:rFonts w:ascii="宋体" w:hAnsi="宋体"/>
                <w:color w:val="000000" w:themeColor="text1"/>
                <w:sz w:val="21"/>
                <w:szCs w:val="21"/>
                <w:highlight w:val="none"/>
                <w14:textFill>
                  <w14:solidFill>
                    <w14:schemeClr w14:val="tx1"/>
                  </w14:solidFill>
                </w14:textFill>
              </w:rPr>
            </w:pPr>
          </w:p>
        </w:tc>
        <w:tc>
          <w:tcPr>
            <w:tcW w:w="3961" w:type="dxa"/>
            <w:gridSpan w:val="4"/>
            <w:tcBorders>
              <w:tl2br w:val="nil"/>
              <w:tr2bl w:val="nil"/>
            </w:tcBorders>
            <w:vAlign w:val="center"/>
          </w:tcPr>
          <w:p w14:paraId="5ACF74FA">
            <w:pPr>
              <w:jc w:val="center"/>
              <w:rPr>
                <w:rFonts w:ascii="宋体" w:hAnsi="宋体"/>
                <w:color w:val="000000" w:themeColor="text1"/>
                <w:sz w:val="21"/>
                <w:szCs w:val="21"/>
                <w:highlight w:val="none"/>
                <w14:textFill>
                  <w14:solidFill>
                    <w14:schemeClr w14:val="tx1"/>
                  </w14:solidFill>
                </w14:textFill>
              </w:rPr>
            </w:pPr>
          </w:p>
        </w:tc>
        <w:tc>
          <w:tcPr>
            <w:tcW w:w="3343" w:type="dxa"/>
            <w:gridSpan w:val="2"/>
            <w:tcBorders>
              <w:tl2br w:val="nil"/>
              <w:tr2bl w:val="nil"/>
            </w:tcBorders>
            <w:vAlign w:val="center"/>
          </w:tcPr>
          <w:p w14:paraId="5ADDD135">
            <w:pPr>
              <w:jc w:val="center"/>
              <w:rPr>
                <w:rFonts w:ascii="宋体" w:hAnsi="宋体"/>
                <w:color w:val="000000" w:themeColor="text1"/>
                <w:sz w:val="21"/>
                <w:szCs w:val="21"/>
                <w:highlight w:val="none"/>
                <w14:textFill>
                  <w14:solidFill>
                    <w14:schemeClr w14:val="tx1"/>
                  </w14:solidFill>
                </w14:textFill>
              </w:rPr>
            </w:pPr>
          </w:p>
        </w:tc>
      </w:tr>
    </w:tbl>
    <w:p w14:paraId="6FA5369E">
      <w:pPr>
        <w:pStyle w:val="13"/>
        <w:tabs>
          <w:tab w:val="left" w:pos="1000"/>
        </w:tabs>
        <w:spacing w:line="360" w:lineRule="auto"/>
        <w:ind w:firstLine="0"/>
        <w:rPr>
          <w:rFonts w:ascii="宋体" w:hAnsi="宋体" w:eastAsia="宋体"/>
          <w:color w:val="000000" w:themeColor="text1"/>
          <w:sz w:val="24"/>
          <w:szCs w:val="24"/>
          <w:highlight w:val="none"/>
          <w14:textFill>
            <w14:solidFill>
              <w14:schemeClr w14:val="tx1"/>
            </w14:solidFill>
          </w14:textFill>
        </w:rPr>
      </w:pPr>
    </w:p>
    <w:p w14:paraId="7FEA591D">
      <w:pPr>
        <w:pStyle w:val="13"/>
        <w:tabs>
          <w:tab w:val="left" w:pos="1000"/>
        </w:tabs>
        <w:spacing w:line="360" w:lineRule="auto"/>
        <w:ind w:firstLine="0"/>
        <w:rPr>
          <w:rFonts w:hint="eastAsia" w:ascii="宋体" w:hAnsi="宋体" w:eastAsia="宋体"/>
          <w:color w:val="000000" w:themeColor="text1"/>
          <w:sz w:val="24"/>
          <w:szCs w:val="24"/>
          <w:highlight w:val="none"/>
          <w14:textFill>
            <w14:solidFill>
              <w14:schemeClr w14:val="tx1"/>
            </w14:solidFill>
          </w14:textFill>
        </w:rPr>
      </w:pPr>
    </w:p>
    <w:p w14:paraId="45390374">
      <w:pPr>
        <w:pStyle w:val="13"/>
        <w:tabs>
          <w:tab w:val="left" w:pos="1000"/>
        </w:tabs>
        <w:spacing w:line="360" w:lineRule="auto"/>
        <w:ind w:firstLine="0"/>
        <w:rPr>
          <w:rFonts w:hint="eastAsia" w:ascii="宋体" w:hAnsi="宋体" w:eastAsia="宋体"/>
          <w:color w:val="000000" w:themeColor="text1"/>
          <w:sz w:val="24"/>
          <w:szCs w:val="24"/>
          <w:highlight w:val="none"/>
          <w14:textFill>
            <w14:solidFill>
              <w14:schemeClr w14:val="tx1"/>
            </w14:solidFill>
          </w14:textFill>
        </w:rPr>
      </w:pPr>
    </w:p>
    <w:p w14:paraId="767F5AED">
      <w:pPr>
        <w:pStyle w:val="13"/>
        <w:tabs>
          <w:tab w:val="left" w:pos="1000"/>
        </w:tabs>
        <w:spacing w:line="360" w:lineRule="auto"/>
        <w:ind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附表7：拟担任项目负责人承诺函、设计（勘察）项目负责人和其他主要设计人员到位承诺书</w:t>
      </w:r>
      <w:r>
        <w:rPr>
          <w:rFonts w:hint="eastAsia" w:ascii="宋体" w:hAnsi="宋体" w:eastAsia="宋体"/>
          <w:color w:val="000000" w:themeColor="text1"/>
          <w:szCs w:val="21"/>
          <w:highlight w:val="none"/>
          <w14:textFill>
            <w14:solidFill>
              <w14:schemeClr w14:val="tx1"/>
            </w14:solidFill>
          </w14:textFill>
        </w:rPr>
        <w:t>（格式）</w:t>
      </w:r>
    </w:p>
    <w:p w14:paraId="3E78591D">
      <w:pPr>
        <w:pStyle w:val="13"/>
        <w:tabs>
          <w:tab w:val="left" w:pos="1000"/>
        </w:tabs>
        <w:spacing w:beforeLines="100" w:after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拟担任项目负责人承诺函</w:t>
      </w:r>
      <w:r>
        <w:rPr>
          <w:rStyle w:val="49"/>
          <w:rFonts w:ascii="黑体" w:hAnsi="黑体" w:eastAsia="黑体"/>
          <w:color w:val="000000" w:themeColor="text1"/>
          <w:sz w:val="32"/>
          <w:szCs w:val="32"/>
          <w:highlight w:val="none"/>
          <w14:textFill>
            <w14:solidFill>
              <w14:schemeClr w14:val="tx1"/>
            </w14:solidFill>
          </w14:textFill>
        </w:rPr>
        <w:footnoteReference w:id="94"/>
      </w:r>
    </w:p>
    <w:p w14:paraId="6FC38A8C">
      <w:pPr>
        <w:adjustRightInd/>
        <w:spacing w:line="360"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（招标人名称）：</w:t>
      </w:r>
    </w:p>
    <w:p w14:paraId="673B9D37">
      <w:pPr>
        <w:adjustRightIn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本人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（姓名）系</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（投标人名称）的在岗人员。本人已清楚知晓，本单位已确定本人作为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（招标项目名称及标段）的拟担任</w:t>
      </w:r>
      <w:r>
        <w:rPr>
          <w:rFonts w:hint="eastAsia" w:ascii="宋体" w:hAnsi="宋体"/>
          <w:color w:val="000000" w:themeColor="text1"/>
          <w:sz w:val="21"/>
          <w:szCs w:val="21"/>
          <w:highlight w:val="none"/>
          <w14:textFill>
            <w14:solidFill>
              <w14:schemeClr w14:val="tx1"/>
            </w14:solidFill>
          </w14:textFill>
        </w:rPr>
        <w:t>项目负责人</w:t>
      </w:r>
      <w:r>
        <w:rPr>
          <w:rFonts w:hint="eastAsia" w:ascii="宋体" w:hAnsi="宋体" w:cs="宋体"/>
          <w:color w:val="000000" w:themeColor="text1"/>
          <w:sz w:val="21"/>
          <w:szCs w:val="21"/>
          <w:highlight w:val="none"/>
          <w14:textFill>
            <w14:solidFill>
              <w14:schemeClr w14:val="tx1"/>
            </w14:solidFill>
          </w14:textFill>
        </w:rPr>
        <w:t>，参与本招标项目的投标。</w:t>
      </w:r>
    </w:p>
    <w:p w14:paraId="628FB918">
      <w:pPr>
        <w:adjustRightIn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本人承诺：</w:t>
      </w:r>
    </w:p>
    <w:p w14:paraId="7067B8DB">
      <w:pPr>
        <w:adjustRightIn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一、中标后履行项目负责人职责，按照合同约定实际到岗履职。</w:t>
      </w:r>
    </w:p>
    <w:p w14:paraId="2676F62C">
      <w:pPr>
        <w:adjustRightIn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二、本承诺函由我单位盖章及本人亲自签字确认。</w:t>
      </w:r>
    </w:p>
    <w:p w14:paraId="1F12C2DE">
      <w:pPr>
        <w:adjustRightInd/>
        <w:spacing w:line="360" w:lineRule="auto"/>
        <w:ind w:firstLine="645"/>
        <w:textAlignment w:val="auto"/>
        <w:rPr>
          <w:rFonts w:ascii="宋体" w:hAnsi="宋体" w:cs="宋体"/>
          <w:color w:val="000000" w:themeColor="text1"/>
          <w:sz w:val="21"/>
          <w:szCs w:val="21"/>
          <w:highlight w:val="none"/>
          <w14:textFill>
            <w14:solidFill>
              <w14:schemeClr w14:val="tx1"/>
            </w14:solidFill>
          </w14:textFill>
        </w:rPr>
      </w:pPr>
    </w:p>
    <w:p w14:paraId="0C9FFEA0">
      <w:pPr>
        <w:adjustRightInd/>
        <w:spacing w:line="360" w:lineRule="auto"/>
        <w:ind w:firstLine="645"/>
        <w:textAlignment w:val="auto"/>
        <w:rPr>
          <w:rFonts w:ascii="宋体" w:hAnsi="宋体" w:cs="宋体"/>
          <w:color w:val="000000" w:themeColor="text1"/>
          <w:sz w:val="21"/>
          <w:szCs w:val="21"/>
          <w:highlight w:val="none"/>
          <w14:textFill>
            <w14:solidFill>
              <w14:schemeClr w14:val="tx1"/>
            </w14:solidFill>
          </w14:textFill>
        </w:rPr>
      </w:pPr>
    </w:p>
    <w:p w14:paraId="32C25798">
      <w:pPr>
        <w:adjustRightInd/>
        <w:spacing w:line="360" w:lineRule="auto"/>
        <w:ind w:firstLine="3045" w:firstLineChars="145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盖投标人单位实体公章</w:t>
      </w:r>
      <w:r>
        <w:rPr>
          <w:rFonts w:hint="eastAsia" w:ascii="宋体" w:hAnsi="宋体" w:cs="宋体"/>
          <w:color w:val="000000" w:themeColor="text1"/>
          <w:sz w:val="21"/>
          <w:szCs w:val="21"/>
          <w:highlight w:val="none"/>
          <w14:textFill>
            <w14:solidFill>
              <w14:schemeClr w14:val="tx1"/>
            </w14:solidFill>
          </w14:textFill>
        </w:rPr>
        <w:t>）</w:t>
      </w:r>
      <w:r>
        <w:rPr>
          <w:rStyle w:val="49"/>
          <w:rFonts w:ascii="宋体" w:hAnsi="宋体" w:cs="宋体"/>
          <w:color w:val="000000" w:themeColor="text1"/>
          <w:sz w:val="21"/>
          <w:szCs w:val="21"/>
          <w:highlight w:val="none"/>
          <w14:textFill>
            <w14:solidFill>
              <w14:schemeClr w14:val="tx1"/>
            </w14:solidFill>
          </w14:textFill>
        </w:rPr>
        <w:footnoteReference w:id="95"/>
      </w:r>
    </w:p>
    <w:p w14:paraId="7B52C3B5">
      <w:pPr>
        <w:adjustRightInd/>
        <w:spacing w:line="360" w:lineRule="auto"/>
        <w:ind w:firstLine="3045" w:firstLineChars="145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拟担任项目负责人：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（签字）</w:t>
      </w:r>
      <w:r>
        <w:rPr>
          <w:rStyle w:val="49"/>
          <w:rFonts w:ascii="宋体" w:hAnsi="宋体" w:cs="宋体"/>
          <w:color w:val="000000" w:themeColor="text1"/>
          <w:sz w:val="21"/>
          <w:szCs w:val="21"/>
          <w:highlight w:val="none"/>
          <w14:textFill>
            <w14:solidFill>
              <w14:schemeClr w14:val="tx1"/>
            </w14:solidFill>
          </w14:textFill>
        </w:rPr>
        <w:footnoteReference w:id="96"/>
      </w:r>
    </w:p>
    <w:p w14:paraId="334F3F3F">
      <w:pPr>
        <w:adjustRightInd/>
        <w:spacing w:line="360" w:lineRule="auto"/>
        <w:ind w:firstLine="3045" w:firstLineChars="145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承诺时间：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14:paraId="39091E9C">
      <w:pPr>
        <w:pStyle w:val="13"/>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14:paraId="53FE2D84">
      <w:pPr>
        <w:pStyle w:val="13"/>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14:paraId="603FD236">
      <w:pPr>
        <w:pStyle w:val="13"/>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14:paraId="2AC732D4">
      <w:pPr>
        <w:pStyle w:val="13"/>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14:paraId="07771B8F">
      <w:pPr>
        <w:pStyle w:val="13"/>
        <w:tabs>
          <w:tab w:val="left" w:pos="1000"/>
        </w:tabs>
        <w:spacing w:beforeLines="100" w:line="360" w:lineRule="auto"/>
        <w:ind w:firstLine="0"/>
        <w:rPr>
          <w:rFonts w:ascii="黑体" w:hAnsi="黑体" w:eastAsia="黑体"/>
          <w:color w:val="000000" w:themeColor="text1"/>
          <w:sz w:val="32"/>
          <w:szCs w:val="32"/>
          <w:highlight w:val="none"/>
          <w14:textFill>
            <w14:solidFill>
              <w14:schemeClr w14:val="tx1"/>
            </w14:solidFill>
          </w14:textFill>
        </w:rPr>
      </w:pPr>
    </w:p>
    <w:p w14:paraId="66B19D16">
      <w:pPr>
        <w:pStyle w:val="13"/>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设计（勘察）项目负责人和其他主要设计人员</w:t>
      </w:r>
    </w:p>
    <w:p w14:paraId="768D4D31">
      <w:pPr>
        <w:pStyle w:val="13"/>
        <w:tabs>
          <w:tab w:val="left" w:pos="1000"/>
        </w:tabs>
        <w:spacing w:line="360" w:lineRule="auto"/>
        <w:ind w:firstLine="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到位承诺书</w:t>
      </w:r>
    </w:p>
    <w:p w14:paraId="077391DE">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（招标人名称）</w:t>
      </w:r>
    </w:p>
    <w:p w14:paraId="55642BEC">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承诺书声明：我方在《附表4：拟担任本项目设计（勘察）人员汇总表》中所填报的拟担任本项目设计项目负责人和其他主要设计人员、勘察负责人和其他主要勘察人员（如有）均系我方（如联合体投标的包括各成员方）正式职工或招标文件允许的外聘人员，保证在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（招标编号）的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（招标项目名称）的设计（勘察）期间按照招标文件和合同的约定承担本项目的设计（勘察）工作。如有违约，我方将接受招标人按照本招标文件和设计合同约定的处罚，并承担全部责任。</w:t>
      </w:r>
    </w:p>
    <w:p w14:paraId="5FBE24A1">
      <w:pPr>
        <w:tabs>
          <w:tab w:val="center" w:pos="4507"/>
        </w:tabs>
        <w:spacing w:line="360" w:lineRule="auto"/>
        <w:ind w:firstLine="480"/>
        <w:rPr>
          <w:rFonts w:ascii="宋体" w:hAnsi="宋体"/>
          <w:color w:val="000000" w:themeColor="text1"/>
          <w:sz w:val="21"/>
          <w:szCs w:val="21"/>
          <w:highlight w:val="none"/>
          <w14:textFill>
            <w14:solidFill>
              <w14:schemeClr w14:val="tx1"/>
            </w14:solidFill>
          </w14:textFill>
        </w:rPr>
      </w:pPr>
    </w:p>
    <w:p w14:paraId="18E274EA">
      <w:pPr>
        <w:pStyle w:val="13"/>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                                投标人：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(盖投标人单位公章)</w:t>
      </w:r>
      <w:r>
        <w:rPr>
          <w:rStyle w:val="49"/>
          <w:rFonts w:ascii="宋体" w:hAnsi="宋体" w:eastAsia="宋体"/>
          <w:color w:val="000000" w:themeColor="text1"/>
          <w:szCs w:val="21"/>
          <w:highlight w:val="none"/>
          <w14:textFill>
            <w14:solidFill>
              <w14:schemeClr w14:val="tx1"/>
            </w14:solidFill>
          </w14:textFill>
        </w:rPr>
        <w:footnoteReference w:id="97"/>
      </w:r>
    </w:p>
    <w:p w14:paraId="4F9593C7">
      <w:pPr>
        <w:pStyle w:val="13"/>
        <w:tabs>
          <w:tab w:val="left" w:pos="1000"/>
        </w:tabs>
        <w:spacing w:line="360" w:lineRule="auto"/>
        <w:ind w:firstLine="3307" w:firstLineChars="1575"/>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7F8F040D">
      <w:pPr>
        <w:pStyle w:val="13"/>
        <w:tabs>
          <w:tab w:val="left" w:pos="1000"/>
        </w:tabs>
        <w:spacing w:line="360" w:lineRule="auto"/>
        <w:ind w:firstLine="2467" w:firstLineChars="1175"/>
        <w:rPr>
          <w:rFonts w:ascii="宋体" w:hAnsi="宋体" w:eastAsia="宋体"/>
          <w:color w:val="000000" w:themeColor="text1"/>
          <w:szCs w:val="21"/>
          <w:highlight w:val="none"/>
          <w14:textFill>
            <w14:solidFill>
              <w14:schemeClr w14:val="tx1"/>
            </w14:solidFill>
          </w14:textFill>
        </w:rPr>
      </w:pPr>
    </w:p>
    <w:p w14:paraId="200D98B9">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47F6173">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0B1F354">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C7FF564">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8E75CEF">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2D0A74D">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767D458B">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A47889F">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3CEEA1F8">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285CB398">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349EB06">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C0F7E1A">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73AD74D3">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10674FC4">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5CBCB6E7">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42EDE5C7">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附表8：投标人和拟担任设计项目负责人“类似项目设计业绩”（如有时）（格式）</w:t>
      </w:r>
    </w:p>
    <w:p w14:paraId="5FF9429C">
      <w:pPr>
        <w:tabs>
          <w:tab w:val="left" w:pos="0"/>
          <w:tab w:val="left" w:pos="567"/>
          <w:tab w:val="left" w:pos="993"/>
          <w:tab w:val="left" w:pos="1134"/>
        </w:tabs>
        <w:snapToGrid w:val="0"/>
        <w:spacing w:before="240" w:after="120" w:line="30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投标人和拟担任项目负责人的“类似项目设计业绩”表</w:t>
      </w:r>
      <w:r>
        <w:rPr>
          <w:rStyle w:val="49"/>
          <w:rFonts w:ascii="黑体" w:hAnsi="黑体" w:eastAsia="黑体"/>
          <w:color w:val="000000" w:themeColor="text1"/>
          <w:sz w:val="32"/>
          <w:szCs w:val="32"/>
          <w:highlight w:val="none"/>
          <w14:textFill>
            <w14:solidFill>
              <w14:schemeClr w14:val="tx1"/>
            </w14:solidFill>
          </w14:textFill>
        </w:rPr>
        <w:footnoteReference w:id="98"/>
      </w:r>
    </w:p>
    <w:tbl>
      <w:tblPr>
        <w:tblStyle w:val="41"/>
        <w:tblW w:w="907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762"/>
        <w:gridCol w:w="1133"/>
        <w:gridCol w:w="1134"/>
        <w:gridCol w:w="1134"/>
        <w:gridCol w:w="992"/>
        <w:gridCol w:w="1417"/>
      </w:tblGrid>
      <w:tr w14:paraId="2E85F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1500" w:type="dxa"/>
            <w:tcBorders>
              <w:tl2br w:val="nil"/>
              <w:tr2bl w:val="nil"/>
            </w:tcBorders>
            <w:vAlign w:val="center"/>
          </w:tcPr>
          <w:p w14:paraId="4C976A2D">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项目名称</w:t>
            </w:r>
          </w:p>
        </w:tc>
        <w:tc>
          <w:tcPr>
            <w:tcW w:w="1762" w:type="dxa"/>
            <w:tcBorders>
              <w:tl2br w:val="nil"/>
              <w:tr2bl w:val="nil"/>
            </w:tcBorders>
            <w:vAlign w:val="center"/>
          </w:tcPr>
          <w:p w14:paraId="72F1B2D3">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133" w:type="dxa"/>
            <w:tcBorders>
              <w:tl2br w:val="nil"/>
              <w:tr2bl w:val="nil"/>
            </w:tcBorders>
            <w:vAlign w:val="center"/>
          </w:tcPr>
          <w:p w14:paraId="4D612CEC">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工程特征</w:t>
            </w:r>
          </w:p>
        </w:tc>
        <w:tc>
          <w:tcPr>
            <w:tcW w:w="1134" w:type="dxa"/>
            <w:tcBorders>
              <w:tl2br w:val="nil"/>
              <w:tr2bl w:val="nil"/>
            </w:tcBorders>
            <w:vAlign w:val="center"/>
          </w:tcPr>
          <w:p w14:paraId="5713D64B">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工程造价</w:t>
            </w:r>
          </w:p>
        </w:tc>
        <w:tc>
          <w:tcPr>
            <w:tcW w:w="1134" w:type="dxa"/>
            <w:tcBorders>
              <w:tl2br w:val="nil"/>
              <w:tr2bl w:val="nil"/>
            </w:tcBorders>
            <w:vAlign w:val="center"/>
          </w:tcPr>
          <w:p w14:paraId="6F287F9E">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项目负责人</w:t>
            </w:r>
          </w:p>
        </w:tc>
        <w:tc>
          <w:tcPr>
            <w:tcW w:w="992" w:type="dxa"/>
            <w:tcBorders>
              <w:tl2br w:val="nil"/>
              <w:tr2bl w:val="nil"/>
            </w:tcBorders>
            <w:vAlign w:val="center"/>
          </w:tcPr>
          <w:p w14:paraId="753E387A">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是否在建</w:t>
            </w:r>
          </w:p>
        </w:tc>
        <w:tc>
          <w:tcPr>
            <w:tcW w:w="1417" w:type="dxa"/>
            <w:tcBorders>
              <w:tl2br w:val="nil"/>
              <w:tr2bl w:val="nil"/>
            </w:tcBorders>
            <w:vAlign w:val="center"/>
          </w:tcPr>
          <w:p w14:paraId="083AC926">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建设单位/联系人、电话</w:t>
            </w:r>
          </w:p>
        </w:tc>
      </w:tr>
      <w:tr w14:paraId="0C962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500" w:type="dxa"/>
            <w:tcBorders>
              <w:tl2br w:val="nil"/>
              <w:tr2bl w:val="nil"/>
            </w:tcBorders>
            <w:vAlign w:val="center"/>
          </w:tcPr>
          <w:p w14:paraId="286A0029">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45E05B14">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78FAC838">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121C98F9">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45A32B22">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07C7AB00">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06B12D8F">
            <w:pPr>
              <w:rPr>
                <w:rFonts w:ascii="宋体" w:hAnsi="宋体"/>
                <w:color w:val="000000" w:themeColor="text1"/>
                <w:sz w:val="21"/>
                <w:szCs w:val="21"/>
                <w:highlight w:val="none"/>
                <w14:textFill>
                  <w14:solidFill>
                    <w14:schemeClr w14:val="tx1"/>
                  </w14:solidFill>
                </w14:textFill>
              </w:rPr>
            </w:pPr>
          </w:p>
        </w:tc>
      </w:tr>
      <w:tr w14:paraId="2E248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tl2br w:val="nil"/>
              <w:tr2bl w:val="nil"/>
            </w:tcBorders>
            <w:vAlign w:val="center"/>
          </w:tcPr>
          <w:p w14:paraId="79C1AB81">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5EDE531E">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0DB321F1">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7AAEEDE8">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6DC020E8">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21C115A0">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2C848B7E">
            <w:pPr>
              <w:rPr>
                <w:rFonts w:ascii="宋体" w:hAnsi="宋体"/>
                <w:color w:val="000000" w:themeColor="text1"/>
                <w:sz w:val="21"/>
                <w:szCs w:val="21"/>
                <w:highlight w:val="none"/>
                <w14:textFill>
                  <w14:solidFill>
                    <w14:schemeClr w14:val="tx1"/>
                  </w14:solidFill>
                </w14:textFill>
              </w:rPr>
            </w:pPr>
          </w:p>
        </w:tc>
      </w:tr>
      <w:tr w14:paraId="05747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tl2br w:val="nil"/>
              <w:tr2bl w:val="nil"/>
            </w:tcBorders>
            <w:vAlign w:val="center"/>
          </w:tcPr>
          <w:p w14:paraId="7C88DC2C">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581B1D6A">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7B62C1A8">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135BF0AB">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78548C91">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181C09FE">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56194E48">
            <w:pPr>
              <w:rPr>
                <w:rFonts w:ascii="宋体" w:hAnsi="宋体"/>
                <w:color w:val="000000" w:themeColor="text1"/>
                <w:sz w:val="21"/>
                <w:szCs w:val="21"/>
                <w:highlight w:val="none"/>
                <w14:textFill>
                  <w14:solidFill>
                    <w14:schemeClr w14:val="tx1"/>
                  </w14:solidFill>
                </w14:textFill>
              </w:rPr>
            </w:pPr>
          </w:p>
        </w:tc>
      </w:tr>
      <w:tr w14:paraId="114A9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tl2br w:val="nil"/>
              <w:tr2bl w:val="nil"/>
            </w:tcBorders>
            <w:vAlign w:val="center"/>
          </w:tcPr>
          <w:p w14:paraId="4C05CAFC">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6305011F">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6C8C0BEF">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6C8B5820">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45888445">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1D4CBA4F">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27D952B6">
            <w:pPr>
              <w:rPr>
                <w:rFonts w:ascii="宋体" w:hAnsi="宋体"/>
                <w:color w:val="000000" w:themeColor="text1"/>
                <w:sz w:val="21"/>
                <w:szCs w:val="21"/>
                <w:highlight w:val="none"/>
                <w14:textFill>
                  <w14:solidFill>
                    <w14:schemeClr w14:val="tx1"/>
                  </w14:solidFill>
                </w14:textFill>
              </w:rPr>
            </w:pPr>
          </w:p>
        </w:tc>
      </w:tr>
      <w:tr w14:paraId="7EBE2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tl2br w:val="nil"/>
              <w:tr2bl w:val="nil"/>
            </w:tcBorders>
            <w:vAlign w:val="center"/>
          </w:tcPr>
          <w:p w14:paraId="55B1AA29">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22940F9F">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40522AE4">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67DC7D70">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3AE366EC">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4D1A063D">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4F9758E6">
            <w:pPr>
              <w:rPr>
                <w:rFonts w:ascii="宋体" w:hAnsi="宋体"/>
                <w:color w:val="000000" w:themeColor="text1"/>
                <w:sz w:val="21"/>
                <w:szCs w:val="21"/>
                <w:highlight w:val="none"/>
                <w14:textFill>
                  <w14:solidFill>
                    <w14:schemeClr w14:val="tx1"/>
                  </w14:solidFill>
                </w14:textFill>
              </w:rPr>
            </w:pPr>
          </w:p>
        </w:tc>
      </w:tr>
      <w:tr w14:paraId="63FBD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500" w:type="dxa"/>
            <w:tcBorders>
              <w:tl2br w:val="nil"/>
              <w:tr2bl w:val="nil"/>
            </w:tcBorders>
            <w:vAlign w:val="center"/>
          </w:tcPr>
          <w:p w14:paraId="3A3CA1F5">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021B1C3B">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160BB535">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5D9EEDA7">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126B7286">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4982EBE7">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25CD30DC">
            <w:pPr>
              <w:rPr>
                <w:rFonts w:ascii="宋体" w:hAnsi="宋体"/>
                <w:color w:val="000000" w:themeColor="text1"/>
                <w:sz w:val="21"/>
                <w:szCs w:val="21"/>
                <w:highlight w:val="none"/>
                <w14:textFill>
                  <w14:solidFill>
                    <w14:schemeClr w14:val="tx1"/>
                  </w14:solidFill>
                </w14:textFill>
              </w:rPr>
            </w:pPr>
          </w:p>
        </w:tc>
      </w:tr>
      <w:tr w14:paraId="342BD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1500" w:type="dxa"/>
            <w:tcBorders>
              <w:tl2br w:val="nil"/>
              <w:tr2bl w:val="nil"/>
            </w:tcBorders>
            <w:vAlign w:val="center"/>
          </w:tcPr>
          <w:p w14:paraId="19A7FC03">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544A8B0D">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36A50FF0">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0A2A735B">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779E36B6">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7DBBED0F">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71338B8A">
            <w:pPr>
              <w:rPr>
                <w:rFonts w:ascii="宋体" w:hAnsi="宋体"/>
                <w:color w:val="000000" w:themeColor="text1"/>
                <w:sz w:val="21"/>
                <w:szCs w:val="21"/>
                <w:highlight w:val="none"/>
                <w14:textFill>
                  <w14:solidFill>
                    <w14:schemeClr w14:val="tx1"/>
                  </w14:solidFill>
                </w14:textFill>
              </w:rPr>
            </w:pPr>
          </w:p>
        </w:tc>
      </w:tr>
      <w:tr w14:paraId="50A89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l2br w:val="nil"/>
              <w:tr2bl w:val="nil"/>
            </w:tcBorders>
            <w:vAlign w:val="center"/>
          </w:tcPr>
          <w:p w14:paraId="6E14B546">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616FE551">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5169F9E3">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578CBECE">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13B0FB8C">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09368858">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3395ADA9">
            <w:pPr>
              <w:rPr>
                <w:rFonts w:ascii="宋体" w:hAnsi="宋体"/>
                <w:color w:val="000000" w:themeColor="text1"/>
                <w:sz w:val="21"/>
                <w:szCs w:val="21"/>
                <w:highlight w:val="none"/>
                <w14:textFill>
                  <w14:solidFill>
                    <w14:schemeClr w14:val="tx1"/>
                  </w14:solidFill>
                </w14:textFill>
              </w:rPr>
            </w:pPr>
          </w:p>
        </w:tc>
      </w:tr>
      <w:tr w14:paraId="15294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l2br w:val="nil"/>
              <w:tr2bl w:val="nil"/>
            </w:tcBorders>
            <w:vAlign w:val="center"/>
          </w:tcPr>
          <w:p w14:paraId="2D9D0451">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3260BEA0">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3ADF114B">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1780BC0F">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6FBA05D2">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3CB3ADA0">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3482BEA1">
            <w:pPr>
              <w:rPr>
                <w:rFonts w:ascii="宋体" w:hAnsi="宋体"/>
                <w:color w:val="000000" w:themeColor="text1"/>
                <w:sz w:val="21"/>
                <w:szCs w:val="21"/>
                <w:highlight w:val="none"/>
                <w14:textFill>
                  <w14:solidFill>
                    <w14:schemeClr w14:val="tx1"/>
                  </w14:solidFill>
                </w14:textFill>
              </w:rPr>
            </w:pPr>
          </w:p>
        </w:tc>
      </w:tr>
      <w:tr w14:paraId="3B5D8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l2br w:val="nil"/>
              <w:tr2bl w:val="nil"/>
            </w:tcBorders>
            <w:vAlign w:val="center"/>
          </w:tcPr>
          <w:p w14:paraId="18F818BE">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48DB253E">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430C79FE">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77092C2D">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1B04A6E2">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58F97666">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4C068129">
            <w:pPr>
              <w:rPr>
                <w:rFonts w:ascii="宋体" w:hAnsi="宋体"/>
                <w:color w:val="000000" w:themeColor="text1"/>
                <w:sz w:val="21"/>
                <w:szCs w:val="21"/>
                <w:highlight w:val="none"/>
                <w14:textFill>
                  <w14:solidFill>
                    <w14:schemeClr w14:val="tx1"/>
                  </w14:solidFill>
                </w14:textFill>
              </w:rPr>
            </w:pPr>
          </w:p>
        </w:tc>
      </w:tr>
      <w:tr w14:paraId="01BA8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500" w:type="dxa"/>
            <w:tcBorders>
              <w:tl2br w:val="nil"/>
              <w:tr2bl w:val="nil"/>
            </w:tcBorders>
            <w:vAlign w:val="center"/>
          </w:tcPr>
          <w:p w14:paraId="13FEB2AE">
            <w:pPr>
              <w:spacing w:line="240" w:lineRule="auto"/>
              <w:rPr>
                <w:rFonts w:ascii="宋体" w:hAnsi="宋体"/>
                <w:color w:val="000000" w:themeColor="text1"/>
                <w:sz w:val="21"/>
                <w:szCs w:val="21"/>
                <w:highlight w:val="none"/>
                <w14:textFill>
                  <w14:solidFill>
                    <w14:schemeClr w14:val="tx1"/>
                  </w14:solidFill>
                </w14:textFill>
              </w:rPr>
            </w:pPr>
          </w:p>
        </w:tc>
        <w:tc>
          <w:tcPr>
            <w:tcW w:w="1762" w:type="dxa"/>
            <w:tcBorders>
              <w:tl2br w:val="nil"/>
              <w:tr2bl w:val="nil"/>
            </w:tcBorders>
            <w:vAlign w:val="center"/>
          </w:tcPr>
          <w:p w14:paraId="16F9791F">
            <w:pPr>
              <w:spacing w:line="240" w:lineRule="auto"/>
              <w:rPr>
                <w:rFonts w:ascii="宋体" w:hAnsi="宋体"/>
                <w:color w:val="000000" w:themeColor="text1"/>
                <w:sz w:val="21"/>
                <w:szCs w:val="21"/>
                <w:highlight w:val="none"/>
                <w14:textFill>
                  <w14:solidFill>
                    <w14:schemeClr w14:val="tx1"/>
                  </w14:solidFill>
                </w14:textFill>
              </w:rPr>
            </w:pPr>
          </w:p>
        </w:tc>
        <w:tc>
          <w:tcPr>
            <w:tcW w:w="1133" w:type="dxa"/>
            <w:tcBorders>
              <w:tl2br w:val="nil"/>
              <w:tr2bl w:val="nil"/>
            </w:tcBorders>
            <w:vAlign w:val="center"/>
          </w:tcPr>
          <w:p w14:paraId="264316A3">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7F741917">
            <w:pPr>
              <w:spacing w:line="240" w:lineRule="auto"/>
              <w:rPr>
                <w:rFonts w:ascii="宋体" w:hAnsi="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14:paraId="2BB3F891">
            <w:pPr>
              <w:spacing w:line="240" w:lineRule="auto"/>
              <w:rPr>
                <w:rFonts w:ascii="宋体" w:hAnsi="宋体"/>
                <w:color w:val="000000" w:themeColor="text1"/>
                <w:sz w:val="21"/>
                <w:szCs w:val="21"/>
                <w:highlight w:val="none"/>
                <w14:textFill>
                  <w14:solidFill>
                    <w14:schemeClr w14:val="tx1"/>
                  </w14:solidFill>
                </w14:textFill>
              </w:rPr>
            </w:pPr>
          </w:p>
        </w:tc>
        <w:tc>
          <w:tcPr>
            <w:tcW w:w="992" w:type="dxa"/>
            <w:tcBorders>
              <w:tl2br w:val="nil"/>
              <w:tr2bl w:val="nil"/>
            </w:tcBorders>
            <w:vAlign w:val="center"/>
          </w:tcPr>
          <w:p w14:paraId="2C3BEE57">
            <w:pPr>
              <w:spacing w:line="240" w:lineRule="auto"/>
              <w:rPr>
                <w:rFonts w:ascii="宋体" w:hAnsi="宋体"/>
                <w:color w:val="000000" w:themeColor="text1"/>
                <w:sz w:val="21"/>
                <w:szCs w:val="21"/>
                <w:highlight w:val="none"/>
                <w14:textFill>
                  <w14:solidFill>
                    <w14:schemeClr w14:val="tx1"/>
                  </w14:solidFill>
                </w14:textFill>
              </w:rPr>
            </w:pPr>
          </w:p>
        </w:tc>
        <w:tc>
          <w:tcPr>
            <w:tcW w:w="1417" w:type="dxa"/>
            <w:tcBorders>
              <w:tl2br w:val="nil"/>
              <w:tr2bl w:val="nil"/>
            </w:tcBorders>
            <w:vAlign w:val="center"/>
          </w:tcPr>
          <w:p w14:paraId="247B7C25">
            <w:pPr>
              <w:rPr>
                <w:rFonts w:ascii="宋体" w:hAnsi="宋体"/>
                <w:color w:val="000000" w:themeColor="text1"/>
                <w:sz w:val="21"/>
                <w:szCs w:val="21"/>
                <w:highlight w:val="none"/>
                <w14:textFill>
                  <w14:solidFill>
                    <w14:schemeClr w14:val="tx1"/>
                  </w14:solidFill>
                </w14:textFill>
              </w:rPr>
            </w:pPr>
          </w:p>
        </w:tc>
      </w:tr>
    </w:tbl>
    <w:p w14:paraId="412680AE">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770E2C6E">
      <w:pPr>
        <w:pStyle w:val="13"/>
        <w:tabs>
          <w:tab w:val="left" w:pos="1000"/>
        </w:tabs>
        <w:spacing w:line="360" w:lineRule="auto"/>
        <w:ind w:firstLine="0"/>
        <w:rPr>
          <w:rFonts w:hint="eastAsia" w:ascii="宋体" w:hAnsi="宋体" w:eastAsia="宋体"/>
          <w:color w:val="000000" w:themeColor="text1"/>
          <w:szCs w:val="21"/>
          <w:highlight w:val="none"/>
          <w14:textFill>
            <w14:solidFill>
              <w14:schemeClr w14:val="tx1"/>
            </w14:solidFill>
          </w14:textFill>
        </w:rPr>
      </w:pPr>
    </w:p>
    <w:p w14:paraId="03EF431A">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附表9：联合体协议书（如有时）（格式）</w:t>
      </w:r>
    </w:p>
    <w:p w14:paraId="7FDA99B2">
      <w:pPr>
        <w:spacing w:beforeLines="100" w:afterLines="50"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联合体协议书</w:t>
      </w:r>
      <w:r>
        <w:rPr>
          <w:rStyle w:val="49"/>
          <w:rFonts w:ascii="黑体" w:hAnsi="黑体" w:eastAsia="黑体"/>
          <w:color w:val="000000" w:themeColor="text1"/>
          <w:sz w:val="32"/>
          <w:szCs w:val="32"/>
          <w:highlight w:val="none"/>
          <w14:textFill>
            <w14:solidFill>
              <w14:schemeClr w14:val="tx1"/>
            </w14:solidFill>
          </w14:textFill>
        </w:rPr>
        <w:footnoteReference w:id="99"/>
      </w:r>
    </w:p>
    <w:p w14:paraId="65D1F099">
      <w:pPr>
        <w:pStyle w:val="17"/>
        <w:tabs>
          <w:tab w:val="left" w:pos="2202"/>
          <w:tab w:val="left" w:pos="6000"/>
        </w:tabs>
        <w:spacing w:after="0" w:line="360" w:lineRule="auto"/>
        <w:ind w:firstLine="594" w:firstLineChars="283"/>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所有成员单位名称）自愿组成</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（联合体名称）联合体，共同参加</w:t>
      </w:r>
      <w:r>
        <w:rPr>
          <w:rFonts w:hint="eastAsia" w:ascii="宋体" w:hAnsi="宋体"/>
          <w:color w:val="000000" w:themeColor="text1"/>
          <w:sz w:val="21"/>
          <w:szCs w:val="21"/>
          <w:highlight w:val="none"/>
          <w14:textFill>
            <w14:solidFill>
              <w14:schemeClr w14:val="tx1"/>
            </w14:solidFill>
          </w14:textFill>
        </w:rPr>
        <w:t>编号</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（项目名称）设计</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招标项目投标。现就联合体投标事宜订立如下协议。</w:t>
      </w:r>
    </w:p>
    <w:p w14:paraId="757574D9">
      <w:pPr>
        <w:pStyle w:val="17"/>
        <w:tabs>
          <w:tab w:val="left" w:pos="2673"/>
          <w:tab w:val="left" w:pos="5614"/>
        </w:tabs>
        <w:spacing w:after="0"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某成员单位名称）为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（联合体名称）牵头人。</w:t>
      </w:r>
    </w:p>
    <w:p w14:paraId="59A122AE">
      <w:pPr>
        <w:pStyle w:val="17"/>
        <w:spacing w:after="0" w:line="360" w:lineRule="auto"/>
        <w:ind w:firstLine="41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2.联合体各成员授权牵头人代表联合体参加投标活动，签署文件，提交和接收相关的资料、 信息及指示，进行合同谈判活动，负责合同实施阶段的组织和协调工作，以及处理与本招标项目有关的一切事宜。</w:t>
      </w:r>
    </w:p>
    <w:p w14:paraId="7096D356">
      <w:pPr>
        <w:pStyle w:val="17"/>
        <w:spacing w:after="0" w:line="360" w:lineRule="auto"/>
        <w:ind w:firstLine="41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3.联合体牵头人在本项目中签署的一切文件和处理的一切事宜，联合体各成员均予以承认。联合体各成员将严格按照招标文件、投标文件和合同的要求全面履行义务，并向招标人承担连带责任。</w:t>
      </w:r>
    </w:p>
    <w:p w14:paraId="56B7541C">
      <w:pPr>
        <w:pStyle w:val="17"/>
        <w:tabs>
          <w:tab w:val="left" w:pos="8850"/>
        </w:tabs>
        <w:spacing w:after="0"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ascii="宋体" w:hAnsi="宋体"/>
          <w:color w:val="000000" w:themeColor="text1"/>
          <w:spacing w:val="-3"/>
          <w:sz w:val="21"/>
          <w:szCs w:val="21"/>
          <w:highlight w:val="none"/>
          <w14:textFill>
            <w14:solidFill>
              <w14:schemeClr w14:val="tx1"/>
            </w14:solidFill>
          </w14:textFill>
        </w:rPr>
        <w:t>联合体各成员单位内部的职责分工如下：</w:t>
      </w:r>
      <w:r>
        <w:rPr>
          <w:rFonts w:ascii="宋体" w:hAnsi="宋体"/>
          <w:color w:val="000000" w:themeColor="text1"/>
          <w:spacing w:val="-3"/>
          <w:sz w:val="21"/>
          <w:szCs w:val="21"/>
          <w:highlight w:val="none"/>
          <w:u w:val="single"/>
          <w14:textFill>
            <w14:solidFill>
              <w14:schemeClr w14:val="tx1"/>
            </w14:solidFill>
          </w14:textFill>
        </w:rPr>
        <w:tab/>
      </w:r>
      <w:r>
        <w:rPr>
          <w:rFonts w:hint="eastAsia" w:ascii="宋体" w:hAnsi="宋体"/>
          <w:color w:val="000000" w:themeColor="text1"/>
          <w:spacing w:val="-3"/>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p>
    <w:p w14:paraId="2A7DFB77">
      <w:pPr>
        <w:pStyle w:val="17"/>
        <w:spacing w:after="0" w:line="360" w:lineRule="auto"/>
        <w:ind w:firstLine="41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5.本协议书自所有成员单位法定代表人</w:t>
      </w:r>
      <w:r>
        <w:rPr>
          <w:rFonts w:hint="eastAsia" w:ascii="宋体" w:hAnsi="宋体"/>
          <w:color w:val="000000" w:themeColor="text1"/>
          <w:sz w:val="21"/>
          <w:szCs w:val="21"/>
          <w:highlight w:val="none"/>
          <w14:textFill>
            <w14:solidFill>
              <w14:schemeClr w14:val="tx1"/>
            </w14:solidFill>
          </w14:textFill>
        </w:rPr>
        <w:t>盖章并加</w:t>
      </w:r>
      <w:r>
        <w:rPr>
          <w:rFonts w:ascii="宋体" w:hAnsi="宋体"/>
          <w:color w:val="000000" w:themeColor="text1"/>
          <w:sz w:val="21"/>
          <w:szCs w:val="21"/>
          <w:highlight w:val="none"/>
          <w14:textFill>
            <w14:solidFill>
              <w14:schemeClr w14:val="tx1"/>
            </w14:solidFill>
          </w14:textFill>
        </w:rPr>
        <w:t>盖单位</w:t>
      </w:r>
      <w:r>
        <w:rPr>
          <w:rFonts w:hint="eastAsia" w:ascii="宋体" w:hAnsi="宋体"/>
          <w:color w:val="000000" w:themeColor="text1"/>
          <w:sz w:val="21"/>
          <w:szCs w:val="21"/>
          <w:highlight w:val="none"/>
          <w14:textFill>
            <w14:solidFill>
              <w14:schemeClr w14:val="tx1"/>
            </w14:solidFill>
          </w14:textFill>
        </w:rPr>
        <w:t>公章</w:t>
      </w:r>
      <w:r>
        <w:rPr>
          <w:rFonts w:ascii="宋体" w:hAnsi="宋体"/>
          <w:color w:val="000000" w:themeColor="text1"/>
          <w:sz w:val="21"/>
          <w:szCs w:val="21"/>
          <w:highlight w:val="none"/>
          <w14:textFill>
            <w14:solidFill>
              <w14:schemeClr w14:val="tx1"/>
            </w14:solidFill>
          </w14:textFill>
        </w:rPr>
        <w:t>之日起生效，合同履行完毕后自动失效。</w:t>
      </w:r>
    </w:p>
    <w:p w14:paraId="3D8445A1">
      <w:pPr>
        <w:pStyle w:val="17"/>
        <w:tabs>
          <w:tab w:val="left" w:pos="2464"/>
        </w:tabs>
        <w:spacing w:after="0"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6.本协议书一式</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14:textFill>
            <w14:solidFill>
              <w14:schemeClr w14:val="tx1"/>
            </w14:solidFill>
          </w14:textFill>
        </w:rPr>
        <w:t>份，联合体成员和招标人各执一份。</w:t>
      </w:r>
    </w:p>
    <w:p w14:paraId="50C65A3B">
      <w:pPr>
        <w:pStyle w:val="17"/>
        <w:tabs>
          <w:tab w:val="left" w:pos="6930"/>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联合体牵头人名称：</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盖投标人单位公章</w:t>
      </w:r>
      <w:r>
        <w:rPr>
          <w:rFonts w:ascii="宋体" w:hAnsi="宋体"/>
          <w:color w:val="000000" w:themeColor="text1"/>
          <w:sz w:val="21"/>
          <w:szCs w:val="21"/>
          <w:highlight w:val="none"/>
          <w14:textFill>
            <w14:solidFill>
              <w14:schemeClr w14:val="tx1"/>
            </w14:solidFill>
          </w14:textFill>
        </w:rPr>
        <w:t>）</w:t>
      </w:r>
    </w:p>
    <w:p w14:paraId="5227D7BE">
      <w:pPr>
        <w:pStyle w:val="17"/>
        <w:tabs>
          <w:tab w:val="left" w:pos="7035"/>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签字或盖章</w:t>
      </w:r>
      <w:r>
        <w:rPr>
          <w:rFonts w:ascii="宋体" w:hAnsi="宋体"/>
          <w:color w:val="000000" w:themeColor="text1"/>
          <w:sz w:val="21"/>
          <w:szCs w:val="21"/>
          <w:highlight w:val="none"/>
          <w14:textFill>
            <w14:solidFill>
              <w14:schemeClr w14:val="tx1"/>
            </w14:solidFill>
          </w14:textFill>
        </w:rPr>
        <w:t>）</w:t>
      </w:r>
    </w:p>
    <w:p w14:paraId="34421216">
      <w:pPr>
        <w:pStyle w:val="17"/>
        <w:spacing w:after="0"/>
        <w:ind w:firstLine="1274" w:firstLineChars="607"/>
        <w:rPr>
          <w:rFonts w:ascii="宋体" w:hAnsi="宋体"/>
          <w:color w:val="000000" w:themeColor="text1"/>
          <w:sz w:val="21"/>
          <w:szCs w:val="21"/>
          <w:highlight w:val="none"/>
          <w14:textFill>
            <w14:solidFill>
              <w14:schemeClr w14:val="tx1"/>
            </w14:solidFill>
          </w14:textFill>
        </w:rPr>
      </w:pPr>
    </w:p>
    <w:p w14:paraId="25FBB7EF">
      <w:pPr>
        <w:pStyle w:val="17"/>
        <w:tabs>
          <w:tab w:val="left" w:pos="6930"/>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联合体成员名称：</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盖投标人单位公章</w:t>
      </w:r>
      <w:r>
        <w:rPr>
          <w:rFonts w:ascii="宋体" w:hAnsi="宋体"/>
          <w:color w:val="000000" w:themeColor="text1"/>
          <w:sz w:val="21"/>
          <w:szCs w:val="21"/>
          <w:highlight w:val="none"/>
          <w14:textFill>
            <w14:solidFill>
              <w14:schemeClr w14:val="tx1"/>
            </w14:solidFill>
          </w14:textFill>
        </w:rPr>
        <w:t>）</w:t>
      </w:r>
    </w:p>
    <w:p w14:paraId="0963992C">
      <w:pPr>
        <w:pStyle w:val="17"/>
        <w:tabs>
          <w:tab w:val="left" w:pos="6401"/>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签字或盖章</w:t>
      </w:r>
      <w:r>
        <w:rPr>
          <w:rFonts w:ascii="宋体" w:hAnsi="宋体"/>
          <w:color w:val="000000" w:themeColor="text1"/>
          <w:sz w:val="21"/>
          <w:szCs w:val="21"/>
          <w:highlight w:val="none"/>
          <w14:textFill>
            <w14:solidFill>
              <w14:schemeClr w14:val="tx1"/>
            </w14:solidFill>
          </w14:textFill>
        </w:rPr>
        <w:t>）</w:t>
      </w:r>
    </w:p>
    <w:p w14:paraId="1C08E549">
      <w:pPr>
        <w:pStyle w:val="17"/>
        <w:spacing w:after="0"/>
        <w:ind w:firstLine="1274" w:firstLineChars="607"/>
        <w:rPr>
          <w:rFonts w:ascii="宋体" w:hAnsi="宋体"/>
          <w:color w:val="000000" w:themeColor="text1"/>
          <w:sz w:val="21"/>
          <w:szCs w:val="21"/>
          <w:highlight w:val="none"/>
          <w14:textFill>
            <w14:solidFill>
              <w14:schemeClr w14:val="tx1"/>
            </w14:solidFill>
          </w14:textFill>
        </w:rPr>
      </w:pPr>
    </w:p>
    <w:p w14:paraId="7FA6C948">
      <w:pPr>
        <w:pStyle w:val="17"/>
        <w:tabs>
          <w:tab w:val="left" w:pos="6930"/>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联合体成员名称：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盖投标人单位公章</w:t>
      </w:r>
      <w:r>
        <w:rPr>
          <w:rFonts w:ascii="宋体" w:hAnsi="宋体"/>
          <w:color w:val="000000" w:themeColor="text1"/>
          <w:sz w:val="21"/>
          <w:szCs w:val="21"/>
          <w:highlight w:val="none"/>
          <w14:textFill>
            <w14:solidFill>
              <w14:schemeClr w14:val="tx1"/>
            </w14:solidFill>
          </w14:textFill>
        </w:rPr>
        <w:t>）</w:t>
      </w:r>
    </w:p>
    <w:p w14:paraId="23CCF034">
      <w:pPr>
        <w:pStyle w:val="17"/>
        <w:tabs>
          <w:tab w:val="left" w:pos="6401"/>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签字或盖章</w:t>
      </w:r>
      <w:r>
        <w:rPr>
          <w:rFonts w:ascii="宋体" w:hAnsi="宋体"/>
          <w:color w:val="000000" w:themeColor="text1"/>
          <w:sz w:val="21"/>
          <w:szCs w:val="21"/>
          <w:highlight w:val="none"/>
          <w14:textFill>
            <w14:solidFill>
              <w14:schemeClr w14:val="tx1"/>
            </w14:solidFill>
          </w14:textFill>
        </w:rPr>
        <w:t>）</w:t>
      </w:r>
    </w:p>
    <w:p w14:paraId="40712E41">
      <w:pPr>
        <w:pStyle w:val="17"/>
        <w:spacing w:after="0"/>
        <w:rPr>
          <w:rFonts w:ascii="宋体" w:hAnsi="宋体"/>
          <w:color w:val="000000" w:themeColor="text1"/>
          <w:sz w:val="21"/>
          <w:szCs w:val="21"/>
          <w:highlight w:val="none"/>
          <w14:textFill>
            <w14:solidFill>
              <w14:schemeClr w14:val="tx1"/>
            </w14:solidFill>
          </w14:textFill>
        </w:rPr>
      </w:pPr>
    </w:p>
    <w:p w14:paraId="680F259C">
      <w:pPr>
        <w:pStyle w:val="17"/>
        <w:spacing w:after="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p>
    <w:p w14:paraId="65A84141">
      <w:pPr>
        <w:spacing w:line="480" w:lineRule="auto"/>
        <w:ind w:firstLine="6090" w:firstLineChars="2900"/>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pacing w:val="-3"/>
          <w:sz w:val="21"/>
          <w:szCs w:val="21"/>
          <w:highlight w:val="none"/>
          <w14:textFill>
            <w14:solidFill>
              <w14:schemeClr w14:val="tx1"/>
            </w14:solidFill>
          </w14:textFill>
        </w:rPr>
        <w:t>月</w:t>
      </w:r>
      <w:r>
        <w:rPr>
          <w:rFonts w:ascii="宋体" w:hAnsi="宋体"/>
          <w:color w:val="000000" w:themeColor="text1"/>
          <w:spacing w:val="-3"/>
          <w:sz w:val="21"/>
          <w:szCs w:val="21"/>
          <w:highlight w:val="none"/>
          <w:u w:val="single"/>
          <w14:textFill>
            <w14:solidFill>
              <w14:schemeClr w14:val="tx1"/>
            </w14:solidFill>
          </w14:textFill>
        </w:rPr>
        <w:t xml:space="preserve"> </w:t>
      </w:r>
      <w:r>
        <w:rPr>
          <w:rFonts w:hint="eastAsia" w:ascii="宋体" w:hAnsi="宋体"/>
          <w:color w:val="000000" w:themeColor="text1"/>
          <w:spacing w:val="-3"/>
          <w:sz w:val="21"/>
          <w:szCs w:val="21"/>
          <w:highlight w:val="none"/>
          <w:u w:val="single"/>
          <w14:textFill>
            <w14:solidFill>
              <w14:schemeClr w14:val="tx1"/>
            </w14:solidFill>
          </w14:textFill>
        </w:rPr>
        <w:t xml:space="preserve">  </w:t>
      </w:r>
      <w:r>
        <w:rPr>
          <w:rFonts w:ascii="宋体" w:hAnsi="宋体"/>
          <w:color w:val="000000" w:themeColor="text1"/>
          <w:spacing w:val="-3"/>
          <w:sz w:val="21"/>
          <w:szCs w:val="21"/>
          <w:highlight w:val="none"/>
          <w:u w:val="single"/>
          <w14:textFill>
            <w14:solidFill>
              <w14:schemeClr w14:val="tx1"/>
            </w14:solidFill>
          </w14:textFill>
        </w:rPr>
        <w:tab/>
      </w:r>
      <w:r>
        <w:rPr>
          <w:rFonts w:ascii="宋体" w:hAnsi="宋体"/>
          <w:color w:val="000000" w:themeColor="text1"/>
          <w:sz w:val="21"/>
          <w:szCs w:val="21"/>
          <w:highlight w:val="none"/>
          <w14:textFill>
            <w14:solidFill>
              <w14:schemeClr w14:val="tx1"/>
            </w14:solidFill>
          </w14:textFill>
        </w:rPr>
        <w:t>日</w:t>
      </w:r>
    </w:p>
    <w:p w14:paraId="754EC436">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附表10：其他需要提交的资料</w:t>
      </w:r>
    </w:p>
    <w:p w14:paraId="36FCCDD9">
      <w:pPr>
        <w:spacing w:beforeLines="100" w:afterLines="50" w:line="360" w:lineRule="auto"/>
        <w:jc w:val="center"/>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其他需要提交的资料</w:t>
      </w:r>
      <w:r>
        <w:rPr>
          <w:rStyle w:val="49"/>
          <w:rFonts w:hint="eastAsia" w:ascii="黑体" w:hAnsi="黑体" w:eastAsia="黑体"/>
          <w:color w:val="000000" w:themeColor="text1"/>
          <w:sz w:val="32"/>
          <w:szCs w:val="32"/>
          <w:highlight w:val="none"/>
          <w14:textFill>
            <w14:solidFill>
              <w14:schemeClr w14:val="tx1"/>
            </w14:solidFill>
          </w14:textFill>
        </w:rPr>
        <w:footnoteReference w:id="100"/>
      </w:r>
    </w:p>
    <w:p w14:paraId="6D18BFBC">
      <w:pPr>
        <w:pStyle w:val="13"/>
        <w:keepNext w:val="0"/>
        <w:keepLines w:val="0"/>
        <w:pageBreakBefore w:val="0"/>
        <w:widowControl w:val="0"/>
        <w:numPr>
          <w:ilvl w:val="0"/>
          <w:numId w:val="0"/>
        </w:numPr>
        <w:tabs>
          <w:tab w:val="left" w:pos="113"/>
          <w:tab w:val="left" w:pos="1000"/>
        </w:tabs>
        <w:kinsoku/>
        <w:wordWrap/>
        <w:overflowPunct/>
        <w:topLinePunct w:val="0"/>
        <w:autoSpaceDE/>
        <w:autoSpaceDN/>
        <w:bidi w:val="0"/>
        <w:adjustRightInd w:val="0"/>
        <w:snapToGrid/>
        <w:spacing w:line="360" w:lineRule="auto"/>
        <w:ind w:left="0" w:leftChars="0" w:firstLine="399" w:firstLineChars="190"/>
        <w:textAlignment w:val="baseline"/>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被最高人民法院在“信用中国”网站或各级信用信息共享平台中列入失信被执行人名单</w:t>
      </w:r>
      <w:r>
        <w:rPr>
          <w:rFonts w:hint="eastAsia" w:ascii="宋体" w:hAnsi="宋体" w:eastAsia="宋体" w:cs="宋体"/>
          <w:color w:val="000000" w:themeColor="text1"/>
          <w:kern w:val="1"/>
          <w:szCs w:val="21"/>
          <w:highlight w:val="none"/>
          <w:lang w:val="en-US" w:eastAsia="zh-CN"/>
          <w14:textFill>
            <w14:solidFill>
              <w14:schemeClr w14:val="tx1"/>
            </w14:solidFill>
          </w14:textFill>
        </w:rPr>
        <w:t>且属于</w:t>
      </w:r>
      <w:r>
        <w:rPr>
          <w:rFonts w:hint="eastAsia" w:ascii="宋体" w:hAnsi="宋体" w:eastAsia="宋体" w:cs="宋体"/>
          <w:bCs/>
          <w:iCs/>
          <w:strike w:val="0"/>
          <w:color w:val="000000" w:themeColor="text1"/>
          <w:szCs w:val="21"/>
          <w:highlight w:val="none"/>
          <w:lang w:val="en-US" w:eastAsia="zh-CN"/>
          <w14:textFill>
            <w14:solidFill>
              <w14:schemeClr w14:val="tx1"/>
            </w14:solidFill>
          </w14:textFill>
        </w:rPr>
        <w:t>人民法院裁定批准重整计划、认可和解协议情形的，投标人应提供相关</w:t>
      </w:r>
      <w:r>
        <w:rPr>
          <w:rFonts w:hint="eastAsia" w:ascii="宋体" w:hAnsi="宋体" w:eastAsia="宋体" w:cs="宋体"/>
          <w:color w:val="000000" w:themeColor="text1"/>
          <w:kern w:val="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2B49D088">
      <w:pPr>
        <w:pStyle w:val="13"/>
        <w:keepNext w:val="0"/>
        <w:keepLines w:val="0"/>
        <w:pageBreakBefore w:val="0"/>
        <w:widowControl w:val="0"/>
        <w:numPr>
          <w:ilvl w:val="0"/>
          <w:numId w:val="0"/>
        </w:numPr>
        <w:tabs>
          <w:tab w:val="left" w:pos="113"/>
          <w:tab w:val="left" w:pos="1000"/>
        </w:tabs>
        <w:kinsoku/>
        <w:wordWrap/>
        <w:overflowPunct/>
        <w:topLinePunct w:val="0"/>
        <w:autoSpaceDE/>
        <w:autoSpaceDN/>
        <w:bidi w:val="0"/>
        <w:adjustRightInd w:val="0"/>
        <w:snapToGrid/>
        <w:spacing w:line="360" w:lineRule="auto"/>
        <w:ind w:left="0" w:leftChars="0" w:firstLine="399" w:firstLineChars="190"/>
        <w:textAlignment w:val="baseline"/>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2.其他</w:t>
      </w:r>
    </w:p>
    <w:p w14:paraId="4E78A8E2">
      <w:pPr>
        <w:pStyle w:val="13"/>
        <w:keepNext w:val="0"/>
        <w:keepLines w:val="0"/>
        <w:pageBreakBefore w:val="0"/>
        <w:widowControl w:val="0"/>
        <w:numPr>
          <w:ilvl w:val="0"/>
          <w:numId w:val="0"/>
        </w:numPr>
        <w:tabs>
          <w:tab w:val="left" w:pos="113"/>
          <w:tab w:val="left" w:pos="1000"/>
        </w:tabs>
        <w:kinsoku/>
        <w:wordWrap/>
        <w:overflowPunct/>
        <w:topLinePunct w:val="0"/>
        <w:autoSpaceDE/>
        <w:autoSpaceDN/>
        <w:bidi w:val="0"/>
        <w:adjustRightInd w:val="0"/>
        <w:snapToGrid/>
        <w:spacing w:line="360" w:lineRule="auto"/>
        <w:ind w:left="0" w:leftChars="0" w:firstLine="399" w:firstLineChars="190"/>
        <w:textAlignment w:val="baseline"/>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1"/>
          <w:szCs w:val="21"/>
          <w:highlight w:val="none"/>
          <w:lang w:val="en-US" w:eastAsia="zh-CN"/>
          <w14:textFill>
            <w14:solidFill>
              <w14:schemeClr w14:val="tx1"/>
            </w14:solidFill>
          </w14:textFill>
        </w:rPr>
        <w:t>……</w:t>
      </w:r>
    </w:p>
    <w:p w14:paraId="1960C4A6">
      <w:pPr>
        <w:spacing w:after="100" w:afterAutospacing="1" w:line="360" w:lineRule="auto"/>
        <w:rPr>
          <w:rFonts w:ascii="宋体" w:hAnsi="宋体"/>
          <w:color w:val="000000" w:themeColor="text1"/>
          <w:szCs w:val="21"/>
          <w:highlight w:val="none"/>
          <w14:textFill>
            <w14:solidFill>
              <w14:schemeClr w14:val="tx1"/>
            </w14:solidFill>
          </w14:textFill>
        </w:rPr>
      </w:pPr>
      <w:bookmarkStart w:id="1002" w:name="_Toc6084"/>
      <w:bookmarkStart w:id="1003" w:name="_Toc516753563"/>
      <w:bookmarkStart w:id="1004" w:name="_Toc300038999"/>
      <w:bookmarkStart w:id="1005" w:name="_Toc7568"/>
    </w:p>
    <w:p w14:paraId="215FC260">
      <w:pPr>
        <w:spacing w:after="100" w:afterAutospacing="1" w:line="360" w:lineRule="auto"/>
        <w:rPr>
          <w:rFonts w:ascii="宋体" w:hAnsi="宋体"/>
          <w:color w:val="000000" w:themeColor="text1"/>
          <w:szCs w:val="21"/>
          <w:highlight w:val="none"/>
          <w14:textFill>
            <w14:solidFill>
              <w14:schemeClr w14:val="tx1"/>
            </w14:solidFill>
          </w14:textFill>
        </w:rPr>
      </w:pPr>
    </w:p>
    <w:p w14:paraId="671E441E">
      <w:pPr>
        <w:spacing w:after="100" w:afterAutospacing="1" w:line="360" w:lineRule="auto"/>
        <w:rPr>
          <w:rFonts w:ascii="宋体" w:hAnsi="宋体"/>
          <w:color w:val="000000" w:themeColor="text1"/>
          <w:szCs w:val="21"/>
          <w:highlight w:val="none"/>
          <w14:textFill>
            <w14:solidFill>
              <w14:schemeClr w14:val="tx1"/>
            </w14:solidFill>
          </w14:textFill>
        </w:rPr>
      </w:pPr>
    </w:p>
    <w:p w14:paraId="284894FC">
      <w:pPr>
        <w:spacing w:after="100" w:afterAutospacing="1" w:line="360" w:lineRule="auto"/>
        <w:rPr>
          <w:rFonts w:ascii="宋体" w:hAnsi="宋体"/>
          <w:color w:val="000000" w:themeColor="text1"/>
          <w:szCs w:val="21"/>
          <w:highlight w:val="none"/>
          <w14:textFill>
            <w14:solidFill>
              <w14:schemeClr w14:val="tx1"/>
            </w14:solidFill>
          </w14:textFill>
        </w:rPr>
      </w:pPr>
    </w:p>
    <w:p w14:paraId="00DC6301">
      <w:pPr>
        <w:spacing w:after="100" w:afterAutospacing="1" w:line="360" w:lineRule="auto"/>
        <w:rPr>
          <w:rFonts w:ascii="宋体" w:hAnsi="宋体"/>
          <w:color w:val="000000" w:themeColor="text1"/>
          <w:szCs w:val="21"/>
          <w:highlight w:val="none"/>
          <w14:textFill>
            <w14:solidFill>
              <w14:schemeClr w14:val="tx1"/>
            </w14:solidFill>
          </w14:textFill>
        </w:rPr>
      </w:pPr>
    </w:p>
    <w:p w14:paraId="39EE571B">
      <w:pPr>
        <w:spacing w:after="100" w:afterAutospacing="1" w:line="360" w:lineRule="auto"/>
        <w:rPr>
          <w:rFonts w:ascii="宋体" w:hAnsi="宋体"/>
          <w:color w:val="000000" w:themeColor="text1"/>
          <w:szCs w:val="21"/>
          <w:highlight w:val="none"/>
          <w14:textFill>
            <w14:solidFill>
              <w14:schemeClr w14:val="tx1"/>
            </w14:solidFill>
          </w14:textFill>
        </w:rPr>
      </w:pPr>
    </w:p>
    <w:p w14:paraId="573671D1">
      <w:pPr>
        <w:spacing w:after="100" w:afterAutospacing="1" w:line="360" w:lineRule="auto"/>
        <w:rPr>
          <w:rFonts w:ascii="宋体" w:hAnsi="宋体"/>
          <w:color w:val="000000" w:themeColor="text1"/>
          <w:szCs w:val="21"/>
          <w:highlight w:val="none"/>
          <w14:textFill>
            <w14:solidFill>
              <w14:schemeClr w14:val="tx1"/>
            </w14:solidFill>
          </w14:textFill>
        </w:rPr>
      </w:pPr>
    </w:p>
    <w:p w14:paraId="1D9FA638">
      <w:pPr>
        <w:spacing w:after="100" w:afterAutospacing="1" w:line="360" w:lineRule="auto"/>
        <w:rPr>
          <w:rFonts w:ascii="宋体" w:hAnsi="宋体"/>
          <w:color w:val="000000" w:themeColor="text1"/>
          <w:szCs w:val="21"/>
          <w:highlight w:val="none"/>
          <w14:textFill>
            <w14:solidFill>
              <w14:schemeClr w14:val="tx1"/>
            </w14:solidFill>
          </w14:textFill>
        </w:rPr>
      </w:pPr>
    </w:p>
    <w:p w14:paraId="25B13DAA">
      <w:pPr>
        <w:spacing w:after="100" w:afterAutospacing="1" w:line="360" w:lineRule="auto"/>
        <w:rPr>
          <w:rFonts w:ascii="宋体" w:hAnsi="宋体"/>
          <w:color w:val="000000" w:themeColor="text1"/>
          <w:szCs w:val="21"/>
          <w:highlight w:val="none"/>
          <w14:textFill>
            <w14:solidFill>
              <w14:schemeClr w14:val="tx1"/>
            </w14:solidFill>
          </w14:textFill>
        </w:rPr>
      </w:pPr>
    </w:p>
    <w:p w14:paraId="54C8F3BE">
      <w:pPr>
        <w:spacing w:after="100" w:afterAutospacing="1" w:line="360" w:lineRule="auto"/>
        <w:rPr>
          <w:rFonts w:ascii="宋体" w:hAnsi="宋体"/>
          <w:color w:val="000000" w:themeColor="text1"/>
          <w:szCs w:val="21"/>
          <w:highlight w:val="none"/>
          <w14:textFill>
            <w14:solidFill>
              <w14:schemeClr w14:val="tx1"/>
            </w14:solidFill>
          </w14:textFill>
        </w:rPr>
      </w:pPr>
    </w:p>
    <w:p w14:paraId="2461F808">
      <w:pPr>
        <w:spacing w:after="100" w:afterAutospacing="1" w:line="360" w:lineRule="auto"/>
        <w:rPr>
          <w:rFonts w:ascii="宋体" w:hAnsi="宋体"/>
          <w:color w:val="000000" w:themeColor="text1"/>
          <w:szCs w:val="21"/>
          <w:highlight w:val="none"/>
          <w14:textFill>
            <w14:solidFill>
              <w14:schemeClr w14:val="tx1"/>
            </w14:solidFill>
          </w14:textFill>
        </w:rPr>
      </w:pPr>
    </w:p>
    <w:p w14:paraId="06FBC8F6">
      <w:pPr>
        <w:spacing w:after="100" w:afterAutospacing="1" w:line="360" w:lineRule="auto"/>
        <w:rPr>
          <w:rFonts w:ascii="宋体" w:hAnsi="宋体"/>
          <w:color w:val="000000" w:themeColor="text1"/>
          <w:szCs w:val="21"/>
          <w:highlight w:val="none"/>
          <w14:textFill>
            <w14:solidFill>
              <w14:schemeClr w14:val="tx1"/>
            </w14:solidFill>
          </w14:textFill>
        </w:rPr>
      </w:pPr>
    </w:p>
    <w:p w14:paraId="2CBC6FFB">
      <w:pPr>
        <w:pStyle w:val="3"/>
        <w:spacing w:before="0" w:after="0" w:line="360" w:lineRule="auto"/>
        <w:rPr>
          <w:rFonts w:ascii="宋体" w:hAnsi="宋体" w:eastAsia="宋体"/>
          <w:color w:val="000000" w:themeColor="text1"/>
          <w:sz w:val="44"/>
          <w:szCs w:val="44"/>
          <w:highlight w:val="none"/>
          <w14:textFill>
            <w14:solidFill>
              <w14:schemeClr w14:val="tx1"/>
            </w14:solidFill>
          </w14:textFill>
        </w:rPr>
      </w:pPr>
    </w:p>
    <w:p w14:paraId="7E7386E4">
      <w:pPr>
        <w:pStyle w:val="4"/>
        <w:spacing w:before="3000"/>
        <w:jc w:val="center"/>
        <w:rPr>
          <w:rFonts w:ascii="黑体" w:hAnsi="黑体" w:eastAsia="黑体"/>
          <w:b w:val="0"/>
          <w:color w:val="000000" w:themeColor="text1"/>
          <w:highlight w:val="none"/>
          <w14:textFill>
            <w14:solidFill>
              <w14:schemeClr w14:val="tx1"/>
            </w14:solidFill>
          </w14:textFill>
        </w:rPr>
      </w:pPr>
      <w:bookmarkStart w:id="1006" w:name="_Toc8858"/>
      <w:bookmarkStart w:id="1007" w:name="_Toc13228"/>
      <w:bookmarkStart w:id="1008" w:name="_Toc3155"/>
      <w:r>
        <w:rPr>
          <w:rFonts w:hint="eastAsia" w:ascii="黑体" w:hAnsi="黑体" w:eastAsia="黑体"/>
          <w:b w:val="0"/>
          <w:color w:val="000000" w:themeColor="text1"/>
          <w:highlight w:val="none"/>
          <w14:textFill>
            <w14:solidFill>
              <w14:schemeClr w14:val="tx1"/>
            </w14:solidFill>
          </w14:textFill>
        </w:rPr>
        <w:t>二、商务文件</w:t>
      </w:r>
      <w:bookmarkEnd w:id="1002"/>
      <w:bookmarkEnd w:id="1003"/>
      <w:bookmarkEnd w:id="1004"/>
      <w:bookmarkEnd w:id="1005"/>
      <w:bookmarkEnd w:id="1006"/>
      <w:bookmarkEnd w:id="1007"/>
      <w:bookmarkEnd w:id="1008"/>
    </w:p>
    <w:p w14:paraId="4EDAAF13">
      <w:pPr>
        <w:rPr>
          <w:color w:val="000000" w:themeColor="text1"/>
          <w:highlight w:val="none"/>
          <w14:textFill>
            <w14:solidFill>
              <w14:schemeClr w14:val="tx1"/>
            </w14:solidFill>
          </w14:textFill>
        </w:rPr>
      </w:pPr>
    </w:p>
    <w:p w14:paraId="7EF99724">
      <w:pPr>
        <w:rPr>
          <w:color w:val="000000" w:themeColor="text1"/>
          <w:highlight w:val="none"/>
          <w14:textFill>
            <w14:solidFill>
              <w14:schemeClr w14:val="tx1"/>
            </w14:solidFill>
          </w14:textFill>
        </w:rPr>
      </w:pPr>
    </w:p>
    <w:p w14:paraId="3D564ED5">
      <w:pPr>
        <w:rPr>
          <w:color w:val="000000" w:themeColor="text1"/>
          <w:highlight w:val="none"/>
          <w14:textFill>
            <w14:solidFill>
              <w14:schemeClr w14:val="tx1"/>
            </w14:solidFill>
          </w14:textFill>
        </w:rPr>
      </w:pPr>
    </w:p>
    <w:p w14:paraId="5EF3482D">
      <w:pPr>
        <w:rPr>
          <w:color w:val="000000" w:themeColor="text1"/>
          <w:highlight w:val="none"/>
          <w14:textFill>
            <w14:solidFill>
              <w14:schemeClr w14:val="tx1"/>
            </w14:solidFill>
          </w14:textFill>
        </w:rPr>
      </w:pPr>
    </w:p>
    <w:p w14:paraId="13059D26">
      <w:pPr>
        <w:rPr>
          <w:color w:val="000000" w:themeColor="text1"/>
          <w:highlight w:val="none"/>
          <w14:textFill>
            <w14:solidFill>
              <w14:schemeClr w14:val="tx1"/>
            </w14:solidFill>
          </w14:textFill>
        </w:rPr>
      </w:pPr>
    </w:p>
    <w:p w14:paraId="0768ABFA">
      <w:pPr>
        <w:rPr>
          <w:color w:val="000000" w:themeColor="text1"/>
          <w:highlight w:val="none"/>
          <w14:textFill>
            <w14:solidFill>
              <w14:schemeClr w14:val="tx1"/>
            </w14:solidFill>
          </w14:textFill>
        </w:rPr>
      </w:pPr>
    </w:p>
    <w:p w14:paraId="56612B1F">
      <w:pPr>
        <w:rPr>
          <w:color w:val="000000" w:themeColor="text1"/>
          <w:highlight w:val="none"/>
          <w14:textFill>
            <w14:solidFill>
              <w14:schemeClr w14:val="tx1"/>
            </w14:solidFill>
          </w14:textFill>
        </w:rPr>
      </w:pPr>
    </w:p>
    <w:p w14:paraId="02EF8CEB">
      <w:pPr>
        <w:rPr>
          <w:color w:val="000000" w:themeColor="text1"/>
          <w:highlight w:val="none"/>
          <w14:textFill>
            <w14:solidFill>
              <w14:schemeClr w14:val="tx1"/>
            </w14:solidFill>
          </w14:textFill>
        </w:rPr>
      </w:pPr>
    </w:p>
    <w:p w14:paraId="008C4102">
      <w:pPr>
        <w:rPr>
          <w:color w:val="000000" w:themeColor="text1"/>
          <w:highlight w:val="none"/>
          <w14:textFill>
            <w14:solidFill>
              <w14:schemeClr w14:val="tx1"/>
            </w14:solidFill>
          </w14:textFill>
        </w:rPr>
      </w:pPr>
    </w:p>
    <w:p w14:paraId="07D80017">
      <w:pPr>
        <w:rPr>
          <w:color w:val="000000" w:themeColor="text1"/>
          <w:highlight w:val="none"/>
          <w14:textFill>
            <w14:solidFill>
              <w14:schemeClr w14:val="tx1"/>
            </w14:solidFill>
          </w14:textFill>
        </w:rPr>
      </w:pPr>
    </w:p>
    <w:p w14:paraId="598E154D">
      <w:pPr>
        <w:rPr>
          <w:color w:val="000000" w:themeColor="text1"/>
          <w:highlight w:val="none"/>
          <w14:textFill>
            <w14:solidFill>
              <w14:schemeClr w14:val="tx1"/>
            </w14:solidFill>
          </w14:textFill>
        </w:rPr>
      </w:pPr>
    </w:p>
    <w:p w14:paraId="076670DE">
      <w:pPr>
        <w:rPr>
          <w:color w:val="000000" w:themeColor="text1"/>
          <w:highlight w:val="none"/>
          <w14:textFill>
            <w14:solidFill>
              <w14:schemeClr w14:val="tx1"/>
            </w14:solidFill>
          </w14:textFill>
        </w:rPr>
      </w:pPr>
    </w:p>
    <w:p w14:paraId="7C5D5E0A">
      <w:pPr>
        <w:rPr>
          <w:color w:val="000000" w:themeColor="text1"/>
          <w:highlight w:val="none"/>
          <w14:textFill>
            <w14:solidFill>
              <w14:schemeClr w14:val="tx1"/>
            </w14:solidFill>
          </w14:textFill>
        </w:rPr>
      </w:pPr>
    </w:p>
    <w:p w14:paraId="6210ADE6">
      <w:pPr>
        <w:rPr>
          <w:color w:val="000000" w:themeColor="text1"/>
          <w:highlight w:val="none"/>
          <w14:textFill>
            <w14:solidFill>
              <w14:schemeClr w14:val="tx1"/>
            </w14:solidFill>
          </w14:textFill>
        </w:rPr>
      </w:pPr>
    </w:p>
    <w:p w14:paraId="42659E9B">
      <w:pPr>
        <w:rPr>
          <w:color w:val="000000" w:themeColor="text1"/>
          <w:highlight w:val="none"/>
          <w14:textFill>
            <w14:solidFill>
              <w14:schemeClr w14:val="tx1"/>
            </w14:solidFill>
          </w14:textFill>
        </w:rPr>
      </w:pPr>
    </w:p>
    <w:p w14:paraId="30E4ADAD">
      <w:pPr>
        <w:rPr>
          <w:color w:val="000000" w:themeColor="text1"/>
          <w:highlight w:val="none"/>
          <w14:textFill>
            <w14:solidFill>
              <w14:schemeClr w14:val="tx1"/>
            </w14:solidFill>
          </w14:textFill>
        </w:rPr>
      </w:pPr>
    </w:p>
    <w:p w14:paraId="3DB5B605">
      <w:pPr>
        <w:rPr>
          <w:color w:val="000000" w:themeColor="text1"/>
          <w:highlight w:val="none"/>
          <w14:textFill>
            <w14:solidFill>
              <w14:schemeClr w14:val="tx1"/>
            </w14:solidFill>
          </w14:textFill>
        </w:rPr>
      </w:pPr>
    </w:p>
    <w:p w14:paraId="7C1596D7">
      <w:pPr>
        <w:rPr>
          <w:color w:val="000000" w:themeColor="text1"/>
          <w:highlight w:val="none"/>
          <w14:textFill>
            <w14:solidFill>
              <w14:schemeClr w14:val="tx1"/>
            </w14:solidFill>
          </w14:textFill>
        </w:rPr>
      </w:pPr>
    </w:p>
    <w:p w14:paraId="0AF441DC">
      <w:pPr>
        <w:rPr>
          <w:color w:val="000000" w:themeColor="text1"/>
          <w:highlight w:val="none"/>
          <w14:textFill>
            <w14:solidFill>
              <w14:schemeClr w14:val="tx1"/>
            </w14:solidFill>
          </w14:textFill>
        </w:rPr>
      </w:pPr>
    </w:p>
    <w:p w14:paraId="659FE37C">
      <w:pPr>
        <w:rPr>
          <w:color w:val="000000" w:themeColor="text1"/>
          <w:highlight w:val="none"/>
          <w14:textFill>
            <w14:solidFill>
              <w14:schemeClr w14:val="tx1"/>
            </w14:solidFill>
          </w14:textFill>
        </w:rPr>
      </w:pPr>
    </w:p>
    <w:p w14:paraId="119742D2">
      <w:pPr>
        <w:rPr>
          <w:color w:val="000000" w:themeColor="text1"/>
          <w:highlight w:val="none"/>
          <w14:textFill>
            <w14:solidFill>
              <w14:schemeClr w14:val="tx1"/>
            </w14:solidFill>
          </w14:textFill>
        </w:rPr>
      </w:pPr>
    </w:p>
    <w:p w14:paraId="64811031">
      <w:pPr>
        <w:rPr>
          <w:color w:val="000000" w:themeColor="text1"/>
          <w:highlight w:val="none"/>
          <w14:textFill>
            <w14:solidFill>
              <w14:schemeClr w14:val="tx1"/>
            </w14:solidFill>
          </w14:textFill>
        </w:rPr>
      </w:pPr>
    </w:p>
    <w:p w14:paraId="537458A5">
      <w:pPr>
        <w:rPr>
          <w:color w:val="000000" w:themeColor="text1"/>
          <w:highlight w:val="none"/>
          <w14:textFill>
            <w14:solidFill>
              <w14:schemeClr w14:val="tx1"/>
            </w14:solidFill>
          </w14:textFill>
        </w:rPr>
      </w:pPr>
    </w:p>
    <w:p w14:paraId="0434EA26">
      <w:pPr>
        <w:rPr>
          <w:color w:val="000000" w:themeColor="text1"/>
          <w:highlight w:val="none"/>
          <w14:textFill>
            <w14:solidFill>
              <w14:schemeClr w14:val="tx1"/>
            </w14:solidFill>
          </w14:textFill>
        </w:rPr>
      </w:pPr>
    </w:p>
    <w:p w14:paraId="4D8DE0A3">
      <w:pPr>
        <w:rPr>
          <w:color w:val="000000" w:themeColor="text1"/>
          <w:highlight w:val="none"/>
          <w14:textFill>
            <w14:solidFill>
              <w14:schemeClr w14:val="tx1"/>
            </w14:solidFill>
          </w14:textFill>
        </w:rPr>
      </w:pPr>
    </w:p>
    <w:p w14:paraId="43B20B95">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14:paraId="61DD0D54">
      <w:pPr>
        <w:pStyle w:val="22"/>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（用于商务文件封面）</w:t>
      </w:r>
    </w:p>
    <w:p w14:paraId="03E6BD32">
      <w:pPr>
        <w:pStyle w:val="22"/>
        <w:spacing w:line="264" w:lineRule="auto"/>
        <w:jc w:val="center"/>
        <w:rPr>
          <w:rFonts w:hAnsi="宋体"/>
          <w:color w:val="000000" w:themeColor="text1"/>
          <w:sz w:val="36"/>
          <w:highlight w:val="none"/>
          <w14:textFill>
            <w14:solidFill>
              <w14:schemeClr w14:val="tx1"/>
            </w14:solidFill>
          </w14:textFill>
        </w:rPr>
      </w:pPr>
    </w:p>
    <w:p w14:paraId="0E36280D">
      <w:pPr>
        <w:pStyle w:val="22"/>
        <w:spacing w:line="264" w:lineRule="auto"/>
        <w:ind w:firstLine="1920" w:firstLineChars="600"/>
        <w:rPr>
          <w:rFonts w:ascii="黑体" w:hAnsi="黑体" w:eastAsia="黑体"/>
          <w:color w:val="000000" w:themeColor="text1"/>
          <w:sz w:val="36"/>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项目名称：</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32"/>
          <w:szCs w:val="32"/>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14:paraId="51334431">
      <w:pPr>
        <w:pStyle w:val="22"/>
        <w:spacing w:beforeLines="100" w:afterLines="100" w:line="264" w:lineRule="auto"/>
        <w:ind w:firstLine="1920" w:firstLineChars="600"/>
        <w:rPr>
          <w:rFonts w:ascii="黑体" w:hAnsi="黑体" w:eastAsia="黑体"/>
          <w:color w:val="000000" w:themeColor="text1"/>
          <w:sz w:val="36"/>
          <w:highlight w:val="none"/>
          <w14:textFill>
            <w14:solidFill>
              <w14:schemeClr w14:val="tx1"/>
            </w14:solidFill>
          </w14:textFill>
        </w:rPr>
      </w:pPr>
      <w:r>
        <w:rPr>
          <w:rFonts w:hint="eastAsia" w:ascii="黑体" w:hAnsi="黑体" w:eastAsia="黑体"/>
          <w:color w:val="000000" w:themeColor="text1"/>
          <w:sz w:val="32"/>
          <w:highlight w:val="none"/>
          <w14:textFill>
            <w14:solidFill>
              <w14:schemeClr w14:val="tx1"/>
            </w14:solidFill>
          </w14:textFill>
        </w:rPr>
        <w:t>招标</w:t>
      </w:r>
      <w:r>
        <w:rPr>
          <w:rFonts w:hint="eastAsia" w:ascii="黑体" w:hAnsi="黑体" w:eastAsia="黑体"/>
          <w:color w:val="000000" w:themeColor="text1"/>
          <w:sz w:val="32"/>
          <w:highlight w:val="none"/>
          <w:lang w:val="en-US" w:eastAsia="zh-CN"/>
          <w14:textFill>
            <w14:solidFill>
              <w14:schemeClr w14:val="tx1"/>
            </w14:solidFill>
          </w14:textFill>
        </w:rPr>
        <w:t>项目</w:t>
      </w:r>
      <w:r>
        <w:rPr>
          <w:rFonts w:hint="eastAsia" w:ascii="黑体" w:hAnsi="黑体" w:eastAsia="黑体"/>
          <w:color w:val="000000" w:themeColor="text1"/>
          <w:sz w:val="32"/>
          <w:highlight w:val="none"/>
          <w14:textFill>
            <w14:solidFill>
              <w14:schemeClr w14:val="tx1"/>
            </w14:solidFill>
          </w14:textFill>
        </w:rPr>
        <w:t>编号：</w:t>
      </w:r>
      <w:r>
        <w:rPr>
          <w:rFonts w:hint="eastAsia" w:ascii="黑体" w:hAnsi="黑体" w:eastAsia="黑体"/>
          <w:color w:val="000000" w:themeColor="text1"/>
          <w:sz w:val="32"/>
          <w:highlight w:val="none"/>
          <w:u w:val="single"/>
          <w14:textFill>
            <w14:solidFill>
              <w14:schemeClr w14:val="tx1"/>
            </w14:solidFill>
          </w14:textFill>
        </w:rPr>
        <w:t xml:space="preserve">                   </w:t>
      </w:r>
      <w:r>
        <w:rPr>
          <w:rFonts w:ascii="黑体" w:hAnsi="黑体" w:eastAsia="黑体"/>
          <w:color w:val="000000" w:themeColor="text1"/>
          <w:sz w:val="32"/>
          <w:highlight w:val="none"/>
          <w14:textFill>
            <w14:solidFill>
              <w14:schemeClr w14:val="tx1"/>
            </w14:solidFill>
          </w14:textFill>
        </w:rPr>
        <w:t xml:space="preserve"> </w:t>
      </w:r>
      <w:r>
        <w:rPr>
          <w:rFonts w:ascii="黑体" w:hAnsi="黑体" w:eastAsia="黑体"/>
          <w:color w:val="000000" w:themeColor="text1"/>
          <w:sz w:val="32"/>
          <w:highlight w:val="none"/>
          <w14:textFill>
            <w14:solidFill>
              <w14:schemeClr w14:val="tx1"/>
            </w14:solidFill>
          </w14:textFill>
        </w:rPr>
        <w:br w:type="textWrapping"/>
      </w:r>
    </w:p>
    <w:p w14:paraId="5D24FEAC">
      <w:pPr>
        <w:pStyle w:val="22"/>
        <w:spacing w:line="264" w:lineRule="auto"/>
        <w:jc w:val="center"/>
        <w:rPr>
          <w:rFonts w:ascii="黑体" w:hAnsi="黑体" w:eastAsia="黑体"/>
          <w:b/>
          <w:color w:val="000000" w:themeColor="text1"/>
          <w:sz w:val="84"/>
          <w:highlight w:val="none"/>
          <w14:textFill>
            <w14:solidFill>
              <w14:schemeClr w14:val="tx1"/>
            </w14:solidFill>
          </w14:textFill>
        </w:rPr>
      </w:pPr>
    </w:p>
    <w:p w14:paraId="18317C86">
      <w:pPr>
        <w:pStyle w:val="22"/>
        <w:spacing w:line="264" w:lineRule="auto"/>
        <w:jc w:val="center"/>
        <w:rPr>
          <w:rFonts w:ascii="黑体" w:hAnsi="黑体" w:eastAsia="黑体"/>
          <w:color w:val="000000" w:themeColor="text1"/>
          <w:sz w:val="28"/>
          <w:highlight w:val="none"/>
          <w14:textFill>
            <w14:solidFill>
              <w14:schemeClr w14:val="tx1"/>
            </w14:solidFill>
          </w14:textFill>
        </w:rPr>
      </w:pPr>
      <w:r>
        <w:rPr>
          <w:rFonts w:hint="eastAsia" w:ascii="黑体" w:hAnsi="黑体" w:eastAsia="黑体"/>
          <w:b/>
          <w:color w:val="000000" w:themeColor="text1"/>
          <w:sz w:val="84"/>
          <w:highlight w:val="none"/>
          <w14:textFill>
            <w14:solidFill>
              <w14:schemeClr w14:val="tx1"/>
            </w14:solidFill>
          </w14:textFill>
        </w:rPr>
        <w:t>投 标 文 件</w:t>
      </w:r>
    </w:p>
    <w:p w14:paraId="0AC7097C">
      <w:pPr>
        <w:pStyle w:val="22"/>
        <w:spacing w:line="264" w:lineRule="auto"/>
        <w:jc w:val="both"/>
        <w:rPr>
          <w:rFonts w:ascii="黑体" w:hAnsi="黑体" w:eastAsia="黑体"/>
          <w:color w:val="000000" w:themeColor="text1"/>
          <w:sz w:val="52"/>
          <w:szCs w:val="52"/>
          <w:highlight w:val="none"/>
          <w14:textFill>
            <w14:solidFill>
              <w14:schemeClr w14:val="tx1"/>
            </w14:solidFill>
          </w14:textFill>
        </w:rPr>
      </w:pPr>
    </w:p>
    <w:p w14:paraId="72846343">
      <w:pPr>
        <w:pStyle w:val="22"/>
        <w:spacing w:line="264" w:lineRule="auto"/>
        <w:jc w:val="center"/>
        <w:rPr>
          <w:rFonts w:ascii="黑体" w:hAnsi="黑体" w:eastAsia="黑体"/>
          <w:color w:val="000000" w:themeColor="text1"/>
          <w:sz w:val="72"/>
          <w:highlight w:val="none"/>
          <w14:textFill>
            <w14:solidFill>
              <w14:schemeClr w14:val="tx1"/>
            </w14:solidFill>
          </w14:textFill>
        </w:rPr>
      </w:pPr>
    </w:p>
    <w:p w14:paraId="706BF5EA">
      <w:pPr>
        <w:pStyle w:val="22"/>
        <w:spacing w:line="264" w:lineRule="auto"/>
        <w:jc w:val="center"/>
        <w:rPr>
          <w:rFonts w:ascii="黑体" w:hAnsi="黑体" w:eastAsia="黑体"/>
          <w:color w:val="000000" w:themeColor="text1"/>
          <w:sz w:val="72"/>
          <w:highlight w:val="none"/>
          <w14:textFill>
            <w14:solidFill>
              <w14:schemeClr w14:val="tx1"/>
            </w14:solidFill>
          </w14:textFill>
        </w:rPr>
      </w:pPr>
    </w:p>
    <w:p w14:paraId="4DA871C5">
      <w:pPr>
        <w:pStyle w:val="22"/>
        <w:spacing w:line="360" w:lineRule="auto"/>
        <w:ind w:firstLine="606" w:firstLineChars="202"/>
        <w:jc w:val="left"/>
        <w:rPr>
          <w:rFonts w:ascii="黑体" w:hAnsi="黑体" w:eastAsia="黑体"/>
          <w:color w:val="000000" w:themeColor="text1"/>
          <w:sz w:val="30"/>
          <w:szCs w:val="30"/>
          <w:highlight w:val="none"/>
          <w:u w:val="singl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投标文件内容：</w:t>
      </w:r>
      <w:r>
        <w:rPr>
          <w:rFonts w:hint="eastAsia" w:ascii="黑体" w:hAnsi="黑体" w:eastAsia="黑体"/>
          <w:color w:val="000000" w:themeColor="text1"/>
          <w:sz w:val="30"/>
          <w:szCs w:val="30"/>
          <w:highlight w:val="none"/>
          <w:u w:val="single"/>
          <w14:textFill>
            <w14:solidFill>
              <w14:schemeClr w14:val="tx1"/>
            </w14:solidFill>
          </w14:textFill>
        </w:rPr>
        <w:t xml:space="preserve">          商务文件             </w:t>
      </w:r>
    </w:p>
    <w:p w14:paraId="377216C8">
      <w:pPr>
        <w:pStyle w:val="22"/>
        <w:spacing w:line="360" w:lineRule="auto"/>
        <w:ind w:firstLine="606" w:firstLineChars="202"/>
        <w:jc w:val="left"/>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投标人：</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（盖投标人单位公章）</w:t>
      </w:r>
      <w:r>
        <w:rPr>
          <w:rStyle w:val="49"/>
          <w:rFonts w:ascii="黑体" w:hAnsi="黑体" w:eastAsia="黑体"/>
          <w:color w:val="000000" w:themeColor="text1"/>
          <w:sz w:val="30"/>
          <w:highlight w:val="none"/>
          <w14:textFill>
            <w14:solidFill>
              <w14:schemeClr w14:val="tx1"/>
            </w14:solidFill>
          </w14:textFill>
        </w:rPr>
        <w:footnoteReference w:id="101"/>
      </w:r>
    </w:p>
    <w:p w14:paraId="54513AD7">
      <w:pPr>
        <w:pStyle w:val="22"/>
        <w:spacing w:line="360" w:lineRule="auto"/>
        <w:ind w:firstLine="606" w:firstLineChars="202"/>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法定代表人或其委托代理人：</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（签字或盖章）</w:t>
      </w:r>
      <w:r>
        <w:rPr>
          <w:rStyle w:val="49"/>
          <w:rFonts w:ascii="黑体" w:hAnsi="黑体" w:eastAsia="黑体"/>
          <w:color w:val="000000" w:themeColor="text1"/>
          <w:sz w:val="30"/>
          <w:highlight w:val="none"/>
          <w14:textFill>
            <w14:solidFill>
              <w14:schemeClr w14:val="tx1"/>
            </w14:solidFill>
          </w14:textFill>
        </w:rPr>
        <w:footnoteReference w:id="102"/>
      </w:r>
    </w:p>
    <w:p w14:paraId="11B5FA06">
      <w:pPr>
        <w:pStyle w:val="22"/>
        <w:spacing w:line="360" w:lineRule="auto"/>
        <w:ind w:firstLine="606" w:firstLineChars="202"/>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日期：</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年</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月</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日</w:t>
      </w:r>
    </w:p>
    <w:p w14:paraId="0865C15E">
      <w:pPr>
        <w:pStyle w:val="22"/>
        <w:spacing w:beforeLines="100" w:afterLines="100" w:line="360" w:lineRule="auto"/>
        <w:ind w:left="629"/>
        <w:jc w:val="center"/>
        <w:rPr>
          <w:rFonts w:hAnsi="宋体"/>
          <w:b/>
          <w:color w:val="000000" w:themeColor="text1"/>
          <w:sz w:val="32"/>
          <w:szCs w:val="32"/>
          <w:highlight w:val="none"/>
          <w14:textFill>
            <w14:solidFill>
              <w14:schemeClr w14:val="tx1"/>
            </w14:solidFill>
          </w14:textFill>
        </w:rPr>
      </w:pPr>
    </w:p>
    <w:p w14:paraId="5A384FE1">
      <w:pPr>
        <w:pStyle w:val="22"/>
        <w:spacing w:beforeLines="100" w:afterLines="100" w:line="360" w:lineRule="auto"/>
        <w:ind w:left="629"/>
        <w:jc w:val="center"/>
        <w:rPr>
          <w:rFonts w:hint="eastAsia" w:hAnsi="宋体"/>
          <w:b/>
          <w:color w:val="000000" w:themeColor="text1"/>
          <w:sz w:val="32"/>
          <w:szCs w:val="32"/>
          <w:highlight w:val="none"/>
          <w14:textFill>
            <w14:solidFill>
              <w14:schemeClr w14:val="tx1"/>
            </w14:solidFill>
          </w14:textFill>
        </w:rPr>
      </w:pPr>
    </w:p>
    <w:p w14:paraId="76040D67">
      <w:pPr>
        <w:pStyle w:val="22"/>
        <w:spacing w:beforeLines="100" w:afterLines="100" w:line="360" w:lineRule="auto"/>
        <w:ind w:left="629"/>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目 录</w:t>
      </w:r>
    </w:p>
    <w:p w14:paraId="75921FA2">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（1）投标函；</w:t>
      </w:r>
    </w:p>
    <w:p w14:paraId="7A3F0D6B">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（2）投标函附表；</w:t>
      </w:r>
    </w:p>
    <w:p w14:paraId="221D83B0">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（3）投标保证金；</w:t>
      </w:r>
    </w:p>
    <w:p w14:paraId="415E91D4">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（4）授权委托书（与资格审查文件一致的可以不再提交）；</w:t>
      </w:r>
    </w:p>
    <w:p w14:paraId="7743FE91">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（5）设计（勘察）投标报价表；</w:t>
      </w:r>
    </w:p>
    <w:p w14:paraId="4D30098E">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（6）投标单位实力、以往业绩、获奖情况、信誉；</w:t>
      </w:r>
    </w:p>
    <w:p w14:paraId="61D00B7A">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（7）项目负责人、其他主要人员；</w:t>
      </w:r>
    </w:p>
    <w:p w14:paraId="77981611">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（8）服务保证（保证设计质量、进度，配合工程实施）；</w:t>
      </w:r>
    </w:p>
    <w:p w14:paraId="75148557">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（9）其他（根据招标文件的要求和投标人认为需要提供的资料）；</w:t>
      </w:r>
    </w:p>
    <w:p w14:paraId="20B1E4FB">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（10）定标要素情况表。</w:t>
      </w:r>
    </w:p>
    <w:p w14:paraId="5488A56F">
      <w:pPr>
        <w:pStyle w:val="22"/>
        <w:spacing w:line="360" w:lineRule="auto"/>
        <w:ind w:left="629"/>
        <w:jc w:val="left"/>
        <w:rPr>
          <w:rFonts w:hAnsi="宋体"/>
          <w:color w:val="000000" w:themeColor="text1"/>
          <w:sz w:val="28"/>
          <w:szCs w:val="28"/>
          <w:highlight w:val="none"/>
          <w14:textFill>
            <w14:solidFill>
              <w14:schemeClr w14:val="tx1"/>
            </w14:solidFill>
          </w14:textFill>
        </w:rPr>
      </w:pPr>
    </w:p>
    <w:p w14:paraId="2B817C9A">
      <w:pPr>
        <w:spacing w:after="100" w:afterAutospacing="1"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序号和页码由投标人自行编列。</w:t>
      </w:r>
    </w:p>
    <w:p w14:paraId="589ACDE4">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16ED7844">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087B1817">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3CECAA91">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53B939D5">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14FB6D6C">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65042A14">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2FD9EDD9">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179FD234">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5FFBE976">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52A92DF9">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08C0C71A">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19B180DD">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4D079943">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5D630172">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41D8A870">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一、投标函</w:t>
      </w:r>
      <w:r>
        <w:rPr>
          <w:rFonts w:hint="eastAsia" w:ascii="宋体" w:hAnsi="宋体" w:eastAsia="宋体"/>
          <w:color w:val="000000" w:themeColor="text1"/>
          <w:szCs w:val="21"/>
          <w:highlight w:val="none"/>
          <w14:textFill>
            <w14:solidFill>
              <w14:schemeClr w14:val="tx1"/>
            </w14:solidFill>
          </w14:textFill>
        </w:rPr>
        <w:t>（格式）</w:t>
      </w:r>
      <w:r>
        <w:rPr>
          <w:rFonts w:hint="eastAsia" w:ascii="宋体" w:hAnsi="宋体" w:eastAsia="宋体"/>
          <w:snapToGrid w:val="0"/>
          <w:color w:val="000000" w:themeColor="text1"/>
          <w:szCs w:val="21"/>
          <w:highlight w:val="none"/>
          <w14:textFill>
            <w14:solidFill>
              <w14:schemeClr w14:val="tx1"/>
            </w14:solidFill>
          </w14:textFill>
        </w:rPr>
        <w:t xml:space="preserve"> </w:t>
      </w:r>
    </w:p>
    <w:p w14:paraId="5771B7FE">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投 </w:t>
      </w:r>
      <w:r>
        <w:rPr>
          <w:rFonts w:hint="eastAsia" w:ascii="黑体" w:hAnsi="黑体" w:eastAsia="黑体" w:cs="宋体"/>
          <w:color w:val="000000" w:themeColor="text1"/>
          <w:sz w:val="32"/>
          <w:szCs w:val="32"/>
          <w:highlight w:val="none"/>
          <w14:textFill>
            <w14:solidFill>
              <w14:schemeClr w14:val="tx1"/>
            </w14:solidFill>
          </w14:textFill>
        </w:rPr>
        <w:t xml:space="preserve">标 </w:t>
      </w:r>
      <w:r>
        <w:rPr>
          <w:rFonts w:hint="eastAsia" w:ascii="黑体" w:hAnsi="黑体" w:eastAsia="黑体"/>
          <w:color w:val="000000" w:themeColor="text1"/>
          <w:sz w:val="32"/>
          <w:szCs w:val="32"/>
          <w:highlight w:val="none"/>
          <w14:textFill>
            <w14:solidFill>
              <w14:schemeClr w14:val="tx1"/>
            </w14:solidFill>
          </w14:textFill>
        </w:rPr>
        <w:t>函</w:t>
      </w:r>
    </w:p>
    <w:p w14:paraId="33DF5B8A">
      <w:pPr>
        <w:spacing w:line="44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p>
    <w:p w14:paraId="0308C6FB">
      <w:pPr>
        <w:spacing w:line="440" w:lineRule="exact"/>
        <w:ind w:firstLine="525" w:firstLineChars="2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根据</w:t>
      </w:r>
      <w:r>
        <w:rPr>
          <w:rFonts w:hint="eastAsia" w:ascii="宋体" w:hAnsi="宋体" w:cs="宋体"/>
          <w:color w:val="000000" w:themeColor="text1"/>
          <w:sz w:val="21"/>
          <w:szCs w:val="21"/>
          <w:highlight w:val="none"/>
          <w14:textFill>
            <w14:solidFill>
              <w14:schemeClr w14:val="tx1"/>
            </w14:solidFill>
          </w14:textFill>
        </w:rPr>
        <w:t>贵</w:t>
      </w:r>
      <w:r>
        <w:rPr>
          <w:rFonts w:hint="eastAsia" w:ascii="宋体" w:hAnsi="宋体"/>
          <w:color w:val="000000" w:themeColor="text1"/>
          <w:sz w:val="21"/>
          <w:szCs w:val="21"/>
          <w:highlight w:val="none"/>
          <w14:textFill>
            <w14:solidFill>
              <w14:schemeClr w14:val="tx1"/>
            </w14:solidFill>
          </w14:textFill>
        </w:rPr>
        <w:t>方编号</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w:t>
      </w:r>
      <w:r>
        <w:rPr>
          <w:rFonts w:hint="eastAsia" w:ascii="宋体" w:hAnsi="宋体" w:cs="宋体"/>
          <w:color w:val="000000" w:themeColor="text1"/>
          <w:sz w:val="21"/>
          <w:szCs w:val="21"/>
          <w:highlight w:val="none"/>
          <w14:textFill>
            <w14:solidFill>
              <w14:schemeClr w14:val="tx1"/>
            </w14:solidFill>
          </w14:textFill>
        </w:rPr>
        <w:t>设计</w:t>
      </w:r>
      <w:r>
        <w:rPr>
          <w:rFonts w:hint="eastAsia" w:ascii="宋体" w:hAnsi="宋体"/>
          <w:color w:val="000000" w:themeColor="text1"/>
          <w:sz w:val="21"/>
          <w:szCs w:val="21"/>
          <w:highlight w:val="none"/>
          <w14:textFill>
            <w14:solidFill>
              <w14:schemeClr w14:val="tx1"/>
            </w14:solidFill>
          </w14:textFill>
        </w:rPr>
        <w:t>（勘察）招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的招标文件，我方</w:t>
      </w:r>
      <w:r>
        <w:rPr>
          <w:rFonts w:hint="eastAsia" w:ascii="宋体" w:hAnsi="宋体" w:cs="宋体"/>
          <w:color w:val="000000" w:themeColor="text1"/>
          <w:sz w:val="21"/>
          <w:szCs w:val="21"/>
          <w:highlight w:val="none"/>
          <w14:textFill>
            <w14:solidFill>
              <w14:schemeClr w14:val="tx1"/>
            </w14:solidFill>
          </w14:textFill>
        </w:rPr>
        <w:t>针对该项目设计的设计费的投标报价为</w:t>
      </w:r>
      <w:r>
        <w:rPr>
          <w:rFonts w:hint="eastAsia" w:ascii="宋体" w:hAnsi="宋体"/>
          <w:color w:val="000000" w:themeColor="text1"/>
          <w:sz w:val="21"/>
          <w:szCs w:val="21"/>
          <w:highlight w:val="none"/>
          <w14:textFill>
            <w14:solidFill>
              <w14:schemeClr w14:val="tx1"/>
            </w14:solidFill>
          </w14:textFill>
        </w:rPr>
        <w:t>投标函附表上所列明的设计费投标报价总额（招标内容包含勘察的，其勘察费投标报价见投标函附表）。并正式授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的下述</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字人代表本投标人提交招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文件要求的全套投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文件，包括：</w:t>
      </w:r>
    </w:p>
    <w:p w14:paraId="66914164">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文件中要求的投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w:t>
      </w:r>
    </w:p>
    <w:p w14:paraId="2180ACEF">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金</w:t>
      </w:r>
      <w:r>
        <w:rPr>
          <w:rFonts w:hint="eastAsia" w:ascii="宋体" w:hAnsi="宋体" w:cs="宋体"/>
          <w:color w:val="000000" w:themeColor="text1"/>
          <w:sz w:val="21"/>
          <w:szCs w:val="21"/>
          <w:highlight w:val="none"/>
          <w14:textFill>
            <w14:solidFill>
              <w14:schemeClr w14:val="tx1"/>
            </w14:solidFill>
          </w14:textFill>
        </w:rPr>
        <w:t>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（提交的投标保证金金额）</w:t>
      </w:r>
      <w:r>
        <w:rPr>
          <w:rFonts w:hint="eastAsia" w:ascii="宋体" w:hAnsi="宋体"/>
          <w:color w:val="000000" w:themeColor="text1"/>
          <w:sz w:val="21"/>
          <w:szCs w:val="21"/>
          <w:highlight w:val="none"/>
          <w14:textFill>
            <w14:solidFill>
              <w14:schemeClr w14:val="tx1"/>
            </w14:solidFill>
          </w14:textFill>
        </w:rPr>
        <w:t>元的投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保</w:t>
      </w:r>
      <w:r>
        <w:rPr>
          <w:rFonts w:hint="eastAsia" w:ascii="宋体" w:hAnsi="宋体" w:cs="宋体"/>
          <w:color w:val="000000" w:themeColor="text1"/>
          <w:sz w:val="21"/>
          <w:szCs w:val="21"/>
          <w:highlight w:val="none"/>
          <w14:textFill>
            <w14:solidFill>
              <w14:schemeClr w14:val="tx1"/>
            </w14:solidFill>
          </w14:textFill>
        </w:rPr>
        <w:t>证</w:t>
      </w:r>
      <w:r>
        <w:rPr>
          <w:rFonts w:hint="eastAsia" w:ascii="宋体" w:hAnsi="宋体"/>
          <w:color w:val="000000" w:themeColor="text1"/>
          <w:sz w:val="21"/>
          <w:szCs w:val="21"/>
          <w:highlight w:val="none"/>
          <w14:textFill>
            <w14:solidFill>
              <w14:schemeClr w14:val="tx1"/>
            </w14:solidFill>
          </w14:textFill>
        </w:rPr>
        <w:t>金；</w:t>
      </w:r>
    </w:p>
    <w:p w14:paraId="3C7E9E05">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其他</w:t>
      </w:r>
      <w:r>
        <w:rPr>
          <w:rFonts w:hint="eastAsia" w:ascii="宋体" w:hAnsi="宋体" w:cs="宋体"/>
          <w:color w:val="000000" w:themeColor="text1"/>
          <w:sz w:val="21"/>
          <w:szCs w:val="21"/>
          <w:highlight w:val="none"/>
          <w14:textFill>
            <w14:solidFill>
              <w14:schemeClr w14:val="tx1"/>
            </w14:solidFill>
          </w14:textFill>
        </w:rPr>
        <w:t>资</w:t>
      </w:r>
      <w:r>
        <w:rPr>
          <w:rFonts w:hint="eastAsia" w:ascii="宋体" w:hAnsi="宋体"/>
          <w:color w:val="000000" w:themeColor="text1"/>
          <w:sz w:val="21"/>
          <w:szCs w:val="21"/>
          <w:highlight w:val="none"/>
          <w14:textFill>
            <w14:solidFill>
              <w14:schemeClr w14:val="tx1"/>
            </w14:solidFill>
          </w14:textFill>
        </w:rPr>
        <w:t>料。</w:t>
      </w:r>
    </w:p>
    <w:p w14:paraId="23E48A21">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据此函，</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字人</w:t>
      </w:r>
      <w:r>
        <w:rPr>
          <w:rFonts w:hint="eastAsia" w:ascii="宋体" w:hAnsi="宋体" w:cs="宋体"/>
          <w:color w:val="000000" w:themeColor="text1"/>
          <w:sz w:val="21"/>
          <w:szCs w:val="21"/>
          <w:highlight w:val="none"/>
          <w14:textFill>
            <w14:solidFill>
              <w14:schemeClr w14:val="tx1"/>
            </w14:solidFill>
          </w14:textFill>
        </w:rPr>
        <w:t>兹</w:t>
      </w:r>
      <w:r>
        <w:rPr>
          <w:rFonts w:hint="eastAsia" w:ascii="宋体" w:hAnsi="宋体"/>
          <w:color w:val="000000" w:themeColor="text1"/>
          <w:sz w:val="21"/>
          <w:szCs w:val="21"/>
          <w:highlight w:val="none"/>
          <w14:textFill>
            <w14:solidFill>
              <w14:schemeClr w14:val="tx1"/>
            </w14:solidFill>
          </w14:textFill>
        </w:rPr>
        <w:t>宣布同意如下：</w:t>
      </w:r>
    </w:p>
    <w:p w14:paraId="6257BC56">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我方已</w:t>
      </w:r>
      <w:r>
        <w:rPr>
          <w:rFonts w:hint="eastAsia" w:ascii="宋体" w:hAnsi="宋体" w:cs="宋体"/>
          <w:color w:val="000000" w:themeColor="text1"/>
          <w:sz w:val="21"/>
          <w:szCs w:val="21"/>
          <w:highlight w:val="none"/>
          <w14:textFill>
            <w14:solidFill>
              <w14:schemeClr w14:val="tx1"/>
            </w14:solidFill>
          </w14:textFill>
        </w:rPr>
        <w:t>详细审</w:t>
      </w:r>
      <w:r>
        <w:rPr>
          <w:rFonts w:hint="eastAsia" w:ascii="宋体" w:hAnsi="宋体"/>
          <w:color w:val="000000" w:themeColor="text1"/>
          <w:sz w:val="21"/>
          <w:szCs w:val="21"/>
          <w:highlight w:val="none"/>
          <w14:textFill>
            <w14:solidFill>
              <w14:schemeClr w14:val="tx1"/>
            </w14:solidFill>
          </w14:textFill>
        </w:rPr>
        <w:t>核并确</w:t>
      </w:r>
      <w:r>
        <w:rPr>
          <w:rFonts w:hint="eastAsia" w:ascii="宋体" w:hAnsi="宋体" w:cs="宋体"/>
          <w:color w:val="000000" w:themeColor="text1"/>
          <w:sz w:val="21"/>
          <w:szCs w:val="21"/>
          <w:highlight w:val="none"/>
          <w14:textFill>
            <w14:solidFill>
              <w14:schemeClr w14:val="tx1"/>
            </w14:solidFill>
          </w14:textFill>
        </w:rPr>
        <w:t>认</w:t>
      </w:r>
      <w:r>
        <w:rPr>
          <w:rFonts w:hint="eastAsia" w:ascii="宋体" w:hAnsi="宋体"/>
          <w:color w:val="000000" w:themeColor="text1"/>
          <w:sz w:val="21"/>
          <w:szCs w:val="21"/>
          <w:highlight w:val="none"/>
          <w14:textFill>
            <w14:solidFill>
              <w14:schemeClr w14:val="tx1"/>
            </w14:solidFill>
          </w14:textFill>
        </w:rPr>
        <w:t>全部招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文件，包括澄清、修改或补充招标文件（如有</w:t>
      </w:r>
      <w:r>
        <w:rPr>
          <w:rFonts w:hint="eastAsia" w:ascii="宋体" w:hAnsi="宋体" w:cs="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14:textFill>
            <w14:solidFill>
              <w14:schemeClr w14:val="tx1"/>
            </w14:solidFill>
          </w14:textFill>
        </w:rPr>
        <w:t>）及有关附件。</w:t>
      </w:r>
    </w:p>
    <w:p w14:paraId="6AE49B3B">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一旦我方中</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，我方将按照投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文件中的承</w:t>
      </w:r>
      <w:r>
        <w:rPr>
          <w:rFonts w:hint="eastAsia" w:ascii="宋体" w:hAnsi="宋体" w:cs="宋体"/>
          <w:color w:val="000000" w:themeColor="text1"/>
          <w:sz w:val="21"/>
          <w:szCs w:val="21"/>
          <w:highlight w:val="none"/>
          <w14:textFill>
            <w14:solidFill>
              <w14:schemeClr w14:val="tx1"/>
            </w14:solidFill>
          </w14:textFill>
        </w:rPr>
        <w:t>诺组</w:t>
      </w:r>
      <w:r>
        <w:rPr>
          <w:rFonts w:hint="eastAsia" w:ascii="宋体" w:hAnsi="宋体"/>
          <w:color w:val="000000" w:themeColor="text1"/>
          <w:sz w:val="21"/>
          <w:szCs w:val="21"/>
          <w:highlight w:val="none"/>
          <w14:textFill>
            <w14:solidFill>
              <w14:schemeClr w14:val="tx1"/>
            </w14:solidFill>
          </w14:textFill>
        </w:rPr>
        <w:t>建</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w:t>
      </w:r>
      <w:r>
        <w:rPr>
          <w:rFonts w:hint="eastAsia" w:ascii="宋体" w:hAnsi="宋体" w:cs="宋体"/>
          <w:color w:val="000000" w:themeColor="text1"/>
          <w:sz w:val="21"/>
          <w:szCs w:val="21"/>
          <w:highlight w:val="none"/>
          <w14:textFill>
            <w14:solidFill>
              <w14:schemeClr w14:val="tx1"/>
            </w14:solidFill>
          </w14:textFill>
        </w:rPr>
        <w:t>设计组</w:t>
      </w:r>
      <w:r>
        <w:rPr>
          <w:rFonts w:hint="eastAsia" w:ascii="宋体" w:hAnsi="宋体"/>
          <w:color w:val="000000" w:themeColor="text1"/>
          <w:sz w:val="21"/>
          <w:szCs w:val="21"/>
          <w:highlight w:val="none"/>
          <w14:textFill>
            <w14:solidFill>
              <w14:schemeClr w14:val="tx1"/>
            </w14:solidFill>
          </w14:textFill>
        </w:rPr>
        <w:t>，由投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文件所承</w:t>
      </w:r>
      <w:r>
        <w:rPr>
          <w:rFonts w:hint="eastAsia" w:ascii="宋体" w:hAnsi="宋体" w:cs="宋体"/>
          <w:color w:val="000000" w:themeColor="text1"/>
          <w:sz w:val="21"/>
          <w:szCs w:val="21"/>
          <w:highlight w:val="none"/>
          <w14:textFill>
            <w14:solidFill>
              <w14:schemeClr w14:val="tx1"/>
            </w14:solidFill>
          </w14:textFill>
        </w:rPr>
        <w:t>诺</w:t>
      </w:r>
      <w:r>
        <w:rPr>
          <w:rFonts w:hint="eastAsia" w:ascii="宋体" w:hAnsi="宋体"/>
          <w:color w:val="000000" w:themeColor="text1"/>
          <w:sz w:val="21"/>
          <w:szCs w:val="21"/>
          <w:highlight w:val="none"/>
          <w14:textFill>
            <w14:solidFill>
              <w14:schemeClr w14:val="tx1"/>
            </w14:solidFill>
          </w14:textFill>
        </w:rPr>
        <w:t>的设计项目负责人和其他主要</w:t>
      </w:r>
      <w:r>
        <w:rPr>
          <w:rFonts w:hint="eastAsia" w:ascii="宋体" w:hAnsi="宋体" w:cs="宋体"/>
          <w:color w:val="000000" w:themeColor="text1"/>
          <w:sz w:val="21"/>
          <w:szCs w:val="21"/>
          <w:highlight w:val="none"/>
          <w14:textFill>
            <w14:solidFill>
              <w14:schemeClr w14:val="tx1"/>
            </w14:solidFill>
          </w14:textFill>
        </w:rPr>
        <w:t>设计</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s="宋体"/>
          <w:color w:val="000000" w:themeColor="text1"/>
          <w:sz w:val="21"/>
          <w:szCs w:val="21"/>
          <w:highlight w:val="none"/>
          <w14:textFill>
            <w14:solidFill>
              <w14:schemeClr w14:val="tx1"/>
            </w14:solidFill>
          </w14:textFill>
        </w:rPr>
        <w:t>员</w:t>
      </w:r>
      <w:r>
        <w:rPr>
          <w:rFonts w:hint="eastAsia" w:ascii="宋体" w:hAnsi="宋体"/>
          <w:color w:val="000000" w:themeColor="text1"/>
          <w:sz w:val="21"/>
          <w:szCs w:val="21"/>
          <w:highlight w:val="none"/>
          <w14:textFill>
            <w14:solidFill>
              <w14:schemeClr w14:val="tx1"/>
            </w14:solidFill>
          </w14:textFill>
        </w:rPr>
        <w:t>完成本</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目的全部</w:t>
      </w:r>
      <w:r>
        <w:rPr>
          <w:rFonts w:hint="eastAsia" w:ascii="宋体" w:hAnsi="宋体" w:cs="宋体"/>
          <w:color w:val="000000" w:themeColor="text1"/>
          <w:sz w:val="21"/>
          <w:szCs w:val="21"/>
          <w:highlight w:val="none"/>
          <w14:textFill>
            <w14:solidFill>
              <w14:schemeClr w14:val="tx1"/>
            </w14:solidFill>
          </w14:textFill>
        </w:rPr>
        <w:t>设计</w:t>
      </w:r>
      <w:r>
        <w:rPr>
          <w:rFonts w:hint="eastAsia" w:ascii="宋体" w:hAnsi="宋体"/>
          <w:color w:val="000000" w:themeColor="text1"/>
          <w:sz w:val="21"/>
          <w:szCs w:val="21"/>
          <w:highlight w:val="none"/>
          <w14:textFill>
            <w14:solidFill>
              <w14:schemeClr w14:val="tx1"/>
            </w14:solidFill>
          </w14:textFill>
        </w:rPr>
        <w:t>工作，保</w:t>
      </w:r>
      <w:r>
        <w:rPr>
          <w:rFonts w:hint="eastAsia" w:ascii="宋体" w:hAnsi="宋体" w:cs="宋体"/>
          <w:color w:val="000000" w:themeColor="text1"/>
          <w:sz w:val="21"/>
          <w:szCs w:val="21"/>
          <w:highlight w:val="none"/>
          <w14:textFill>
            <w14:solidFill>
              <w14:schemeClr w14:val="tx1"/>
            </w14:solidFill>
          </w14:textFill>
        </w:rPr>
        <w:t>证</w:t>
      </w:r>
      <w:r>
        <w:rPr>
          <w:rFonts w:hint="eastAsia" w:ascii="宋体" w:hAnsi="宋体"/>
          <w:color w:val="000000" w:themeColor="text1"/>
          <w:sz w:val="21"/>
          <w:szCs w:val="21"/>
          <w:highlight w:val="none"/>
          <w14:textFill>
            <w14:solidFill>
              <w14:schemeClr w14:val="tx1"/>
            </w14:solidFill>
          </w14:textFill>
        </w:rPr>
        <w:t>在未征得招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人同意的前提下不</w:t>
      </w:r>
      <w:r>
        <w:rPr>
          <w:rFonts w:hint="eastAsia" w:ascii="宋体" w:hAnsi="宋体" w:cs="宋体"/>
          <w:color w:val="000000" w:themeColor="text1"/>
          <w:sz w:val="21"/>
          <w:szCs w:val="21"/>
          <w:highlight w:val="none"/>
          <w14:textFill>
            <w14:solidFill>
              <w14:schemeClr w14:val="tx1"/>
            </w14:solidFill>
          </w14:textFill>
        </w:rPr>
        <w:t>变</w:t>
      </w:r>
      <w:r>
        <w:rPr>
          <w:rFonts w:hint="eastAsia" w:ascii="宋体" w:hAnsi="宋体"/>
          <w:color w:val="000000" w:themeColor="text1"/>
          <w:sz w:val="21"/>
          <w:szCs w:val="21"/>
          <w:highlight w:val="none"/>
          <w14:textFill>
            <w14:solidFill>
              <w14:schemeClr w14:val="tx1"/>
            </w14:solidFill>
          </w14:textFill>
        </w:rPr>
        <w:t>更主要</w:t>
      </w:r>
      <w:r>
        <w:rPr>
          <w:rFonts w:hint="eastAsia" w:ascii="宋体" w:hAnsi="宋体" w:cs="宋体"/>
          <w:color w:val="000000" w:themeColor="text1"/>
          <w:sz w:val="21"/>
          <w:szCs w:val="21"/>
          <w:highlight w:val="none"/>
          <w14:textFill>
            <w14:solidFill>
              <w14:schemeClr w14:val="tx1"/>
            </w14:solidFill>
          </w14:textFill>
        </w:rPr>
        <w:t>设计</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s="宋体"/>
          <w:color w:val="000000" w:themeColor="text1"/>
          <w:sz w:val="21"/>
          <w:szCs w:val="21"/>
          <w:highlight w:val="none"/>
          <w14:textFill>
            <w14:solidFill>
              <w14:schemeClr w14:val="tx1"/>
            </w14:solidFill>
          </w14:textFill>
        </w:rPr>
        <w:t>员</w:t>
      </w:r>
      <w:r>
        <w:rPr>
          <w:rFonts w:hint="eastAsia" w:ascii="宋体" w:hAnsi="宋体"/>
          <w:color w:val="000000" w:themeColor="text1"/>
          <w:sz w:val="21"/>
          <w:szCs w:val="21"/>
          <w:highlight w:val="none"/>
          <w14:textFill>
            <w14:solidFill>
              <w14:schemeClr w14:val="tx1"/>
            </w14:solidFill>
          </w14:textFill>
        </w:rPr>
        <w:t>，保</w:t>
      </w:r>
      <w:r>
        <w:rPr>
          <w:rFonts w:hint="eastAsia" w:ascii="宋体" w:hAnsi="宋体" w:cs="宋体"/>
          <w:color w:val="000000" w:themeColor="text1"/>
          <w:sz w:val="21"/>
          <w:szCs w:val="21"/>
          <w:highlight w:val="none"/>
          <w14:textFill>
            <w14:solidFill>
              <w14:schemeClr w14:val="tx1"/>
            </w14:solidFill>
          </w14:textFill>
        </w:rPr>
        <w:t>证</w:t>
      </w:r>
      <w:r>
        <w:rPr>
          <w:rFonts w:hint="eastAsia" w:ascii="宋体" w:hAnsi="宋体"/>
          <w:color w:val="000000" w:themeColor="text1"/>
          <w:sz w:val="21"/>
          <w:szCs w:val="21"/>
          <w:highlight w:val="none"/>
          <w14:textFill>
            <w14:solidFill>
              <w14:schemeClr w14:val="tx1"/>
            </w14:solidFill>
          </w14:textFill>
        </w:rPr>
        <w:t>按投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函附表中承</w:t>
      </w:r>
      <w:r>
        <w:rPr>
          <w:rFonts w:hint="eastAsia" w:ascii="宋体" w:hAnsi="宋体" w:cs="宋体"/>
          <w:color w:val="000000" w:themeColor="text1"/>
          <w:sz w:val="21"/>
          <w:szCs w:val="21"/>
          <w:highlight w:val="none"/>
          <w14:textFill>
            <w14:solidFill>
              <w14:schemeClr w14:val="tx1"/>
            </w14:solidFill>
          </w14:textFill>
        </w:rPr>
        <w:t>诺</w:t>
      </w:r>
      <w:r>
        <w:rPr>
          <w:rFonts w:hint="eastAsia" w:ascii="宋体" w:hAnsi="宋体"/>
          <w:color w:val="000000" w:themeColor="text1"/>
          <w:sz w:val="21"/>
          <w:szCs w:val="21"/>
          <w:highlight w:val="none"/>
          <w14:textFill>
            <w14:solidFill>
              <w14:schemeClr w14:val="tx1"/>
            </w14:solidFill>
          </w14:textFill>
        </w:rPr>
        <w:t>的设计服务期限完成</w:t>
      </w:r>
      <w:r>
        <w:rPr>
          <w:rFonts w:hint="eastAsia" w:ascii="宋体" w:hAnsi="宋体" w:cs="宋体"/>
          <w:color w:val="000000" w:themeColor="text1"/>
          <w:sz w:val="21"/>
          <w:szCs w:val="21"/>
          <w:highlight w:val="none"/>
          <w14:textFill>
            <w14:solidFill>
              <w14:schemeClr w14:val="tx1"/>
            </w14:solidFill>
          </w14:textFill>
        </w:rPr>
        <w:t>设计</w:t>
      </w:r>
      <w:r>
        <w:rPr>
          <w:rFonts w:hint="eastAsia" w:ascii="宋体" w:hAnsi="宋体"/>
          <w:color w:val="000000" w:themeColor="text1"/>
          <w:sz w:val="21"/>
          <w:szCs w:val="21"/>
          <w:highlight w:val="none"/>
          <w14:textFill>
            <w14:solidFill>
              <w14:schemeClr w14:val="tx1"/>
            </w14:solidFill>
          </w14:textFill>
        </w:rPr>
        <w:t>并提供相</w:t>
      </w:r>
      <w:r>
        <w:rPr>
          <w:rFonts w:hint="eastAsia" w:ascii="宋体" w:hAnsi="宋体" w:cs="宋体"/>
          <w:color w:val="000000" w:themeColor="text1"/>
          <w:sz w:val="21"/>
          <w:szCs w:val="21"/>
          <w:highlight w:val="none"/>
          <w14:textFill>
            <w14:solidFill>
              <w14:schemeClr w14:val="tx1"/>
            </w14:solidFill>
          </w14:textFill>
        </w:rPr>
        <w:t>应</w:t>
      </w:r>
      <w:r>
        <w:rPr>
          <w:rFonts w:hint="eastAsia" w:ascii="宋体" w:hAnsi="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设计</w:t>
      </w:r>
      <w:r>
        <w:rPr>
          <w:rFonts w:hint="eastAsia" w:ascii="宋体" w:hAnsi="宋体"/>
          <w:color w:val="000000" w:themeColor="text1"/>
          <w:sz w:val="21"/>
          <w:szCs w:val="21"/>
          <w:highlight w:val="none"/>
          <w14:textFill>
            <w14:solidFill>
              <w14:schemeClr w14:val="tx1"/>
            </w14:solidFill>
          </w14:textFill>
        </w:rPr>
        <w:t>服</w:t>
      </w:r>
      <w:r>
        <w:rPr>
          <w:rFonts w:hint="eastAsia" w:ascii="宋体" w:hAnsi="宋体" w:cs="宋体"/>
          <w:color w:val="000000" w:themeColor="text1"/>
          <w:sz w:val="21"/>
          <w:szCs w:val="21"/>
          <w:highlight w:val="none"/>
          <w14:textFill>
            <w14:solidFill>
              <w14:schemeClr w14:val="tx1"/>
            </w14:solidFill>
          </w14:textFill>
        </w:rPr>
        <w:t>务</w:t>
      </w:r>
      <w:r>
        <w:rPr>
          <w:rFonts w:hint="eastAsia" w:ascii="宋体" w:hAnsi="宋体"/>
          <w:color w:val="000000" w:themeColor="text1"/>
          <w:sz w:val="21"/>
          <w:szCs w:val="21"/>
          <w:highlight w:val="none"/>
          <w14:textFill>
            <w14:solidFill>
              <w14:schemeClr w14:val="tx1"/>
            </w14:solidFill>
          </w14:textFill>
        </w:rPr>
        <w:t>。招标内容包含勘察的，还将按照投标时的承诺派出勘察项目负责人，并按照招标文件和合同约定完成全部勘察工作。</w:t>
      </w:r>
    </w:p>
    <w:p w14:paraId="2022BADB">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我方同意所提交的投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文件在招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文件的投标人须知前附表第19项</w:t>
      </w:r>
      <w:r>
        <w:rPr>
          <w:rFonts w:hint="eastAsia" w:ascii="宋体" w:hAnsi="宋体" w:cs="宋体"/>
          <w:color w:val="000000" w:themeColor="text1"/>
          <w:sz w:val="21"/>
          <w:szCs w:val="21"/>
          <w:highlight w:val="none"/>
          <w14:textFill>
            <w14:solidFill>
              <w14:schemeClr w14:val="tx1"/>
            </w14:solidFill>
          </w14:textFill>
        </w:rPr>
        <w:t>规</w:t>
      </w:r>
      <w:r>
        <w:rPr>
          <w:rFonts w:hint="eastAsia" w:ascii="宋体" w:hAnsi="宋体"/>
          <w:color w:val="000000" w:themeColor="text1"/>
          <w:sz w:val="21"/>
          <w:szCs w:val="21"/>
          <w:highlight w:val="none"/>
          <w14:textFill>
            <w14:solidFill>
              <w14:schemeClr w14:val="tx1"/>
            </w14:solidFill>
          </w14:textFill>
        </w:rPr>
        <w:t>定的投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有效期限内有效，在此期</w:t>
      </w:r>
      <w:r>
        <w:rPr>
          <w:rFonts w:hint="eastAsia" w:ascii="宋体" w:hAnsi="宋体" w:cs="宋体"/>
          <w:color w:val="000000" w:themeColor="text1"/>
          <w:sz w:val="21"/>
          <w:szCs w:val="21"/>
          <w:highlight w:val="none"/>
          <w14:textFill>
            <w14:solidFill>
              <w14:schemeClr w14:val="tx1"/>
            </w14:solidFill>
          </w14:textFill>
        </w:rPr>
        <w:t>间</w:t>
      </w:r>
      <w:r>
        <w:rPr>
          <w:rFonts w:hint="eastAsia" w:ascii="宋体" w:hAnsi="宋体"/>
          <w:color w:val="000000" w:themeColor="text1"/>
          <w:sz w:val="21"/>
          <w:szCs w:val="21"/>
          <w:highlight w:val="none"/>
          <w14:textFill>
            <w14:solidFill>
              <w14:schemeClr w14:val="tx1"/>
            </w14:solidFill>
          </w14:textFill>
        </w:rPr>
        <w:t>内如果中</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，我方将受此</w:t>
      </w:r>
      <w:r>
        <w:rPr>
          <w:rFonts w:hint="eastAsia" w:ascii="宋体" w:hAnsi="宋体" w:cs="宋体"/>
          <w:color w:val="000000" w:themeColor="text1"/>
          <w:sz w:val="21"/>
          <w:szCs w:val="21"/>
          <w:highlight w:val="none"/>
          <w14:textFill>
            <w14:solidFill>
              <w14:schemeClr w14:val="tx1"/>
            </w14:solidFill>
          </w14:textFill>
        </w:rPr>
        <w:t>约</w:t>
      </w:r>
      <w:r>
        <w:rPr>
          <w:rFonts w:hint="eastAsia" w:ascii="宋体" w:hAnsi="宋体"/>
          <w:color w:val="000000" w:themeColor="text1"/>
          <w:sz w:val="21"/>
          <w:szCs w:val="21"/>
          <w:highlight w:val="none"/>
          <w14:textFill>
            <w14:solidFill>
              <w14:schemeClr w14:val="tx1"/>
            </w14:solidFill>
          </w14:textFill>
        </w:rPr>
        <w:t>束。</w:t>
      </w:r>
    </w:p>
    <w:p w14:paraId="5C901422">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除非另外达成</w:t>
      </w:r>
      <w:r>
        <w:rPr>
          <w:rFonts w:hint="eastAsia" w:ascii="宋体" w:hAnsi="宋体" w:cs="宋体"/>
          <w:color w:val="000000" w:themeColor="text1"/>
          <w:sz w:val="21"/>
          <w:szCs w:val="21"/>
          <w:highlight w:val="none"/>
          <w14:textFill>
            <w14:solidFill>
              <w14:schemeClr w14:val="tx1"/>
            </w14:solidFill>
          </w14:textFill>
        </w:rPr>
        <w:t>协议</w:t>
      </w:r>
      <w:r>
        <w:rPr>
          <w:rFonts w:hint="eastAsia" w:ascii="宋体" w:hAnsi="宋体"/>
          <w:color w:val="000000" w:themeColor="text1"/>
          <w:sz w:val="21"/>
          <w:szCs w:val="21"/>
          <w:highlight w:val="none"/>
          <w14:textFill>
            <w14:solidFill>
              <w14:schemeClr w14:val="tx1"/>
            </w14:solidFill>
          </w14:textFill>
        </w:rPr>
        <w:t>并生效，</w:t>
      </w:r>
      <w:r>
        <w:rPr>
          <w:rFonts w:hint="eastAsia" w:ascii="宋体" w:hAnsi="宋体" w:cs="宋体"/>
          <w:color w:val="000000" w:themeColor="text1"/>
          <w:sz w:val="21"/>
          <w:szCs w:val="21"/>
          <w:highlight w:val="none"/>
          <w14:textFill>
            <w14:solidFill>
              <w14:schemeClr w14:val="tx1"/>
            </w14:solidFill>
          </w14:textFill>
        </w:rPr>
        <w:t>贵</w:t>
      </w:r>
      <w:r>
        <w:rPr>
          <w:rFonts w:hint="eastAsia" w:ascii="宋体" w:hAnsi="宋体"/>
          <w:color w:val="000000" w:themeColor="text1"/>
          <w:sz w:val="21"/>
          <w:szCs w:val="21"/>
          <w:highlight w:val="none"/>
          <w14:textFill>
            <w14:solidFill>
              <w14:schemeClr w14:val="tx1"/>
            </w14:solidFill>
          </w14:textFill>
        </w:rPr>
        <w:t>方的中</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通知</w:t>
      </w:r>
      <w:r>
        <w:rPr>
          <w:rFonts w:hint="eastAsia" w:ascii="宋体" w:hAnsi="宋体" w:cs="宋体"/>
          <w:color w:val="000000" w:themeColor="text1"/>
          <w:sz w:val="21"/>
          <w:szCs w:val="21"/>
          <w:highlight w:val="none"/>
          <w14:textFill>
            <w14:solidFill>
              <w14:schemeClr w14:val="tx1"/>
            </w14:solidFill>
          </w14:textFill>
        </w:rPr>
        <w:t>书</w:t>
      </w:r>
      <w:r>
        <w:rPr>
          <w:rFonts w:hint="eastAsia" w:ascii="宋体" w:hAnsi="宋体"/>
          <w:color w:val="000000" w:themeColor="text1"/>
          <w:sz w:val="21"/>
          <w:szCs w:val="21"/>
          <w:highlight w:val="none"/>
          <w14:textFill>
            <w14:solidFill>
              <w14:schemeClr w14:val="tx1"/>
            </w14:solidFill>
          </w14:textFill>
        </w:rPr>
        <w:t>和本投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文件将成</w:t>
      </w:r>
      <w:r>
        <w:rPr>
          <w:rFonts w:hint="eastAsia" w:ascii="宋体" w:hAnsi="宋体" w:cs="宋体"/>
          <w:color w:val="000000" w:themeColor="text1"/>
          <w:sz w:val="21"/>
          <w:szCs w:val="21"/>
          <w:highlight w:val="none"/>
          <w14:textFill>
            <w14:solidFill>
              <w14:schemeClr w14:val="tx1"/>
            </w14:solidFill>
          </w14:textFill>
        </w:rPr>
        <w:t>为约</w:t>
      </w:r>
      <w:r>
        <w:rPr>
          <w:rFonts w:hint="eastAsia" w:ascii="宋体" w:hAnsi="宋体"/>
          <w:color w:val="000000" w:themeColor="text1"/>
          <w:sz w:val="21"/>
          <w:szCs w:val="21"/>
          <w:highlight w:val="none"/>
          <w14:textFill>
            <w14:solidFill>
              <w14:schemeClr w14:val="tx1"/>
            </w14:solidFill>
          </w14:textFill>
        </w:rPr>
        <w:t>束双方的合同文件的</w:t>
      </w:r>
      <w:r>
        <w:rPr>
          <w:rFonts w:hint="eastAsia" w:ascii="宋体" w:hAnsi="宋体" w:cs="宋体"/>
          <w:color w:val="000000" w:themeColor="text1"/>
          <w:sz w:val="21"/>
          <w:szCs w:val="21"/>
          <w:highlight w:val="none"/>
          <w14:textFill>
            <w14:solidFill>
              <w14:schemeClr w14:val="tx1"/>
            </w14:solidFill>
          </w14:textFill>
        </w:rPr>
        <w:t>组</w:t>
      </w:r>
      <w:r>
        <w:rPr>
          <w:rFonts w:hint="eastAsia" w:ascii="宋体" w:hAnsi="宋体"/>
          <w:color w:val="000000" w:themeColor="text1"/>
          <w:sz w:val="21"/>
          <w:szCs w:val="21"/>
          <w:highlight w:val="none"/>
          <w14:textFill>
            <w14:solidFill>
              <w14:schemeClr w14:val="tx1"/>
            </w14:solidFill>
          </w14:textFill>
        </w:rPr>
        <w:t>成部分。</w:t>
      </w:r>
    </w:p>
    <w:p w14:paraId="0E15E3A2">
      <w:pPr>
        <w:spacing w:line="440" w:lineRule="exact"/>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其他</w:t>
      </w:r>
      <w:r>
        <w:rPr>
          <w:rFonts w:hint="eastAsia" w:ascii="宋体" w:hAnsi="宋体" w:cs="宋体"/>
          <w:color w:val="000000" w:themeColor="text1"/>
          <w:sz w:val="21"/>
          <w:szCs w:val="21"/>
          <w:highlight w:val="none"/>
          <w14:textFill>
            <w14:solidFill>
              <w14:schemeClr w14:val="tx1"/>
            </w14:solidFill>
          </w14:textFill>
        </w:rPr>
        <w:t>补</w:t>
      </w:r>
      <w:r>
        <w:rPr>
          <w:rFonts w:hint="eastAsia" w:ascii="宋体" w:hAnsi="宋体"/>
          <w:color w:val="000000" w:themeColor="text1"/>
          <w:sz w:val="21"/>
          <w:szCs w:val="21"/>
          <w:highlight w:val="none"/>
          <w14:textFill>
            <w14:solidFill>
              <w14:schemeClr w14:val="tx1"/>
            </w14:solidFill>
          </w14:textFill>
        </w:rPr>
        <w:t>充</w:t>
      </w:r>
      <w:r>
        <w:rPr>
          <w:rFonts w:hint="eastAsia" w:ascii="宋体" w:hAnsi="宋体" w:cs="宋体"/>
          <w:color w:val="000000" w:themeColor="text1"/>
          <w:sz w:val="21"/>
          <w:szCs w:val="21"/>
          <w:highlight w:val="none"/>
          <w14:textFill>
            <w14:solidFill>
              <w14:schemeClr w14:val="tx1"/>
            </w14:solidFill>
          </w14:textFill>
        </w:rPr>
        <w:t>说</w:t>
      </w:r>
      <w:r>
        <w:rPr>
          <w:rFonts w:hint="eastAsia" w:ascii="宋体" w:hAnsi="宋体"/>
          <w:color w:val="000000" w:themeColor="text1"/>
          <w:sz w:val="21"/>
          <w:szCs w:val="21"/>
          <w:highlight w:val="none"/>
          <w14:textFill>
            <w14:solidFill>
              <w14:schemeClr w14:val="tx1"/>
            </w14:solidFill>
          </w14:textFill>
        </w:rPr>
        <w:t xml:space="preserve">明（如有的话填入）： </w:t>
      </w:r>
      <w:r>
        <w:rPr>
          <w:rFonts w:hint="eastAsia" w:ascii="宋体" w:hAnsi="宋体"/>
          <w:color w:val="000000" w:themeColor="text1"/>
          <w:sz w:val="21"/>
          <w:szCs w:val="21"/>
          <w:highlight w:val="none"/>
          <w:u w:val="single"/>
          <w14:textFill>
            <w14:solidFill>
              <w14:schemeClr w14:val="tx1"/>
            </w14:solidFill>
          </w14:textFill>
        </w:rPr>
        <w:t xml:space="preserve">                                               </w:t>
      </w:r>
    </w:p>
    <w:p w14:paraId="11B73717">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与本投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有</w:t>
      </w:r>
      <w:r>
        <w:rPr>
          <w:rFonts w:hint="eastAsia" w:ascii="宋体" w:hAnsi="宋体" w:cs="宋体"/>
          <w:color w:val="000000" w:themeColor="text1"/>
          <w:sz w:val="21"/>
          <w:szCs w:val="21"/>
          <w:highlight w:val="none"/>
          <w14:textFill>
            <w14:solidFill>
              <w14:schemeClr w14:val="tx1"/>
            </w14:solidFill>
          </w14:textFill>
        </w:rPr>
        <w:t>关</w:t>
      </w:r>
      <w:r>
        <w:rPr>
          <w:rFonts w:hint="eastAsia" w:ascii="宋体" w:hAnsi="宋体"/>
          <w:color w:val="000000" w:themeColor="text1"/>
          <w:sz w:val="21"/>
          <w:szCs w:val="21"/>
          <w:highlight w:val="none"/>
          <w14:textFill>
            <w14:solidFill>
              <w14:schemeClr w14:val="tx1"/>
            </w14:solidFill>
          </w14:textFill>
        </w:rPr>
        <w:t>的一切正式往来通</w:t>
      </w:r>
      <w:r>
        <w:rPr>
          <w:rFonts w:hint="eastAsia" w:ascii="宋体" w:hAnsi="宋体" w:cs="宋体"/>
          <w:color w:val="000000" w:themeColor="text1"/>
          <w:sz w:val="21"/>
          <w:szCs w:val="21"/>
          <w:highlight w:val="none"/>
          <w14:textFill>
            <w14:solidFill>
              <w14:schemeClr w14:val="tx1"/>
            </w14:solidFill>
          </w14:textFill>
        </w:rPr>
        <w:t>讯请</w:t>
      </w:r>
      <w:r>
        <w:rPr>
          <w:rFonts w:hint="eastAsia" w:ascii="宋体" w:hAnsi="宋体"/>
          <w:color w:val="000000" w:themeColor="text1"/>
          <w:sz w:val="21"/>
          <w:szCs w:val="21"/>
          <w:highlight w:val="none"/>
          <w14:textFill>
            <w14:solidFill>
              <w14:schemeClr w14:val="tx1"/>
            </w14:solidFill>
          </w14:textFill>
        </w:rPr>
        <w:t>寄：</w:t>
      </w:r>
    </w:p>
    <w:p w14:paraId="2CC15528">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r>
        <w:rPr>
          <w:rStyle w:val="49"/>
          <w:rFonts w:ascii="宋体" w:hAnsi="宋体"/>
          <w:color w:val="000000" w:themeColor="text1"/>
          <w:sz w:val="21"/>
          <w:szCs w:val="21"/>
          <w:highlight w:val="none"/>
          <w14:textFill>
            <w14:solidFill>
              <w14:schemeClr w14:val="tx1"/>
            </w14:solidFill>
          </w14:textFill>
        </w:rPr>
        <w:footnoteReference w:id="103"/>
      </w:r>
    </w:p>
    <w:p w14:paraId="360759DA">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拟担任设计项目负责人：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（盖实体执业章、签字）</w:t>
      </w:r>
      <w:r>
        <w:rPr>
          <w:rStyle w:val="49"/>
          <w:rFonts w:ascii="宋体" w:hAnsi="宋体"/>
          <w:color w:val="000000" w:themeColor="text1"/>
          <w:sz w:val="21"/>
          <w:szCs w:val="21"/>
          <w:highlight w:val="none"/>
          <w14:textFill>
            <w14:solidFill>
              <w14:schemeClr w14:val="tx1"/>
            </w14:solidFill>
          </w14:textFill>
        </w:rPr>
        <w:footnoteReference w:id="104"/>
      </w:r>
    </w:p>
    <w:p w14:paraId="3B2C8C1E">
      <w:pPr>
        <w:spacing w:line="440" w:lineRule="exact"/>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地址：</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邮编</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14:paraId="64E089E6">
      <w:pPr>
        <w:spacing w:line="440" w:lineRule="exact"/>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电话</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传</w:t>
      </w:r>
      <w:r>
        <w:rPr>
          <w:rFonts w:hint="eastAsia" w:ascii="宋体" w:hAnsi="宋体"/>
          <w:color w:val="000000" w:themeColor="text1"/>
          <w:sz w:val="21"/>
          <w:szCs w:val="21"/>
          <w:highlight w:val="none"/>
          <w14:textFill>
            <w14:solidFill>
              <w14:schemeClr w14:val="tx1"/>
            </w14:solidFill>
          </w14:textFill>
        </w:rPr>
        <w:t>真：</w:t>
      </w:r>
      <w:r>
        <w:rPr>
          <w:rFonts w:hint="eastAsia" w:ascii="宋体" w:hAnsi="宋体"/>
          <w:color w:val="000000" w:themeColor="text1"/>
          <w:sz w:val="21"/>
          <w:szCs w:val="21"/>
          <w:highlight w:val="none"/>
          <w:u w:val="single"/>
          <w14:textFill>
            <w14:solidFill>
              <w14:schemeClr w14:val="tx1"/>
            </w14:solidFill>
          </w14:textFill>
        </w:rPr>
        <w:t xml:space="preserve">           </w:t>
      </w:r>
    </w:p>
    <w:p w14:paraId="5F8AFAD6">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66CBAC7E">
      <w:pPr>
        <w:pStyle w:val="13"/>
        <w:tabs>
          <w:tab w:val="left" w:pos="510"/>
          <w:tab w:val="left" w:pos="1000"/>
        </w:tabs>
        <w:spacing w:line="360" w:lineRule="auto"/>
        <w:ind w:firstLine="0"/>
        <w:rPr>
          <w:rFonts w:hint="eastAsia" w:ascii="宋体" w:hAnsi="宋体" w:eastAsia="宋体"/>
          <w:snapToGrid w:val="0"/>
          <w:color w:val="000000" w:themeColor="text1"/>
          <w:szCs w:val="21"/>
          <w:highlight w:val="none"/>
          <w14:textFill>
            <w14:solidFill>
              <w14:schemeClr w14:val="tx1"/>
            </w14:solidFill>
          </w14:textFill>
        </w:rPr>
      </w:pPr>
    </w:p>
    <w:p w14:paraId="7F3DF747">
      <w:pPr>
        <w:pStyle w:val="13"/>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二、投标函附表</w:t>
      </w:r>
      <w:r>
        <w:rPr>
          <w:rFonts w:hint="eastAsia" w:ascii="宋体" w:hAnsi="宋体" w:eastAsia="宋体"/>
          <w:color w:val="000000" w:themeColor="text1"/>
          <w:szCs w:val="21"/>
          <w:highlight w:val="none"/>
          <w14:textFill>
            <w14:solidFill>
              <w14:schemeClr w14:val="tx1"/>
            </w14:solidFill>
          </w14:textFill>
        </w:rPr>
        <w:t>（格式）</w:t>
      </w:r>
    </w:p>
    <w:p w14:paraId="7D00D653">
      <w:pPr>
        <w:spacing w:after="100" w:afterAutospacing="1"/>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w:t>
      </w:r>
      <w:r>
        <w:rPr>
          <w:rFonts w:hint="eastAsia" w:ascii="黑体" w:hAnsi="黑体" w:eastAsia="黑体" w:cs="宋体"/>
          <w:color w:val="000000" w:themeColor="text1"/>
          <w:sz w:val="32"/>
          <w:szCs w:val="32"/>
          <w:highlight w:val="none"/>
          <w14:textFill>
            <w14:solidFill>
              <w14:schemeClr w14:val="tx1"/>
            </w14:solidFill>
          </w14:textFill>
        </w:rPr>
        <w:t>标</w:t>
      </w:r>
      <w:r>
        <w:rPr>
          <w:rFonts w:hint="eastAsia" w:ascii="黑体" w:hAnsi="黑体" w:eastAsia="黑体"/>
          <w:color w:val="000000" w:themeColor="text1"/>
          <w:sz w:val="32"/>
          <w:szCs w:val="32"/>
          <w:highlight w:val="none"/>
          <w14:textFill>
            <w14:solidFill>
              <w14:schemeClr w14:val="tx1"/>
            </w14:solidFill>
          </w14:textFill>
        </w:rPr>
        <w:t>函附表</w:t>
      </w:r>
      <w:r>
        <w:rPr>
          <w:rStyle w:val="49"/>
          <w:rFonts w:ascii="黑体" w:hAnsi="黑体" w:eastAsia="黑体"/>
          <w:color w:val="000000" w:themeColor="text1"/>
          <w:sz w:val="32"/>
          <w:szCs w:val="32"/>
          <w:highlight w:val="none"/>
          <w14:textFill>
            <w14:solidFill>
              <w14:schemeClr w14:val="tx1"/>
            </w14:solidFill>
          </w14:textFill>
        </w:rPr>
        <w:footnoteReference w:id="105"/>
      </w:r>
    </w:p>
    <w:tbl>
      <w:tblPr>
        <w:tblStyle w:val="41"/>
        <w:tblW w:w="9073" w:type="dxa"/>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48"/>
        <w:gridCol w:w="2515"/>
        <w:gridCol w:w="1833"/>
        <w:gridCol w:w="2477"/>
      </w:tblGrid>
      <w:tr w14:paraId="0F24A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9" w:hRule="exact"/>
        </w:trPr>
        <w:tc>
          <w:tcPr>
            <w:tcW w:w="2248" w:type="dxa"/>
            <w:tcBorders>
              <w:tl2br w:val="nil"/>
              <w:tr2bl w:val="nil"/>
            </w:tcBorders>
            <w:vAlign w:val="center"/>
          </w:tcPr>
          <w:p w14:paraId="11DCBDF7">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w:t>
            </w:r>
          </w:p>
        </w:tc>
        <w:tc>
          <w:tcPr>
            <w:tcW w:w="2515" w:type="dxa"/>
            <w:tcBorders>
              <w:tl2br w:val="nil"/>
              <w:tr2bl w:val="nil"/>
            </w:tcBorders>
            <w:vAlign w:val="center"/>
          </w:tcPr>
          <w:p w14:paraId="7128BEE1">
            <w:pPr>
              <w:jc w:val="center"/>
              <w:rPr>
                <w:rFonts w:ascii="宋体" w:hAnsi="宋体"/>
                <w:color w:val="000000" w:themeColor="text1"/>
                <w:sz w:val="21"/>
                <w:szCs w:val="21"/>
                <w:highlight w:val="none"/>
                <w14:textFill>
                  <w14:solidFill>
                    <w14:schemeClr w14:val="tx1"/>
                  </w14:solidFill>
                </w14:textFill>
              </w:rPr>
            </w:pPr>
          </w:p>
        </w:tc>
        <w:tc>
          <w:tcPr>
            <w:tcW w:w="1833" w:type="dxa"/>
            <w:tcBorders>
              <w:tl2br w:val="nil"/>
              <w:tr2bl w:val="nil"/>
            </w:tcBorders>
            <w:vAlign w:val="center"/>
          </w:tcPr>
          <w:p w14:paraId="1AA3FBDA">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标编</w:t>
            </w:r>
            <w:r>
              <w:rPr>
                <w:rFonts w:hint="eastAsia" w:ascii="宋体" w:hAnsi="宋体"/>
                <w:color w:val="000000" w:themeColor="text1"/>
                <w:sz w:val="21"/>
                <w:szCs w:val="21"/>
                <w:highlight w:val="none"/>
                <w14:textFill>
                  <w14:solidFill>
                    <w14:schemeClr w14:val="tx1"/>
                  </w14:solidFill>
                </w14:textFill>
              </w:rPr>
              <w:t>号</w:t>
            </w:r>
          </w:p>
        </w:tc>
        <w:tc>
          <w:tcPr>
            <w:tcW w:w="2477" w:type="dxa"/>
            <w:tcBorders>
              <w:tl2br w:val="nil"/>
              <w:tr2bl w:val="nil"/>
            </w:tcBorders>
            <w:vAlign w:val="center"/>
          </w:tcPr>
          <w:p w14:paraId="1640C07D">
            <w:pPr>
              <w:jc w:val="center"/>
              <w:rPr>
                <w:rFonts w:ascii="宋体" w:hAnsi="宋体"/>
                <w:color w:val="000000" w:themeColor="text1"/>
                <w:sz w:val="21"/>
                <w:szCs w:val="21"/>
                <w:highlight w:val="none"/>
                <w14:textFill>
                  <w14:solidFill>
                    <w14:schemeClr w14:val="tx1"/>
                  </w14:solidFill>
                </w14:textFill>
              </w:rPr>
            </w:pPr>
          </w:p>
        </w:tc>
      </w:tr>
      <w:tr w14:paraId="00710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1" w:hRule="exact"/>
        </w:trPr>
        <w:tc>
          <w:tcPr>
            <w:tcW w:w="2248" w:type="dxa"/>
            <w:tcBorders>
              <w:tl2br w:val="nil"/>
              <w:tr2bl w:val="nil"/>
            </w:tcBorders>
            <w:vAlign w:val="center"/>
          </w:tcPr>
          <w:p w14:paraId="25830D92">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人名称</w:t>
            </w:r>
          </w:p>
        </w:tc>
        <w:tc>
          <w:tcPr>
            <w:tcW w:w="6825" w:type="dxa"/>
            <w:gridSpan w:val="3"/>
            <w:tcBorders>
              <w:tl2br w:val="nil"/>
              <w:tr2bl w:val="nil"/>
            </w:tcBorders>
            <w:vAlign w:val="center"/>
          </w:tcPr>
          <w:p w14:paraId="2318B646">
            <w:pPr>
              <w:jc w:val="center"/>
              <w:rPr>
                <w:rFonts w:ascii="宋体" w:hAnsi="宋体"/>
                <w:color w:val="000000" w:themeColor="text1"/>
                <w:sz w:val="21"/>
                <w:szCs w:val="21"/>
                <w:highlight w:val="none"/>
                <w14:textFill>
                  <w14:solidFill>
                    <w14:schemeClr w14:val="tx1"/>
                  </w14:solidFill>
                </w14:textFill>
              </w:rPr>
            </w:pPr>
          </w:p>
        </w:tc>
      </w:tr>
      <w:tr w14:paraId="00B46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89" w:hRule="exact"/>
        </w:trPr>
        <w:tc>
          <w:tcPr>
            <w:tcW w:w="2248" w:type="dxa"/>
            <w:tcBorders>
              <w:tl2br w:val="nil"/>
              <w:tr2bl w:val="nil"/>
            </w:tcBorders>
            <w:vAlign w:val="center"/>
          </w:tcPr>
          <w:p w14:paraId="6DE7632F">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设计项目负责人</w:t>
            </w:r>
          </w:p>
        </w:tc>
        <w:tc>
          <w:tcPr>
            <w:tcW w:w="6825" w:type="dxa"/>
            <w:gridSpan w:val="3"/>
            <w:tcBorders>
              <w:tl2br w:val="nil"/>
              <w:tr2bl w:val="nil"/>
            </w:tcBorders>
            <w:vAlign w:val="center"/>
          </w:tcPr>
          <w:p w14:paraId="12DF5B7F">
            <w:pPr>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r>
              <w:rPr>
                <w:rFonts w:hint="eastAsia" w:ascii="宋体" w:hAnsi="宋体"/>
                <w:color w:val="000000" w:themeColor="text1"/>
                <w:sz w:val="21"/>
                <w:szCs w:val="21"/>
                <w:highlight w:val="none"/>
                <w:u w:val="single"/>
                <w14:textFill>
                  <w14:solidFill>
                    <w14:schemeClr w14:val="tx1"/>
                  </w14:solidFill>
                </w14:textFill>
              </w:rPr>
              <w:t xml:space="preserve">                    </w:t>
            </w:r>
          </w:p>
          <w:p w14:paraId="035DFB50">
            <w:pPr>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身份证号码：</w:t>
            </w:r>
            <w:r>
              <w:rPr>
                <w:rFonts w:hint="eastAsia" w:ascii="宋体" w:hAnsi="宋体"/>
                <w:color w:val="000000" w:themeColor="text1"/>
                <w:sz w:val="21"/>
                <w:szCs w:val="21"/>
                <w:highlight w:val="none"/>
                <w:u w:val="single"/>
                <w14:textFill>
                  <w14:solidFill>
                    <w14:schemeClr w14:val="tx1"/>
                  </w14:solidFill>
                </w14:textFill>
              </w:rPr>
              <w:t xml:space="preserve">              </w:t>
            </w:r>
          </w:p>
          <w:p w14:paraId="65C0736E">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执业资格（职称）证书级别：</w:t>
            </w:r>
            <w:r>
              <w:rPr>
                <w:rFonts w:hint="eastAsia" w:ascii="宋体" w:hAnsi="宋体"/>
                <w:color w:val="000000" w:themeColor="text1"/>
                <w:sz w:val="21"/>
                <w:szCs w:val="21"/>
                <w:highlight w:val="none"/>
                <w:u w:val="single"/>
                <w14:textFill>
                  <w14:solidFill>
                    <w14:schemeClr w14:val="tx1"/>
                  </w14:solidFill>
                </w14:textFill>
              </w:rPr>
              <w:t xml:space="preserve">                      </w:t>
            </w:r>
          </w:p>
          <w:p w14:paraId="0EC1D938">
            <w:pPr>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执业资格（职称）证书编号：</w:t>
            </w:r>
            <w:r>
              <w:rPr>
                <w:rFonts w:hint="eastAsia" w:ascii="宋体" w:hAnsi="宋体"/>
                <w:color w:val="000000" w:themeColor="text1"/>
                <w:sz w:val="21"/>
                <w:szCs w:val="21"/>
                <w:highlight w:val="none"/>
                <w:u w:val="single"/>
                <w14:textFill>
                  <w14:solidFill>
                    <w14:schemeClr w14:val="tx1"/>
                  </w14:solidFill>
                </w14:textFill>
              </w:rPr>
              <w:t xml:space="preserve">                      </w:t>
            </w:r>
          </w:p>
        </w:tc>
      </w:tr>
      <w:tr w14:paraId="18A3D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2248" w:type="dxa"/>
            <w:tcBorders>
              <w:tl2br w:val="nil"/>
              <w:tr2bl w:val="nil"/>
            </w:tcBorders>
            <w:vAlign w:val="center"/>
          </w:tcPr>
          <w:p w14:paraId="330DC447">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设计费投</w:t>
            </w:r>
            <w:r>
              <w:rPr>
                <w:rFonts w:hint="eastAsia" w:ascii="宋体" w:hAnsi="宋体" w:cs="宋体"/>
                <w:color w:val="000000" w:themeColor="text1"/>
                <w:sz w:val="21"/>
                <w:szCs w:val="21"/>
                <w:highlight w:val="none"/>
                <w14:textFill>
                  <w14:solidFill>
                    <w14:schemeClr w14:val="tx1"/>
                  </w14:solidFill>
                </w14:textFill>
              </w:rPr>
              <w:t>标报</w:t>
            </w:r>
            <w:r>
              <w:rPr>
                <w:rFonts w:hint="eastAsia" w:ascii="宋体" w:hAnsi="宋体"/>
                <w:color w:val="000000" w:themeColor="text1"/>
                <w:sz w:val="21"/>
                <w:szCs w:val="21"/>
                <w:highlight w:val="none"/>
                <w14:textFill>
                  <w14:solidFill>
                    <w14:schemeClr w14:val="tx1"/>
                  </w14:solidFill>
                </w14:textFill>
              </w:rPr>
              <w:t>价</w:t>
            </w:r>
          </w:p>
          <w:p w14:paraId="72274D9F">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金额</w:t>
            </w:r>
          </w:p>
        </w:tc>
        <w:tc>
          <w:tcPr>
            <w:tcW w:w="6825" w:type="dxa"/>
            <w:gridSpan w:val="3"/>
            <w:tcBorders>
              <w:tl2br w:val="nil"/>
              <w:tr2bl w:val="nil"/>
            </w:tcBorders>
            <w:vAlign w:val="center"/>
          </w:tcPr>
          <w:p w14:paraId="3157D5A7">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（大写）人民币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p>
          <w:p w14:paraId="215BD933">
            <w:pPr>
              <w:ind w:firstLine="105" w:firstLineChars="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（小写）¥</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p>
        </w:tc>
      </w:tr>
      <w:tr w14:paraId="4C9D6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2248" w:type="dxa"/>
            <w:tcBorders>
              <w:tl2br w:val="nil"/>
              <w:tr2bl w:val="nil"/>
            </w:tcBorders>
            <w:vAlign w:val="center"/>
          </w:tcPr>
          <w:p w14:paraId="3711BC53">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勘察费投标报价（如有）</w:t>
            </w:r>
          </w:p>
        </w:tc>
        <w:tc>
          <w:tcPr>
            <w:tcW w:w="6825" w:type="dxa"/>
            <w:gridSpan w:val="3"/>
            <w:tcBorders>
              <w:tl2br w:val="nil"/>
              <w:tr2bl w:val="nil"/>
            </w:tcBorders>
            <w:vAlign w:val="center"/>
          </w:tcPr>
          <w:p w14:paraId="68D45CDE">
            <w:pPr>
              <w:rPr>
                <w:rFonts w:ascii="宋体" w:hAnsi="宋体"/>
                <w:color w:val="000000" w:themeColor="text1"/>
                <w:sz w:val="21"/>
                <w:szCs w:val="21"/>
                <w:highlight w:val="none"/>
                <w14:textFill>
                  <w14:solidFill>
                    <w14:schemeClr w14:val="tx1"/>
                  </w14:solidFill>
                </w14:textFill>
              </w:rPr>
            </w:pPr>
          </w:p>
        </w:tc>
      </w:tr>
      <w:tr w14:paraId="6939B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441" w:hRule="atLeast"/>
        </w:trPr>
        <w:tc>
          <w:tcPr>
            <w:tcW w:w="2248" w:type="dxa"/>
            <w:vMerge w:val="restart"/>
            <w:tcBorders>
              <w:tl2br w:val="nil"/>
              <w:tr2bl w:val="nil"/>
            </w:tcBorders>
            <w:vAlign w:val="center"/>
          </w:tcPr>
          <w:p w14:paraId="479A85B9">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设计（勘察）服务期限</w:t>
            </w:r>
          </w:p>
        </w:tc>
        <w:tc>
          <w:tcPr>
            <w:tcW w:w="6825" w:type="dxa"/>
            <w:gridSpan w:val="3"/>
            <w:tcBorders>
              <w:tl2br w:val="nil"/>
              <w:tr2bl w:val="nil"/>
            </w:tcBorders>
            <w:vAlign w:val="center"/>
          </w:tcPr>
          <w:p w14:paraId="4A45A8C4">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方案设计优化：</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日历日</w:t>
            </w:r>
          </w:p>
          <w:p w14:paraId="69CC87D3">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初步设计：</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日历日</w:t>
            </w:r>
          </w:p>
          <w:p w14:paraId="757CCBBD">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施工图设计：</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日历日</w:t>
            </w:r>
          </w:p>
        </w:tc>
      </w:tr>
      <w:tr w14:paraId="60150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6" w:hRule="exact"/>
        </w:trPr>
        <w:tc>
          <w:tcPr>
            <w:tcW w:w="2248" w:type="dxa"/>
            <w:vMerge w:val="continue"/>
            <w:tcBorders>
              <w:tl2br w:val="nil"/>
              <w:tr2bl w:val="nil"/>
            </w:tcBorders>
            <w:vAlign w:val="center"/>
          </w:tcPr>
          <w:p w14:paraId="464A9FF6">
            <w:pPr>
              <w:jc w:val="center"/>
              <w:rPr>
                <w:rFonts w:ascii="宋体" w:hAnsi="宋体"/>
                <w:color w:val="000000" w:themeColor="text1"/>
                <w:sz w:val="21"/>
                <w:szCs w:val="21"/>
                <w:highlight w:val="none"/>
                <w14:textFill>
                  <w14:solidFill>
                    <w14:schemeClr w14:val="tx1"/>
                  </w14:solidFill>
                </w14:textFill>
              </w:rPr>
            </w:pPr>
          </w:p>
        </w:tc>
        <w:tc>
          <w:tcPr>
            <w:tcW w:w="6825" w:type="dxa"/>
            <w:gridSpan w:val="3"/>
            <w:tcBorders>
              <w:tl2br w:val="nil"/>
              <w:tr2bl w:val="nil"/>
            </w:tcBorders>
            <w:vAlign w:val="center"/>
          </w:tcPr>
          <w:p w14:paraId="0D37D984">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勘察服务期限（如有）：</w:t>
            </w:r>
          </w:p>
        </w:tc>
      </w:tr>
      <w:tr w14:paraId="67ACC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6" w:hRule="exact"/>
        </w:trPr>
        <w:tc>
          <w:tcPr>
            <w:tcW w:w="2248" w:type="dxa"/>
            <w:tcBorders>
              <w:tl2br w:val="nil"/>
              <w:tr2bl w:val="nil"/>
            </w:tcBorders>
            <w:vAlign w:val="center"/>
          </w:tcPr>
          <w:p w14:paraId="62460003">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6825" w:type="dxa"/>
            <w:gridSpan w:val="3"/>
            <w:tcBorders>
              <w:tl2br w:val="nil"/>
              <w:tr2bl w:val="nil"/>
            </w:tcBorders>
            <w:vAlign w:val="center"/>
          </w:tcPr>
          <w:p w14:paraId="4B8C94D0">
            <w:pPr>
              <w:rPr>
                <w:rFonts w:ascii="宋体" w:hAnsi="宋体"/>
                <w:color w:val="000000" w:themeColor="text1"/>
                <w:sz w:val="21"/>
                <w:szCs w:val="21"/>
                <w:highlight w:val="none"/>
                <w14:textFill>
                  <w14:solidFill>
                    <w14:schemeClr w14:val="tx1"/>
                  </w14:solidFill>
                </w14:textFill>
              </w:rPr>
            </w:pPr>
          </w:p>
        </w:tc>
      </w:tr>
      <w:tr w14:paraId="152FB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0" w:hRule="exact"/>
        </w:trPr>
        <w:tc>
          <w:tcPr>
            <w:tcW w:w="2248" w:type="dxa"/>
            <w:tcBorders>
              <w:tl2br w:val="nil"/>
              <w:tr2bl w:val="nil"/>
            </w:tcBorders>
            <w:vAlign w:val="center"/>
          </w:tcPr>
          <w:p w14:paraId="5ADB4CD1">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c>
          <w:tcPr>
            <w:tcW w:w="6825" w:type="dxa"/>
            <w:gridSpan w:val="3"/>
            <w:tcBorders>
              <w:tl2br w:val="nil"/>
              <w:tr2bl w:val="nil"/>
            </w:tcBorders>
            <w:vAlign w:val="center"/>
          </w:tcPr>
          <w:p w14:paraId="43228C51">
            <w:pPr>
              <w:jc w:val="center"/>
              <w:rPr>
                <w:rFonts w:ascii="宋体" w:hAnsi="宋体"/>
                <w:color w:val="000000" w:themeColor="text1"/>
                <w:sz w:val="21"/>
                <w:szCs w:val="21"/>
                <w:highlight w:val="none"/>
                <w14:textFill>
                  <w14:solidFill>
                    <w14:schemeClr w14:val="tx1"/>
                  </w14:solidFill>
                </w14:textFill>
              </w:rPr>
            </w:pPr>
          </w:p>
        </w:tc>
      </w:tr>
    </w:tbl>
    <w:p w14:paraId="1FB0AD70">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51347CD3">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3DC8DF30">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36C9AAC5">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4BDE227E">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三、投标保证金</w:t>
      </w:r>
      <w:r>
        <w:rPr>
          <w:rFonts w:hint="eastAsia" w:ascii="宋体" w:hAnsi="宋体" w:eastAsia="宋体"/>
          <w:color w:val="000000" w:themeColor="text1"/>
          <w:szCs w:val="21"/>
          <w:highlight w:val="none"/>
          <w14:textFill>
            <w14:solidFill>
              <w14:schemeClr w14:val="tx1"/>
            </w14:solidFill>
          </w14:textFill>
        </w:rPr>
        <w:t>（格式）</w:t>
      </w:r>
    </w:p>
    <w:p w14:paraId="74F66DEA">
      <w:pPr>
        <w:tabs>
          <w:tab w:val="left" w:pos="840"/>
          <w:tab w:val="left" w:pos="1600"/>
        </w:tabs>
        <w:snapToGrid w:val="0"/>
        <w:spacing w:line="560" w:lineRule="exact"/>
        <w:ind w:left="18" w:leftChars="-165" w:hanging="348" w:hangingChars="109"/>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投标保证金</w:t>
      </w:r>
    </w:p>
    <w:p w14:paraId="03733CFD">
      <w:pPr>
        <w:tabs>
          <w:tab w:val="left" w:pos="840"/>
          <w:tab w:val="left" w:pos="1600"/>
        </w:tabs>
        <w:snapToGrid w:val="0"/>
        <w:spacing w:line="560" w:lineRule="exact"/>
        <w:ind w:left="-25" w:leftChars="-165" w:hanging="305" w:hangingChars="109"/>
        <w:jc w:val="center"/>
        <w:rPr>
          <w:rFonts w:hint="eastAsia" w:ascii="宋体"/>
          <w:b/>
          <w:color w:val="000000" w:themeColor="text1"/>
          <w:sz w:val="28"/>
          <w:szCs w:val="28"/>
          <w:highlight w:val="none"/>
          <w14:textFill>
            <w14:solidFill>
              <w14:schemeClr w14:val="tx1"/>
            </w14:solidFill>
          </w14:textFill>
        </w:rPr>
      </w:pPr>
    </w:p>
    <w:p w14:paraId="475378B7">
      <w:pPr>
        <w:tabs>
          <w:tab w:val="left" w:pos="840"/>
          <w:tab w:val="left" w:pos="1600"/>
        </w:tabs>
        <w:snapToGrid w:val="0"/>
        <w:spacing w:line="560" w:lineRule="exact"/>
        <w:ind w:left="-25" w:leftChars="-165" w:hanging="305" w:hangingChars="109"/>
        <w:jc w:val="center"/>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（一）投标人基本账户信息</w:t>
      </w:r>
    </w:p>
    <w:tbl>
      <w:tblPr>
        <w:tblStyle w:val="41"/>
        <w:tblW w:w="90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464"/>
      </w:tblGrid>
      <w:tr w14:paraId="52050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tcBorders>
              <w:tl2br w:val="nil"/>
              <w:tr2bl w:val="nil"/>
            </w:tcBorders>
            <w:vAlign w:val="center"/>
          </w:tcPr>
          <w:p w14:paraId="52903A03">
            <w:pPr>
              <w:spacing w:line="24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基本账户</w:t>
            </w:r>
          </w:p>
          <w:p w14:paraId="4F86E329">
            <w:pPr>
              <w:spacing w:line="24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开户银行</w:t>
            </w:r>
          </w:p>
        </w:tc>
        <w:tc>
          <w:tcPr>
            <w:tcW w:w="7213" w:type="dxa"/>
            <w:gridSpan w:val="2"/>
            <w:tcBorders>
              <w:tl2br w:val="nil"/>
              <w:tr2bl w:val="nil"/>
            </w:tcBorders>
            <w:vAlign w:val="center"/>
          </w:tcPr>
          <w:p w14:paraId="3FC01568">
            <w:pPr>
              <w:spacing w:line="240" w:lineRule="auto"/>
              <w:rPr>
                <w:rFonts w:ascii="宋体"/>
                <w:color w:val="000000" w:themeColor="text1"/>
                <w:sz w:val="24"/>
                <w:szCs w:val="24"/>
                <w:highlight w:val="none"/>
                <w14:textFill>
                  <w14:solidFill>
                    <w14:schemeClr w14:val="tx1"/>
                  </w14:solidFill>
                </w14:textFill>
              </w:rPr>
            </w:pPr>
          </w:p>
          <w:p w14:paraId="6B0E54D5">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名称：</w:t>
            </w:r>
          </w:p>
          <w:p w14:paraId="382800F1">
            <w:pPr>
              <w:spacing w:line="240" w:lineRule="auto"/>
              <w:rPr>
                <w:rFonts w:ascii="宋体"/>
                <w:color w:val="000000" w:themeColor="text1"/>
                <w:sz w:val="24"/>
                <w:szCs w:val="24"/>
                <w:highlight w:val="none"/>
                <w14:textFill>
                  <w14:solidFill>
                    <w14:schemeClr w14:val="tx1"/>
                  </w14:solidFill>
                </w14:textFill>
              </w:rPr>
            </w:pPr>
          </w:p>
        </w:tc>
      </w:tr>
      <w:tr w14:paraId="001E9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tcBorders>
              <w:tl2br w:val="nil"/>
              <w:tr2bl w:val="nil"/>
            </w:tcBorders>
            <w:vAlign w:val="center"/>
          </w:tcPr>
          <w:p w14:paraId="37282A52">
            <w:pPr>
              <w:rPr>
                <w:color w:val="000000" w:themeColor="text1"/>
                <w:highlight w:val="none"/>
                <w14:textFill>
                  <w14:solidFill>
                    <w14:schemeClr w14:val="tx1"/>
                  </w14:solidFill>
                </w14:textFill>
              </w:rPr>
            </w:pPr>
          </w:p>
        </w:tc>
        <w:tc>
          <w:tcPr>
            <w:tcW w:w="7213" w:type="dxa"/>
            <w:gridSpan w:val="2"/>
            <w:tcBorders>
              <w:tl2br w:val="nil"/>
              <w:tr2bl w:val="nil"/>
            </w:tcBorders>
            <w:vAlign w:val="center"/>
          </w:tcPr>
          <w:p w14:paraId="607E93FA">
            <w:pPr>
              <w:spacing w:line="240" w:lineRule="auto"/>
              <w:rPr>
                <w:rFonts w:ascii="宋体"/>
                <w:color w:val="000000" w:themeColor="text1"/>
                <w:sz w:val="24"/>
                <w:szCs w:val="24"/>
                <w:highlight w:val="none"/>
                <w14:textFill>
                  <w14:solidFill>
                    <w14:schemeClr w14:val="tx1"/>
                  </w14:solidFill>
                </w14:textFill>
              </w:rPr>
            </w:pPr>
          </w:p>
          <w:p w14:paraId="6604AF0E">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地址：</w:t>
            </w:r>
          </w:p>
          <w:p w14:paraId="730DAC74">
            <w:pPr>
              <w:spacing w:line="240" w:lineRule="auto"/>
              <w:rPr>
                <w:rFonts w:ascii="宋体"/>
                <w:color w:val="000000" w:themeColor="text1"/>
                <w:sz w:val="24"/>
                <w:szCs w:val="24"/>
                <w:highlight w:val="none"/>
                <w14:textFill>
                  <w14:solidFill>
                    <w14:schemeClr w14:val="tx1"/>
                  </w14:solidFill>
                </w14:textFill>
              </w:rPr>
            </w:pPr>
          </w:p>
        </w:tc>
      </w:tr>
      <w:tr w14:paraId="7DF66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tcBorders>
              <w:tl2br w:val="nil"/>
              <w:tr2bl w:val="nil"/>
            </w:tcBorders>
            <w:vAlign w:val="center"/>
          </w:tcPr>
          <w:p w14:paraId="66A20C9D">
            <w:pPr>
              <w:rPr>
                <w:color w:val="000000" w:themeColor="text1"/>
                <w:highlight w:val="none"/>
                <w14:textFill>
                  <w14:solidFill>
                    <w14:schemeClr w14:val="tx1"/>
                  </w14:solidFill>
                </w14:textFill>
              </w:rPr>
            </w:pPr>
          </w:p>
        </w:tc>
        <w:tc>
          <w:tcPr>
            <w:tcW w:w="3749" w:type="dxa"/>
            <w:tcBorders>
              <w:tl2br w:val="nil"/>
              <w:tr2bl w:val="nil"/>
            </w:tcBorders>
            <w:vAlign w:val="center"/>
          </w:tcPr>
          <w:p w14:paraId="2CEC783F">
            <w:pPr>
              <w:spacing w:line="240" w:lineRule="auto"/>
              <w:rPr>
                <w:rFonts w:ascii="宋体"/>
                <w:color w:val="000000" w:themeColor="text1"/>
                <w:sz w:val="24"/>
                <w:szCs w:val="24"/>
                <w:highlight w:val="none"/>
                <w14:textFill>
                  <w14:solidFill>
                    <w14:schemeClr w14:val="tx1"/>
                  </w14:solidFill>
                </w14:textFill>
              </w:rPr>
            </w:pPr>
          </w:p>
          <w:p w14:paraId="2F2F361B">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电话：</w:t>
            </w:r>
          </w:p>
          <w:p w14:paraId="5DAF0E39">
            <w:pPr>
              <w:spacing w:line="240" w:lineRule="auto"/>
              <w:rPr>
                <w:rFonts w:ascii="宋体"/>
                <w:color w:val="000000" w:themeColor="text1"/>
                <w:sz w:val="24"/>
                <w:szCs w:val="24"/>
                <w:highlight w:val="none"/>
                <w14:textFill>
                  <w14:solidFill>
                    <w14:schemeClr w14:val="tx1"/>
                  </w14:solidFill>
                </w14:textFill>
              </w:rPr>
            </w:pPr>
          </w:p>
        </w:tc>
        <w:tc>
          <w:tcPr>
            <w:tcW w:w="3464" w:type="dxa"/>
            <w:tcBorders>
              <w:tl2br w:val="nil"/>
              <w:tr2bl w:val="nil"/>
            </w:tcBorders>
            <w:vAlign w:val="center"/>
          </w:tcPr>
          <w:p w14:paraId="79586B53">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传真：</w:t>
            </w:r>
          </w:p>
        </w:tc>
      </w:tr>
      <w:tr w14:paraId="420E8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tcBorders>
              <w:tl2br w:val="nil"/>
              <w:tr2bl w:val="nil"/>
            </w:tcBorders>
            <w:vAlign w:val="center"/>
          </w:tcPr>
          <w:p w14:paraId="29828AD8">
            <w:pPr>
              <w:rPr>
                <w:color w:val="000000" w:themeColor="text1"/>
                <w:highlight w:val="none"/>
                <w14:textFill>
                  <w14:solidFill>
                    <w14:schemeClr w14:val="tx1"/>
                  </w14:solidFill>
                </w14:textFill>
              </w:rPr>
            </w:pPr>
          </w:p>
        </w:tc>
        <w:tc>
          <w:tcPr>
            <w:tcW w:w="7213" w:type="dxa"/>
            <w:gridSpan w:val="2"/>
            <w:tcBorders>
              <w:tl2br w:val="nil"/>
              <w:tr2bl w:val="nil"/>
            </w:tcBorders>
            <w:vAlign w:val="center"/>
          </w:tcPr>
          <w:p w14:paraId="10148D9A">
            <w:pPr>
              <w:spacing w:line="240" w:lineRule="auto"/>
              <w:rPr>
                <w:rFonts w:ascii="宋体"/>
                <w:color w:val="000000" w:themeColor="text1"/>
                <w:sz w:val="24"/>
                <w:szCs w:val="24"/>
                <w:highlight w:val="none"/>
                <w14:textFill>
                  <w14:solidFill>
                    <w14:schemeClr w14:val="tx1"/>
                  </w14:solidFill>
                </w14:textFill>
              </w:rPr>
            </w:pPr>
          </w:p>
          <w:p w14:paraId="166E9E9E">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联系人及职务：</w:t>
            </w:r>
          </w:p>
          <w:p w14:paraId="05E2F0F0">
            <w:pPr>
              <w:spacing w:line="240" w:lineRule="auto"/>
              <w:rPr>
                <w:rFonts w:ascii="宋体"/>
                <w:color w:val="000000" w:themeColor="text1"/>
                <w:sz w:val="24"/>
                <w:szCs w:val="24"/>
                <w:highlight w:val="none"/>
                <w14:textFill>
                  <w14:solidFill>
                    <w14:schemeClr w14:val="tx1"/>
                  </w14:solidFill>
                </w14:textFill>
              </w:rPr>
            </w:pPr>
          </w:p>
        </w:tc>
      </w:tr>
      <w:tr w14:paraId="2CCAC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tcBorders>
              <w:tl2br w:val="nil"/>
              <w:tr2bl w:val="nil"/>
            </w:tcBorders>
            <w:vAlign w:val="center"/>
          </w:tcPr>
          <w:p w14:paraId="08CDC26F">
            <w:pPr>
              <w:spacing w:line="24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基本账户</w:t>
            </w:r>
          </w:p>
        </w:tc>
        <w:tc>
          <w:tcPr>
            <w:tcW w:w="7213" w:type="dxa"/>
            <w:gridSpan w:val="2"/>
            <w:tcBorders>
              <w:tl2br w:val="nil"/>
              <w:tr2bl w:val="nil"/>
            </w:tcBorders>
            <w:vAlign w:val="center"/>
          </w:tcPr>
          <w:p w14:paraId="2A2BC80C">
            <w:pPr>
              <w:spacing w:line="240" w:lineRule="auto"/>
              <w:rPr>
                <w:rFonts w:ascii="宋体"/>
                <w:color w:val="000000" w:themeColor="text1"/>
                <w:sz w:val="24"/>
                <w:szCs w:val="24"/>
                <w:highlight w:val="none"/>
                <w14:textFill>
                  <w14:solidFill>
                    <w14:schemeClr w14:val="tx1"/>
                  </w14:solidFill>
                </w14:textFill>
              </w:rPr>
            </w:pPr>
          </w:p>
          <w:p w14:paraId="63E294CF">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开户名称：</w:t>
            </w:r>
          </w:p>
          <w:p w14:paraId="0177DA16">
            <w:pPr>
              <w:spacing w:line="240" w:lineRule="auto"/>
              <w:rPr>
                <w:rFonts w:ascii="宋体"/>
                <w:color w:val="000000" w:themeColor="text1"/>
                <w:sz w:val="24"/>
                <w:szCs w:val="24"/>
                <w:highlight w:val="none"/>
                <w14:textFill>
                  <w14:solidFill>
                    <w14:schemeClr w14:val="tx1"/>
                  </w14:solidFill>
                </w14:textFill>
              </w:rPr>
            </w:pPr>
          </w:p>
        </w:tc>
      </w:tr>
      <w:tr w14:paraId="173F4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tcBorders>
              <w:tl2br w:val="nil"/>
              <w:tr2bl w:val="nil"/>
            </w:tcBorders>
            <w:vAlign w:val="center"/>
          </w:tcPr>
          <w:p w14:paraId="0C5B9E40">
            <w:pPr>
              <w:rPr>
                <w:color w:val="000000" w:themeColor="text1"/>
                <w:highlight w:val="none"/>
                <w14:textFill>
                  <w14:solidFill>
                    <w14:schemeClr w14:val="tx1"/>
                  </w14:solidFill>
                </w14:textFill>
              </w:rPr>
            </w:pPr>
          </w:p>
        </w:tc>
        <w:tc>
          <w:tcPr>
            <w:tcW w:w="7213" w:type="dxa"/>
            <w:gridSpan w:val="2"/>
            <w:tcBorders>
              <w:tl2br w:val="nil"/>
              <w:tr2bl w:val="nil"/>
            </w:tcBorders>
            <w:vAlign w:val="center"/>
          </w:tcPr>
          <w:p w14:paraId="50A53CC0">
            <w:pPr>
              <w:spacing w:line="240" w:lineRule="auto"/>
              <w:rPr>
                <w:rFonts w:ascii="宋体"/>
                <w:color w:val="000000" w:themeColor="text1"/>
                <w:sz w:val="24"/>
                <w:szCs w:val="24"/>
                <w:highlight w:val="none"/>
                <w14:textFill>
                  <w14:solidFill>
                    <w14:schemeClr w14:val="tx1"/>
                  </w14:solidFill>
                </w14:textFill>
              </w:rPr>
            </w:pPr>
          </w:p>
          <w:p w14:paraId="35CC5E6A">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账号：</w:t>
            </w:r>
          </w:p>
          <w:p w14:paraId="7BDAA3D4">
            <w:pPr>
              <w:spacing w:line="240" w:lineRule="auto"/>
              <w:rPr>
                <w:rFonts w:ascii="宋体"/>
                <w:color w:val="000000" w:themeColor="text1"/>
                <w:sz w:val="24"/>
                <w:szCs w:val="24"/>
                <w:highlight w:val="none"/>
                <w14:textFill>
                  <w14:solidFill>
                    <w14:schemeClr w14:val="tx1"/>
                  </w14:solidFill>
                </w14:textFill>
              </w:rPr>
            </w:pPr>
          </w:p>
        </w:tc>
      </w:tr>
    </w:tbl>
    <w:p w14:paraId="543D1E1F">
      <w:pPr>
        <w:spacing w:line="500" w:lineRule="exact"/>
        <w:ind w:firstLine="6090"/>
        <w:rPr>
          <w:rFonts w:ascii="宋体"/>
          <w:color w:val="000000" w:themeColor="text1"/>
          <w:sz w:val="24"/>
          <w:szCs w:val="24"/>
          <w:highlight w:val="none"/>
          <w14:textFill>
            <w14:solidFill>
              <w14:schemeClr w14:val="tx1"/>
            </w14:solidFill>
          </w14:textFill>
        </w:rPr>
      </w:pPr>
    </w:p>
    <w:p w14:paraId="162206A9">
      <w:pPr>
        <w:tabs>
          <w:tab w:val="left" w:pos="840"/>
          <w:tab w:val="left" w:pos="1600"/>
        </w:tabs>
        <w:snapToGrid w:val="0"/>
        <w:spacing w:line="560" w:lineRule="exact"/>
        <w:ind w:left="-25" w:leftChars="-165" w:hanging="305" w:hangingChars="109"/>
        <w:jc w:val="center"/>
        <w:rPr>
          <w:rFonts w:ascii="宋体"/>
          <w:b/>
          <w:color w:val="000000" w:themeColor="text1"/>
          <w:sz w:val="28"/>
          <w:szCs w:val="28"/>
          <w:highlight w:val="none"/>
          <w14:textFill>
            <w14:solidFill>
              <w14:schemeClr w14:val="tx1"/>
            </w14:solidFill>
          </w14:textFill>
        </w:rPr>
      </w:pPr>
    </w:p>
    <w:p w14:paraId="029008F5">
      <w:pPr>
        <w:tabs>
          <w:tab w:val="left" w:pos="840"/>
          <w:tab w:val="left" w:pos="1600"/>
        </w:tabs>
        <w:snapToGrid w:val="0"/>
        <w:spacing w:line="560" w:lineRule="exact"/>
        <w:ind w:left="-25" w:leftChars="-165" w:hanging="305" w:hangingChars="109"/>
        <w:jc w:val="center"/>
        <w:rPr>
          <w:rFonts w:ascii="宋体"/>
          <w:b/>
          <w:color w:val="000000" w:themeColor="text1"/>
          <w:sz w:val="28"/>
          <w:szCs w:val="28"/>
          <w:highlight w:val="none"/>
          <w14:textFill>
            <w14:solidFill>
              <w14:schemeClr w14:val="tx1"/>
            </w14:solidFill>
          </w14:textFill>
        </w:rPr>
      </w:pPr>
    </w:p>
    <w:p w14:paraId="0E12D23F">
      <w:pPr>
        <w:tabs>
          <w:tab w:val="left" w:pos="840"/>
          <w:tab w:val="left" w:pos="1600"/>
        </w:tabs>
        <w:snapToGrid w:val="0"/>
        <w:spacing w:line="560" w:lineRule="exact"/>
        <w:ind w:left="-25" w:leftChars="-165" w:hanging="305" w:hangingChars="109"/>
        <w:jc w:val="center"/>
        <w:rPr>
          <w:rFonts w:hint="eastAsia" w:ascii="宋体"/>
          <w:b/>
          <w:color w:val="000000" w:themeColor="text1"/>
          <w:sz w:val="28"/>
          <w:szCs w:val="28"/>
          <w:highlight w:val="none"/>
          <w14:textFill>
            <w14:solidFill>
              <w14:schemeClr w14:val="tx1"/>
            </w14:solidFill>
          </w14:textFill>
        </w:rPr>
      </w:pPr>
    </w:p>
    <w:p w14:paraId="02702154">
      <w:pPr>
        <w:tabs>
          <w:tab w:val="left" w:pos="840"/>
          <w:tab w:val="left" w:pos="1600"/>
        </w:tabs>
        <w:snapToGrid w:val="0"/>
        <w:spacing w:line="560" w:lineRule="exact"/>
        <w:ind w:left="-25" w:leftChars="-165" w:hanging="305" w:hangingChars="109"/>
        <w:jc w:val="center"/>
        <w:rPr>
          <w:rFonts w:hint="eastAsia" w:ascii="宋体"/>
          <w:b/>
          <w:color w:val="000000" w:themeColor="text1"/>
          <w:sz w:val="28"/>
          <w:szCs w:val="28"/>
          <w:highlight w:val="none"/>
          <w14:textFill>
            <w14:solidFill>
              <w14:schemeClr w14:val="tx1"/>
            </w14:solidFill>
          </w14:textFill>
        </w:rPr>
      </w:pPr>
    </w:p>
    <w:p w14:paraId="5A58E175">
      <w:pPr>
        <w:tabs>
          <w:tab w:val="left" w:pos="840"/>
          <w:tab w:val="left" w:pos="1600"/>
        </w:tabs>
        <w:snapToGrid w:val="0"/>
        <w:spacing w:line="560" w:lineRule="exact"/>
        <w:ind w:left="-25" w:leftChars="-165" w:hanging="305" w:hangingChars="109"/>
        <w:jc w:val="center"/>
        <w:rPr>
          <w:rFonts w:hint="eastAsia" w:ascii="宋体"/>
          <w:b/>
          <w:color w:val="000000" w:themeColor="text1"/>
          <w:sz w:val="28"/>
          <w:szCs w:val="28"/>
          <w:highlight w:val="none"/>
          <w14:textFill>
            <w14:solidFill>
              <w14:schemeClr w14:val="tx1"/>
            </w14:solidFill>
          </w14:textFill>
        </w:rPr>
      </w:pPr>
    </w:p>
    <w:p w14:paraId="6427AA5C">
      <w:pPr>
        <w:tabs>
          <w:tab w:val="left" w:pos="840"/>
          <w:tab w:val="left" w:pos="1600"/>
        </w:tabs>
        <w:snapToGrid w:val="0"/>
        <w:spacing w:line="560" w:lineRule="exact"/>
        <w:ind w:left="-25" w:leftChars="-165" w:hanging="305" w:hangingChars="109"/>
        <w:jc w:val="center"/>
        <w:rPr>
          <w:rFonts w:hint="eastAsia" w:ascii="宋体"/>
          <w:b/>
          <w:color w:val="000000" w:themeColor="text1"/>
          <w:sz w:val="28"/>
          <w:szCs w:val="28"/>
          <w:highlight w:val="none"/>
          <w14:textFill>
            <w14:solidFill>
              <w14:schemeClr w14:val="tx1"/>
            </w14:solidFill>
          </w14:textFill>
        </w:rPr>
      </w:pPr>
    </w:p>
    <w:p w14:paraId="671F7672">
      <w:pPr>
        <w:tabs>
          <w:tab w:val="left" w:pos="840"/>
          <w:tab w:val="left" w:pos="1600"/>
        </w:tabs>
        <w:snapToGrid w:val="0"/>
        <w:spacing w:line="560" w:lineRule="exact"/>
        <w:ind w:left="-25" w:leftChars="-165" w:hanging="305" w:hangingChars="109"/>
        <w:jc w:val="center"/>
        <w:rPr>
          <w:rFonts w:hint="eastAsia" w:ascii="宋体"/>
          <w:b/>
          <w:color w:val="000000" w:themeColor="text1"/>
          <w:sz w:val="28"/>
          <w:szCs w:val="28"/>
          <w:highlight w:val="none"/>
          <w14:textFill>
            <w14:solidFill>
              <w14:schemeClr w14:val="tx1"/>
            </w14:solidFill>
          </w14:textFill>
        </w:rPr>
      </w:pPr>
    </w:p>
    <w:p w14:paraId="7AED5A41">
      <w:pPr>
        <w:tabs>
          <w:tab w:val="left" w:pos="840"/>
          <w:tab w:val="left" w:pos="1600"/>
        </w:tabs>
        <w:snapToGrid w:val="0"/>
        <w:spacing w:line="560" w:lineRule="exact"/>
        <w:ind w:left="-25" w:leftChars="-165" w:hanging="305" w:hangingChars="109"/>
        <w:jc w:val="center"/>
        <w:rPr>
          <w:rFonts w:hint="eastAsia" w:ascii="宋体"/>
          <w:b/>
          <w:color w:val="000000" w:themeColor="text1"/>
          <w:sz w:val="28"/>
          <w:szCs w:val="28"/>
          <w:highlight w:val="none"/>
          <w14:textFill>
            <w14:solidFill>
              <w14:schemeClr w14:val="tx1"/>
            </w14:solidFill>
          </w14:textFill>
        </w:rPr>
      </w:pPr>
    </w:p>
    <w:p w14:paraId="4ED4790B">
      <w:pPr>
        <w:tabs>
          <w:tab w:val="left" w:pos="840"/>
          <w:tab w:val="left" w:pos="1600"/>
        </w:tabs>
        <w:snapToGrid w:val="0"/>
        <w:spacing w:line="560" w:lineRule="exact"/>
        <w:ind w:left="-25" w:leftChars="-165" w:hanging="305" w:hangingChars="109"/>
        <w:jc w:val="center"/>
        <w:rPr>
          <w:rFonts w:hint="eastAsia" w:ascii="宋体"/>
          <w:b/>
          <w:color w:val="000000" w:themeColor="text1"/>
          <w:sz w:val="28"/>
          <w:szCs w:val="28"/>
          <w:highlight w:val="none"/>
          <w14:textFill>
            <w14:solidFill>
              <w14:schemeClr w14:val="tx1"/>
            </w14:solidFill>
          </w14:textFill>
        </w:rPr>
      </w:pPr>
    </w:p>
    <w:p w14:paraId="3F34D2CB">
      <w:pPr>
        <w:tabs>
          <w:tab w:val="left" w:pos="840"/>
          <w:tab w:val="left" w:pos="1600"/>
        </w:tabs>
        <w:snapToGrid w:val="0"/>
        <w:spacing w:line="560" w:lineRule="exact"/>
        <w:ind w:left="-25" w:leftChars="-165" w:hanging="305" w:hangingChars="109"/>
        <w:jc w:val="center"/>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（二）投标保证金有关单据</w:t>
      </w:r>
      <w:r>
        <w:rPr>
          <w:rStyle w:val="49"/>
          <w:rFonts w:ascii="宋体"/>
          <w:b/>
          <w:color w:val="000000" w:themeColor="text1"/>
          <w:sz w:val="28"/>
          <w:szCs w:val="28"/>
          <w:highlight w:val="none"/>
          <w14:textFill>
            <w14:solidFill>
              <w14:schemeClr w14:val="tx1"/>
            </w14:solidFill>
          </w14:textFill>
        </w:rPr>
        <w:footnoteReference w:id="106"/>
      </w:r>
    </w:p>
    <w:p w14:paraId="42B46B19">
      <w:pPr>
        <w:pStyle w:val="13"/>
        <w:spacing w:line="360" w:lineRule="auto"/>
        <w:ind w:firstLine="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                        </w:t>
      </w:r>
    </w:p>
    <w:p w14:paraId="6694457D">
      <w:pPr>
        <w:spacing w:line="500" w:lineRule="exact"/>
        <w:ind w:firstLine="6090"/>
        <w:rPr>
          <w:rFonts w:ascii="宋体"/>
          <w:color w:val="000000" w:themeColor="text1"/>
          <w:sz w:val="24"/>
          <w:szCs w:val="24"/>
          <w:highlight w:val="none"/>
          <w14:textFill>
            <w14:solidFill>
              <w14:schemeClr w14:val="tx1"/>
            </w14:solidFill>
          </w14:textFill>
        </w:rPr>
      </w:pPr>
    </w:p>
    <w:p w14:paraId="34025C7F">
      <w:pPr>
        <w:spacing w:line="500" w:lineRule="exact"/>
        <w:ind w:firstLine="6090"/>
        <w:rPr>
          <w:rFonts w:ascii="宋体"/>
          <w:color w:val="000000" w:themeColor="text1"/>
          <w:sz w:val="24"/>
          <w:szCs w:val="24"/>
          <w:highlight w:val="none"/>
          <w14:textFill>
            <w14:solidFill>
              <w14:schemeClr w14:val="tx1"/>
            </w14:solidFill>
          </w14:textFill>
        </w:rPr>
      </w:pPr>
    </w:p>
    <w:p w14:paraId="794D7338">
      <w:pPr>
        <w:spacing w:line="500" w:lineRule="exact"/>
        <w:ind w:firstLine="6090"/>
        <w:rPr>
          <w:rFonts w:ascii="宋体"/>
          <w:color w:val="000000" w:themeColor="text1"/>
          <w:sz w:val="24"/>
          <w:szCs w:val="24"/>
          <w:highlight w:val="none"/>
          <w14:textFill>
            <w14:solidFill>
              <w14:schemeClr w14:val="tx1"/>
            </w14:solidFill>
          </w14:textFill>
        </w:rPr>
      </w:pPr>
    </w:p>
    <w:p w14:paraId="46781EE6">
      <w:pPr>
        <w:pStyle w:val="13"/>
        <w:tabs>
          <w:tab w:val="left" w:pos="510"/>
          <w:tab w:val="left" w:pos="1000"/>
        </w:tabs>
        <w:snapToGrid w:val="0"/>
        <w:spacing w:line="420" w:lineRule="atLeast"/>
        <w:ind w:firstLine="0"/>
        <w:jc w:val="left"/>
        <w:rPr>
          <w:rFonts w:ascii="宋体" w:hAnsi="宋体"/>
          <w:color w:val="000000" w:themeColor="text1"/>
          <w:szCs w:val="21"/>
          <w:highlight w:val="none"/>
          <w14:textFill>
            <w14:solidFill>
              <w14:schemeClr w14:val="tx1"/>
            </w14:solidFill>
          </w14:textFill>
        </w:rPr>
      </w:pPr>
    </w:p>
    <w:p w14:paraId="01D3E8C5">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3EF3FA64">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3966760B">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6BA3E68E">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10129EEE">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3FF2F359">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11D6D083">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5D00C040">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76EC7408">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262943BF">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571B34A3">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5FBE45AD">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2605CBDD">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20ADD786">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766C3749">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20F21D4A">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436867E3">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49C31169">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7CFB1F9C">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1E80F7F1">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3DF2FB55">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5B38BDBB">
      <w:pPr>
        <w:pStyle w:val="13"/>
        <w:tabs>
          <w:tab w:val="left" w:pos="510"/>
          <w:tab w:val="left" w:pos="1000"/>
        </w:tabs>
        <w:snapToGrid w:val="0"/>
        <w:spacing w:line="420" w:lineRule="atLeast"/>
        <w:ind w:firstLine="0"/>
        <w:jc w:val="left"/>
        <w:rPr>
          <w:rFonts w:hint="eastAsia" w:ascii="宋体" w:hAnsi="宋体"/>
          <w:color w:val="000000" w:themeColor="text1"/>
          <w:szCs w:val="21"/>
          <w:highlight w:val="none"/>
          <w14:textFill>
            <w14:solidFill>
              <w14:schemeClr w14:val="tx1"/>
            </w14:solidFill>
          </w14:textFill>
        </w:rPr>
      </w:pPr>
    </w:p>
    <w:p w14:paraId="0AD5E78D">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投标保证金银行保函（格式）</w:t>
      </w:r>
    </w:p>
    <w:p w14:paraId="70F923B1">
      <w:pPr>
        <w:spacing w:beforeLines="100" w:afterLines="50" w:line="360" w:lineRule="auto"/>
        <w:jc w:val="center"/>
        <w:rPr>
          <w:rFonts w:ascii="黑体" w:hAnsi="黑体" w:eastAsia="黑体"/>
          <w:color w:val="000000" w:themeColor="text1"/>
          <w:sz w:val="28"/>
          <w:szCs w:val="28"/>
          <w:highlight w:val="none"/>
          <w14:textFill>
            <w14:solidFill>
              <w14:schemeClr w14:val="tx1"/>
            </w14:solidFill>
          </w14:textFill>
        </w:rPr>
      </w:pPr>
      <w:bookmarkStart w:id="1009" w:name="_Toc505505136"/>
      <w:r>
        <w:rPr>
          <w:rFonts w:hint="eastAsia" w:ascii="黑体" w:hAnsi="黑体" w:eastAsia="黑体"/>
          <w:color w:val="000000" w:themeColor="text1"/>
          <w:sz w:val="28"/>
          <w:szCs w:val="28"/>
          <w:highlight w:val="none"/>
          <w14:textFill>
            <w14:solidFill>
              <w14:schemeClr w14:val="tx1"/>
            </w14:solidFill>
          </w14:textFill>
        </w:rPr>
        <w:t>投标保证金银行保函</w:t>
      </w:r>
      <w:bookmarkEnd w:id="1009"/>
    </w:p>
    <w:p w14:paraId="2CC537E0">
      <w:pPr>
        <w:spacing w:line="300" w:lineRule="auto"/>
        <w:ind w:firstLine="5145" w:firstLineChars="245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保函编号：</w:t>
      </w:r>
      <w:r>
        <w:rPr>
          <w:rFonts w:hint="eastAsia" w:ascii="宋体" w:hAnsi="宋体"/>
          <w:color w:val="000000" w:themeColor="text1"/>
          <w:sz w:val="21"/>
          <w:szCs w:val="21"/>
          <w:highlight w:val="none"/>
          <w:u w:val="single"/>
          <w14:textFill>
            <w14:solidFill>
              <w14:schemeClr w14:val="tx1"/>
            </w14:solidFill>
          </w14:textFill>
        </w:rPr>
        <w:t xml:space="preserve">            </w:t>
      </w:r>
    </w:p>
    <w:p w14:paraId="3CE2F3A3">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（招标人名称）：</w:t>
      </w:r>
    </w:p>
    <w:p w14:paraId="79FE407A">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鉴于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（投标人名称）（以下简称“投标人”）参加你方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（项目名称及标段）标段的设计投标，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（银行名称）（以下简称“我方”）受该投标人委托，在此无条件地、不可撤销地保证：一旦收到你方提出的下述任何一种事实的书面通知，在7日内无条件地向你方支付总额不超过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（投标保函额度）的任何你方要求的金额：</w:t>
      </w:r>
    </w:p>
    <w:p w14:paraId="382B7E91">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投标人在投标有效期内撤销或修改其投标文件的；</w:t>
      </w:r>
    </w:p>
    <w:p w14:paraId="1CF4824C">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投标人中标后，非因不可抗力原因放弃中标、无正当理由不与招标人订立合同、在签订合同时向招标人提出附加条件、或者不按照招标文件要求提交履约担保金的；</w:t>
      </w:r>
    </w:p>
    <w:p w14:paraId="143B302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投标人中标后，因违法行为导致中标被依法确认无效的；</w:t>
      </w:r>
    </w:p>
    <w:p w14:paraId="619C2D91">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投标文件存在投标人须知第4.1.4款规定的雷同情形之一的；</w:t>
      </w:r>
    </w:p>
    <w:p w14:paraId="184BABB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法律、法规规定的其他没收投标保证金情形。</w:t>
      </w:r>
    </w:p>
    <w:p w14:paraId="0F0F2D0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14:paraId="476BD6B3">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本保函项下所有权利和义务均受中华人民共和国法律管辖和制约。</w:t>
      </w:r>
    </w:p>
    <w:p w14:paraId="65A8AEBF">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p>
    <w:p w14:paraId="04660E0B">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7EA41072">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25182588">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银行名称：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（盖单位公章）</w:t>
      </w:r>
    </w:p>
    <w:p w14:paraId="5A278171">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57164E5E">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u w:val="single"/>
          <w14:textFill>
            <w14:solidFill>
              <w14:schemeClr w14:val="tx1"/>
            </w14:solidFill>
          </w14:textFill>
        </w:rPr>
        <w:t xml:space="preserve">                                             </w:t>
      </w:r>
    </w:p>
    <w:p w14:paraId="4733FFFD">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r>
        <w:rPr>
          <w:rFonts w:hint="eastAsia" w:ascii="宋体" w:hAnsi="宋体"/>
          <w:color w:val="000000" w:themeColor="text1"/>
          <w:sz w:val="21"/>
          <w:szCs w:val="21"/>
          <w:highlight w:val="none"/>
          <w:u w:val="single"/>
          <w14:textFill>
            <w14:solidFill>
              <w14:schemeClr w14:val="tx1"/>
            </w14:solidFill>
          </w14:textFill>
        </w:rPr>
        <w:t xml:space="preserve">                                             </w:t>
      </w:r>
    </w:p>
    <w:p w14:paraId="7F550542">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w:t>
      </w:r>
      <w:r>
        <w:rPr>
          <w:rFonts w:hint="eastAsia" w:ascii="宋体" w:hAnsi="宋体"/>
          <w:color w:val="000000" w:themeColor="text1"/>
          <w:sz w:val="21"/>
          <w:szCs w:val="21"/>
          <w:highlight w:val="none"/>
          <w:u w:val="single"/>
          <w14:textFill>
            <w14:solidFill>
              <w14:schemeClr w14:val="tx1"/>
            </w14:solidFill>
          </w14:textFill>
        </w:rPr>
        <w:t xml:space="preserve">                                             </w:t>
      </w:r>
    </w:p>
    <w:p w14:paraId="00A9EE2C">
      <w:pPr>
        <w:spacing w:line="300" w:lineRule="auto"/>
        <w:ind w:firstLine="2100" w:firstLineChars="10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传    真：</w:t>
      </w:r>
      <w:r>
        <w:rPr>
          <w:rFonts w:hint="eastAsia" w:ascii="宋体" w:hAnsi="宋体"/>
          <w:color w:val="000000" w:themeColor="text1"/>
          <w:sz w:val="21"/>
          <w:szCs w:val="21"/>
          <w:highlight w:val="none"/>
          <w:u w:val="single"/>
          <w14:textFill>
            <w14:solidFill>
              <w14:schemeClr w14:val="tx1"/>
            </w14:solidFill>
          </w14:textFill>
        </w:rPr>
        <w:t xml:space="preserve">                                             </w:t>
      </w:r>
    </w:p>
    <w:p w14:paraId="271ABF2D">
      <w:pPr>
        <w:spacing w:line="300" w:lineRule="auto"/>
        <w:rPr>
          <w:rFonts w:ascii="宋体" w:hAnsi="宋体"/>
          <w:color w:val="000000" w:themeColor="text1"/>
          <w:sz w:val="21"/>
          <w:szCs w:val="21"/>
          <w:highlight w:val="none"/>
          <w14:textFill>
            <w14:solidFill>
              <w14:schemeClr w14:val="tx1"/>
            </w14:solidFill>
          </w14:textFill>
        </w:rPr>
      </w:pPr>
    </w:p>
    <w:p w14:paraId="4EA27A23">
      <w:pPr>
        <w:spacing w:line="360" w:lineRule="auto"/>
        <w:ind w:firstLine="2730" w:firstLineChars="13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1DFDB979">
      <w:pPr>
        <w:pStyle w:val="13"/>
        <w:tabs>
          <w:tab w:val="left" w:pos="510"/>
          <w:tab w:val="left" w:pos="1000"/>
        </w:tabs>
        <w:snapToGrid w:val="0"/>
        <w:spacing w:line="420" w:lineRule="atLeast"/>
        <w:ind w:firstLine="0"/>
        <w:jc w:val="left"/>
        <w:rPr>
          <w:rFonts w:ascii="宋体" w:hAnsi="宋体" w:eastAsia="宋体"/>
          <w:color w:val="000000" w:themeColor="text1"/>
          <w:szCs w:val="21"/>
          <w:highlight w:val="none"/>
          <w14:textFill>
            <w14:solidFill>
              <w14:schemeClr w14:val="tx1"/>
            </w14:solidFill>
          </w14:textFill>
        </w:rPr>
      </w:pPr>
      <w:bookmarkStart w:id="1010" w:name="_Toc505505138"/>
    </w:p>
    <w:p w14:paraId="30CD8566">
      <w:pPr>
        <w:pStyle w:val="13"/>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投标保证金担保保函（格式）</w:t>
      </w:r>
    </w:p>
    <w:p w14:paraId="6DB27493">
      <w:pPr>
        <w:pStyle w:val="18"/>
        <w:ind w:left="0" w:leftChars="0"/>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投标保证金担保保函</w:t>
      </w:r>
      <w:bookmarkEnd w:id="1010"/>
    </w:p>
    <w:p w14:paraId="03F57C19">
      <w:pPr>
        <w:spacing w:line="300" w:lineRule="auto"/>
        <w:ind w:firstLine="5040" w:firstLineChars="2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保函编号：</w:t>
      </w:r>
      <w:r>
        <w:rPr>
          <w:rFonts w:hint="eastAsia" w:ascii="宋体" w:hAnsi="宋体"/>
          <w:color w:val="000000" w:themeColor="text1"/>
          <w:sz w:val="21"/>
          <w:szCs w:val="21"/>
          <w:highlight w:val="none"/>
          <w:u w:val="single"/>
          <w14:textFill>
            <w14:solidFill>
              <w14:schemeClr w14:val="tx1"/>
            </w14:solidFill>
          </w14:textFill>
        </w:rPr>
        <w:t xml:space="preserve">                 </w:t>
      </w:r>
    </w:p>
    <w:p w14:paraId="3E4F7444">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（招标人名称）：</w:t>
      </w:r>
    </w:p>
    <w:p w14:paraId="0A92A113">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鉴于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（投标人名称）（以下简称“投标人”）参加你方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（项目名称及标段）标段的设计投标，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（投标保函额度）的任何你方要求的金额：</w:t>
      </w:r>
    </w:p>
    <w:p w14:paraId="01141275">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投标人在投标有效期内撤销或修改其投标文件的；</w:t>
      </w:r>
    </w:p>
    <w:p w14:paraId="3F584A56">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投标人中标后，非因不可抗力原因放弃中标、无正当理由不与招标人订立合同、在签订合同时向招标人提出附加条件、或者不按照招标文件要求提交履约担保金的；</w:t>
      </w:r>
    </w:p>
    <w:p w14:paraId="5A2D0093">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投标人中标后，因违法行为导致中标被依法确认无效的；</w:t>
      </w:r>
    </w:p>
    <w:p w14:paraId="32BE29B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投标文件存在投标人须知第4.1.4款规定的雷同情形之一的；</w:t>
      </w:r>
    </w:p>
    <w:p w14:paraId="1AE8665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法律、法规规定的其他没收投标保证金情形。</w:t>
      </w:r>
    </w:p>
    <w:p w14:paraId="30F9E8D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14:paraId="16FD9A6D">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本保函项下所有权利和义务均受中华人民共和国法律管辖和制约。</w:t>
      </w:r>
    </w:p>
    <w:p w14:paraId="7FC27487">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p>
    <w:p w14:paraId="5E81E5DF">
      <w:pPr>
        <w:spacing w:line="300" w:lineRule="auto"/>
        <w:ind w:firstLine="420" w:firstLineChars="200"/>
        <w:rPr>
          <w:rFonts w:ascii="宋体" w:hAnsi="宋体"/>
          <w:color w:val="000000" w:themeColor="text1"/>
          <w:sz w:val="21"/>
          <w:szCs w:val="21"/>
          <w:highlight w:val="none"/>
          <w:u w:val="single"/>
          <w14:textFill>
            <w14:solidFill>
              <w14:schemeClr w14:val="tx1"/>
            </w14:solidFill>
          </w14:textFill>
        </w:rPr>
      </w:pPr>
    </w:p>
    <w:p w14:paraId="306A4089">
      <w:pPr>
        <w:spacing w:line="300" w:lineRule="auto"/>
        <w:ind w:firstLine="420" w:firstLineChars="200"/>
        <w:rPr>
          <w:rFonts w:ascii="宋体" w:hAnsi="宋体"/>
          <w:color w:val="000000" w:themeColor="text1"/>
          <w:sz w:val="21"/>
          <w:szCs w:val="21"/>
          <w:highlight w:val="none"/>
          <w:u w:val="single"/>
          <w14:textFill>
            <w14:solidFill>
              <w14:schemeClr w14:val="tx1"/>
            </w14:solidFill>
          </w14:textFill>
        </w:rPr>
      </w:pPr>
    </w:p>
    <w:p w14:paraId="0097B6C2">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担保人名称：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（盖单位公章）</w:t>
      </w:r>
    </w:p>
    <w:p w14:paraId="39FBD6D4">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577FD871">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u w:val="single"/>
          <w14:textFill>
            <w14:solidFill>
              <w14:schemeClr w14:val="tx1"/>
            </w14:solidFill>
          </w14:textFill>
        </w:rPr>
        <w:t xml:space="preserve">                                    </w:t>
      </w:r>
    </w:p>
    <w:p w14:paraId="7C73ED67">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r>
        <w:rPr>
          <w:rFonts w:hint="eastAsia" w:ascii="宋体" w:hAnsi="宋体"/>
          <w:color w:val="000000" w:themeColor="text1"/>
          <w:sz w:val="21"/>
          <w:szCs w:val="21"/>
          <w:highlight w:val="none"/>
          <w:u w:val="single"/>
          <w14:textFill>
            <w14:solidFill>
              <w14:schemeClr w14:val="tx1"/>
            </w14:solidFill>
          </w14:textFill>
        </w:rPr>
        <w:t xml:space="preserve">                                    </w:t>
      </w:r>
    </w:p>
    <w:p w14:paraId="422545C9">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w:t>
      </w:r>
      <w:r>
        <w:rPr>
          <w:rFonts w:hint="eastAsia" w:ascii="宋体" w:hAnsi="宋体"/>
          <w:color w:val="000000" w:themeColor="text1"/>
          <w:sz w:val="21"/>
          <w:szCs w:val="21"/>
          <w:highlight w:val="none"/>
          <w:u w:val="single"/>
          <w14:textFill>
            <w14:solidFill>
              <w14:schemeClr w14:val="tx1"/>
            </w14:solidFill>
          </w14:textFill>
        </w:rPr>
        <w:t xml:space="preserve">                                    </w:t>
      </w:r>
    </w:p>
    <w:p w14:paraId="145168FB">
      <w:pPr>
        <w:spacing w:line="300" w:lineRule="auto"/>
        <w:ind w:firstLine="2100" w:firstLineChars="10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传    真：</w:t>
      </w:r>
      <w:r>
        <w:rPr>
          <w:rFonts w:hint="eastAsia" w:ascii="宋体" w:hAnsi="宋体"/>
          <w:color w:val="000000" w:themeColor="text1"/>
          <w:sz w:val="21"/>
          <w:szCs w:val="21"/>
          <w:highlight w:val="none"/>
          <w:u w:val="single"/>
          <w14:textFill>
            <w14:solidFill>
              <w14:schemeClr w14:val="tx1"/>
            </w14:solidFill>
          </w14:textFill>
        </w:rPr>
        <w:t xml:space="preserve">                                    </w:t>
      </w:r>
    </w:p>
    <w:p w14:paraId="65755059">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14:paraId="7C1F27A9">
      <w:pPr>
        <w:spacing w:line="360" w:lineRule="auto"/>
        <w:ind w:firstLine="3255" w:firstLineChars="15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2F31AEC4">
      <w:pPr>
        <w:pStyle w:val="18"/>
        <w:ind w:left="0" w:leftChars="0"/>
        <w:rPr>
          <w:rFonts w:ascii="宋体" w:hAnsi="宋体"/>
          <w:color w:val="000000" w:themeColor="text1"/>
          <w:sz w:val="21"/>
          <w:szCs w:val="21"/>
          <w:highlight w:val="none"/>
          <w14:textFill>
            <w14:solidFill>
              <w14:schemeClr w14:val="tx1"/>
            </w14:solidFill>
          </w14:textFill>
        </w:rPr>
      </w:pPr>
      <w:bookmarkStart w:id="1011" w:name="_Toc505505140"/>
    </w:p>
    <w:bookmarkEnd w:id="1011"/>
    <w:p w14:paraId="602C0B98">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r>
        <w:rPr>
          <w:rFonts w:ascii="宋体" w:hAnsi="宋体" w:cstheme="minorBidi"/>
          <w:snapToGrid w:val="0"/>
          <w:color w:val="000000" w:themeColor="text1"/>
          <w:kern w:val="2"/>
          <w:sz w:val="21"/>
          <w:szCs w:val="21"/>
          <w:highlight w:val="none"/>
          <w14:textFill>
            <w14:solidFill>
              <w14:schemeClr w14:val="tx1"/>
            </w14:solidFill>
          </w14:textFill>
        </w:rPr>
        <w:t>到账证明（格式）</w:t>
      </w:r>
    </w:p>
    <w:p w14:paraId="211FF3A2">
      <w:pPr>
        <w:spacing w:line="360" w:lineRule="auto"/>
        <w:jc w:val="center"/>
        <w:rPr>
          <w:rFonts w:ascii="黑体" w:hAnsi="黑体" w:eastAsia="黑体"/>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到账证明</w:t>
      </w:r>
    </w:p>
    <w:p w14:paraId="5742C29B">
      <w:pPr>
        <w:spacing w:line="360" w:lineRule="auto"/>
        <w:jc w:val="center"/>
        <w:rPr>
          <w:rFonts w:ascii="宋体" w:hAnsi="宋体"/>
          <w:color w:val="000000" w:themeColor="text1"/>
          <w:sz w:val="24"/>
          <w:szCs w:val="24"/>
          <w:highlight w:val="none"/>
          <w14:textFill>
            <w14:solidFill>
              <w14:schemeClr w14:val="tx1"/>
            </w14:solidFill>
          </w14:textFill>
        </w:rPr>
      </w:pPr>
    </w:p>
    <w:p w14:paraId="083E04CF">
      <w:pPr>
        <w:spacing w:line="360" w:lineRule="auto"/>
        <w:ind w:right="420" w:firstLine="4515" w:firstLineChars="2150"/>
        <w:rPr>
          <w:rFonts w:ascii="宋体" w:hAnsi="宋体"/>
          <w:b/>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编号：</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(保函开立人自行编号)</w:t>
      </w:r>
    </w:p>
    <w:p w14:paraId="6113F70A">
      <w:pPr>
        <w:spacing w:line="360" w:lineRule="auto"/>
        <w:jc w:val="center"/>
        <w:rPr>
          <w:rFonts w:ascii="宋体" w:hAnsi="宋体"/>
          <w:b/>
          <w:bCs/>
          <w:color w:val="000000" w:themeColor="text1"/>
          <w:sz w:val="21"/>
          <w:szCs w:val="21"/>
          <w:highlight w:val="none"/>
          <w14:textFill>
            <w14:solidFill>
              <w14:schemeClr w14:val="tx1"/>
            </w14:solidFill>
          </w14:textFill>
        </w:rPr>
      </w:pPr>
    </w:p>
    <w:p w14:paraId="716F42BB">
      <w:pPr>
        <w:widowControl/>
        <w:spacing w:line="60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 xml:space="preserve">招标人名称）： </w:t>
      </w:r>
    </w:p>
    <w:p w14:paraId="0C83B55E">
      <w:pPr>
        <w:widowControl/>
        <w:spacing w:line="6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就</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（投标人名称）申请开立招标项目编号为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（招标项目编号）的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（招标项目名称）的</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（保函金额）元投标保函，我方收款账号为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（保函开立人收款账号）的收款账户，已于</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日收到该投标人通过付款账号:</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（投标人付款账号）的付款账户支付的保函费用。</w:t>
      </w:r>
    </w:p>
    <w:p w14:paraId="11E5C985">
      <w:pPr>
        <w:widowControl/>
        <w:spacing w:line="6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特此证明。</w:t>
      </w:r>
    </w:p>
    <w:p w14:paraId="1FE8E78D">
      <w:pPr>
        <w:widowControl/>
        <w:spacing w:line="600" w:lineRule="exact"/>
        <w:ind w:firstLine="420" w:firstLineChars="200"/>
        <w:jc w:val="left"/>
        <w:rPr>
          <w:rFonts w:ascii="宋体" w:hAnsi="宋体"/>
          <w:color w:val="000000" w:themeColor="text1"/>
          <w:sz w:val="21"/>
          <w:szCs w:val="21"/>
          <w:highlight w:val="none"/>
          <w14:textFill>
            <w14:solidFill>
              <w14:schemeClr w14:val="tx1"/>
            </w14:solidFill>
          </w14:textFill>
        </w:rPr>
      </w:pPr>
    </w:p>
    <w:p w14:paraId="5353C51B">
      <w:pPr>
        <w:widowControl/>
        <w:spacing w:line="600" w:lineRule="exact"/>
        <w:ind w:firstLine="5250" w:firstLineChars="25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保函开立人：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（盖章）</w:t>
      </w:r>
    </w:p>
    <w:p w14:paraId="75AAEF48">
      <w:pPr>
        <w:widowControl/>
        <w:spacing w:line="600" w:lineRule="exact"/>
        <w:ind w:firstLine="5880" w:firstLineChars="28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日</w:t>
      </w:r>
    </w:p>
    <w:p w14:paraId="2855A954">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74A8515F">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436A11EE">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2064EDC0">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175B5C58">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517761C2">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6834CF60">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59D5E9C0">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0F52771F">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073F2960">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3088B149">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18DCD259">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103F2EAA">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14:paraId="00958C93">
      <w:pPr>
        <w:pStyle w:val="13"/>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四、授权委托书格式</w:t>
      </w:r>
      <w:r>
        <w:rPr>
          <w:rFonts w:hint="eastAsia" w:ascii="宋体" w:hAnsi="宋体" w:eastAsia="宋体"/>
          <w:color w:val="000000" w:themeColor="text1"/>
          <w:szCs w:val="21"/>
          <w:highlight w:val="none"/>
          <w14:textFill>
            <w14:solidFill>
              <w14:schemeClr w14:val="tx1"/>
            </w14:solidFill>
          </w14:textFill>
        </w:rPr>
        <w:t>（格式）</w:t>
      </w:r>
    </w:p>
    <w:p w14:paraId="1DC12DBE">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授</w:t>
      </w:r>
      <w:r>
        <w:rPr>
          <w:rFonts w:hint="eastAsia" w:ascii="黑体" w:hAnsi="黑体" w:eastAsia="黑体" w:cs="宋体"/>
          <w:color w:val="000000" w:themeColor="text1"/>
          <w:sz w:val="32"/>
          <w:szCs w:val="32"/>
          <w:highlight w:val="none"/>
          <w14:textFill>
            <w14:solidFill>
              <w14:schemeClr w14:val="tx1"/>
            </w14:solidFill>
          </w14:textFill>
        </w:rPr>
        <w:t>权</w:t>
      </w:r>
      <w:r>
        <w:rPr>
          <w:rFonts w:hint="eastAsia" w:ascii="黑体" w:hAnsi="黑体" w:eastAsia="黑体"/>
          <w:color w:val="000000" w:themeColor="text1"/>
          <w:sz w:val="32"/>
          <w:szCs w:val="32"/>
          <w:highlight w:val="none"/>
          <w14:textFill>
            <w14:solidFill>
              <w14:schemeClr w14:val="tx1"/>
            </w14:solidFill>
          </w14:textFill>
        </w:rPr>
        <w:t>委托</w:t>
      </w:r>
      <w:r>
        <w:rPr>
          <w:rFonts w:hint="eastAsia" w:ascii="黑体" w:hAnsi="黑体" w:eastAsia="黑体" w:cs="宋体"/>
          <w:color w:val="000000" w:themeColor="text1"/>
          <w:sz w:val="32"/>
          <w:szCs w:val="32"/>
          <w:highlight w:val="none"/>
          <w14:textFill>
            <w14:solidFill>
              <w14:schemeClr w14:val="tx1"/>
            </w14:solidFill>
          </w14:textFill>
        </w:rPr>
        <w:t>书</w:t>
      </w:r>
      <w:r>
        <w:rPr>
          <w:rStyle w:val="49"/>
          <w:rFonts w:ascii="黑体" w:hAnsi="黑体" w:eastAsia="黑体" w:cs="宋体"/>
          <w:color w:val="000000" w:themeColor="text1"/>
          <w:sz w:val="32"/>
          <w:szCs w:val="32"/>
          <w:highlight w:val="none"/>
          <w14:textFill>
            <w14:solidFill>
              <w14:schemeClr w14:val="tx1"/>
            </w14:solidFill>
          </w14:textFill>
        </w:rPr>
        <w:footnoteReference w:id="107"/>
      </w:r>
    </w:p>
    <w:p w14:paraId="61F4A477">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p>
    <w:p w14:paraId="177C7810">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w:t>
      </w:r>
      <w:r>
        <w:rPr>
          <w:rFonts w:hint="eastAsia" w:ascii="宋体" w:hAnsi="宋体" w:cs="宋体"/>
          <w:color w:val="000000" w:themeColor="text1"/>
          <w:sz w:val="21"/>
          <w:szCs w:val="21"/>
          <w:highlight w:val="none"/>
          <w14:textFill>
            <w14:solidFill>
              <w14:schemeClr w14:val="tx1"/>
            </w14:solidFill>
          </w14:textFill>
        </w:rPr>
        <w:t>权书</w:t>
      </w:r>
      <w:r>
        <w:rPr>
          <w:rFonts w:hint="eastAsia" w:ascii="宋体" w:hAnsi="宋体"/>
          <w:color w:val="000000" w:themeColor="text1"/>
          <w:sz w:val="21"/>
          <w:szCs w:val="21"/>
          <w:highlight w:val="none"/>
          <w14:textFill>
            <w14:solidFill>
              <w14:schemeClr w14:val="tx1"/>
            </w14:solidFill>
          </w14:textFill>
        </w:rPr>
        <w:t>宣告，在下面</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字的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（法定代表人姓名）以法定代表人身份代表本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（授权委托人姓名），其身份证号码为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，作为</w:t>
      </w:r>
      <w:r>
        <w:rPr>
          <w:rFonts w:hint="eastAsia" w:ascii="宋体" w:hAnsi="宋体"/>
          <w:color w:val="000000" w:themeColor="text1"/>
          <w:sz w:val="21"/>
          <w:szCs w:val="21"/>
          <w:highlight w:val="none"/>
          <w14:textFill>
            <w14:solidFill>
              <w14:schemeClr w14:val="tx1"/>
            </w14:solidFill>
          </w14:textFill>
        </w:rPr>
        <w:t>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位的合法授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其在编号为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w:t>
      </w:r>
      <w:r>
        <w:rPr>
          <w:rFonts w:hint="eastAsia" w:ascii="宋体" w:hAnsi="宋体" w:cs="宋体"/>
          <w:color w:val="000000" w:themeColor="text1"/>
          <w:sz w:val="21"/>
          <w:szCs w:val="21"/>
          <w:highlight w:val="none"/>
          <w14:textFill>
            <w14:solidFill>
              <w14:schemeClr w14:val="tx1"/>
            </w14:solidFill>
          </w14:textFill>
        </w:rPr>
        <w:t>设计（勘察）</w:t>
      </w:r>
      <w:r>
        <w:rPr>
          <w:rFonts w:hint="eastAsia" w:ascii="宋体" w:hAnsi="宋体"/>
          <w:color w:val="000000" w:themeColor="text1"/>
          <w:sz w:val="21"/>
          <w:szCs w:val="21"/>
          <w:highlight w:val="none"/>
          <w14:textFill>
            <w14:solidFill>
              <w14:schemeClr w14:val="tx1"/>
            </w14:solidFill>
          </w14:textFill>
        </w:rPr>
        <w:t>招投标活</w:t>
      </w:r>
      <w:r>
        <w:rPr>
          <w:rFonts w:hint="eastAsia" w:ascii="宋体" w:hAnsi="宋体" w:cs="宋体"/>
          <w:color w:val="000000" w:themeColor="text1"/>
          <w:sz w:val="21"/>
          <w:szCs w:val="21"/>
          <w:highlight w:val="none"/>
          <w14:textFill>
            <w14:solidFill>
              <w14:schemeClr w14:val="tx1"/>
            </w14:solidFill>
          </w14:textFill>
        </w:rPr>
        <w:t>动</w:t>
      </w:r>
      <w:r>
        <w:rPr>
          <w:rFonts w:hint="eastAsia" w:ascii="宋体" w:hAnsi="宋体"/>
          <w:color w:val="000000" w:themeColor="text1"/>
          <w:sz w:val="21"/>
          <w:szCs w:val="21"/>
          <w:highlight w:val="none"/>
          <w14:textFill>
            <w14:solidFill>
              <w14:schemeClr w14:val="tx1"/>
            </w14:solidFill>
          </w14:textFill>
        </w:rPr>
        <w:t>中，以本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位的名</w:t>
      </w:r>
      <w:r>
        <w:rPr>
          <w:rFonts w:hint="eastAsia" w:ascii="宋体" w:hAnsi="宋体" w:cs="宋体"/>
          <w:color w:val="000000" w:themeColor="text1"/>
          <w:sz w:val="21"/>
          <w:szCs w:val="21"/>
          <w:highlight w:val="none"/>
          <w14:textFill>
            <w14:solidFill>
              <w14:schemeClr w14:val="tx1"/>
            </w14:solidFill>
          </w14:textFill>
        </w:rPr>
        <w:t>义</w:t>
      </w:r>
      <w:r>
        <w:rPr>
          <w:rFonts w:hint="eastAsia" w:ascii="宋体" w:hAnsi="宋体"/>
          <w:color w:val="000000" w:themeColor="text1"/>
          <w:sz w:val="21"/>
          <w:szCs w:val="21"/>
          <w:highlight w:val="none"/>
          <w14:textFill>
            <w14:solidFill>
              <w14:schemeClr w14:val="tx1"/>
            </w14:solidFill>
          </w14:textFill>
        </w:rPr>
        <w:t>，并代表本人与你</w:t>
      </w:r>
      <w:r>
        <w:rPr>
          <w:rFonts w:hint="eastAsia" w:ascii="宋体" w:hAnsi="宋体" w:cs="宋体"/>
          <w:color w:val="000000" w:themeColor="text1"/>
          <w:sz w:val="21"/>
          <w:szCs w:val="21"/>
          <w:highlight w:val="none"/>
          <w14:textFill>
            <w14:solidFill>
              <w14:schemeClr w14:val="tx1"/>
            </w14:solidFill>
          </w14:textFill>
        </w:rPr>
        <w:t>们进</w:t>
      </w:r>
      <w:r>
        <w:rPr>
          <w:rFonts w:hint="eastAsia" w:ascii="宋体" w:hAnsi="宋体"/>
          <w:color w:val="000000" w:themeColor="text1"/>
          <w:sz w:val="21"/>
          <w:szCs w:val="21"/>
          <w:highlight w:val="none"/>
          <w14:textFill>
            <w14:solidFill>
              <w14:schemeClr w14:val="tx1"/>
            </w14:solidFill>
          </w14:textFill>
        </w:rPr>
        <w:t>行磋商、</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署文件和</w:t>
      </w:r>
      <w:r>
        <w:rPr>
          <w:rFonts w:hint="eastAsia" w:ascii="宋体" w:hAnsi="宋体" w:cs="宋体"/>
          <w:color w:val="000000" w:themeColor="text1"/>
          <w:sz w:val="21"/>
          <w:szCs w:val="21"/>
          <w:highlight w:val="none"/>
          <w14:textFill>
            <w14:solidFill>
              <w14:schemeClr w14:val="tx1"/>
            </w14:solidFill>
          </w14:textFill>
        </w:rPr>
        <w:t>处</w:t>
      </w:r>
      <w:r>
        <w:rPr>
          <w:rFonts w:hint="eastAsia" w:ascii="宋体" w:hAnsi="宋体"/>
          <w:color w:val="000000" w:themeColor="text1"/>
          <w:sz w:val="21"/>
          <w:szCs w:val="21"/>
          <w:highlight w:val="none"/>
          <w14:textFill>
            <w14:solidFill>
              <w14:schemeClr w14:val="tx1"/>
            </w14:solidFill>
          </w14:textFill>
        </w:rPr>
        <w:t>理一切与此事有</w:t>
      </w:r>
      <w:r>
        <w:rPr>
          <w:rFonts w:hint="eastAsia" w:ascii="宋体" w:hAnsi="宋体" w:cs="宋体"/>
          <w:color w:val="000000" w:themeColor="text1"/>
          <w:sz w:val="21"/>
          <w:szCs w:val="21"/>
          <w:highlight w:val="none"/>
          <w14:textFill>
            <w14:solidFill>
              <w14:schemeClr w14:val="tx1"/>
            </w14:solidFill>
          </w14:textFill>
        </w:rPr>
        <w:t>关</w:t>
      </w:r>
      <w:r>
        <w:rPr>
          <w:rFonts w:hint="eastAsia" w:ascii="宋体" w:hAnsi="宋体"/>
          <w:color w:val="000000" w:themeColor="text1"/>
          <w:sz w:val="21"/>
          <w:szCs w:val="21"/>
          <w:highlight w:val="none"/>
          <w14:textFill>
            <w14:solidFill>
              <w14:schemeClr w14:val="tx1"/>
            </w14:solidFill>
          </w14:textFill>
        </w:rPr>
        <w:t>的事</w:t>
      </w:r>
      <w:r>
        <w:rPr>
          <w:rFonts w:hint="eastAsia" w:ascii="宋体" w:hAnsi="宋体" w:cs="宋体"/>
          <w:color w:val="000000" w:themeColor="text1"/>
          <w:sz w:val="21"/>
          <w:szCs w:val="21"/>
          <w:highlight w:val="none"/>
          <w14:textFill>
            <w14:solidFill>
              <w14:schemeClr w14:val="tx1"/>
            </w14:solidFill>
          </w14:textFill>
        </w:rPr>
        <w:t>务</w:t>
      </w: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代表的一切行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均代表本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位，与本人的行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具有同等法律效力。本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位将承担授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的全部法律</w:t>
      </w:r>
      <w:r>
        <w:rPr>
          <w:rFonts w:hint="eastAsia" w:ascii="宋体" w:hAnsi="宋体" w:cs="宋体"/>
          <w:color w:val="000000" w:themeColor="text1"/>
          <w:sz w:val="21"/>
          <w:szCs w:val="21"/>
          <w:highlight w:val="none"/>
          <w14:textFill>
            <w14:solidFill>
              <w14:schemeClr w14:val="tx1"/>
            </w14:solidFill>
          </w14:textFill>
        </w:rPr>
        <w:t>责</w:t>
      </w:r>
      <w:r>
        <w:rPr>
          <w:rFonts w:hint="eastAsia" w:ascii="宋体" w:hAnsi="宋体"/>
          <w:color w:val="000000" w:themeColor="text1"/>
          <w:sz w:val="21"/>
          <w:szCs w:val="21"/>
          <w:highlight w:val="none"/>
          <w14:textFill>
            <w14:solidFill>
              <w14:schemeClr w14:val="tx1"/>
            </w14:solidFill>
          </w14:textFill>
        </w:rPr>
        <w:t>任和后果。</w:t>
      </w:r>
    </w:p>
    <w:p w14:paraId="50B478D1">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本授权委托书期限自</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日起至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日止。</w:t>
      </w:r>
    </w:p>
    <w:p w14:paraId="2F9BA167">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代表无</w:t>
      </w:r>
      <w:r>
        <w:rPr>
          <w:rFonts w:hint="eastAsia" w:ascii="宋体" w:hAnsi="宋体" w:cs="宋体"/>
          <w:color w:val="000000" w:themeColor="text1"/>
          <w:sz w:val="21"/>
          <w:szCs w:val="21"/>
          <w:highlight w:val="none"/>
          <w14:textFill>
            <w14:solidFill>
              <w14:schemeClr w14:val="tx1"/>
            </w14:solidFill>
          </w14:textFill>
        </w:rPr>
        <w:t>权转让</w:t>
      </w:r>
      <w:r>
        <w:rPr>
          <w:rFonts w:hint="eastAsia" w:ascii="宋体" w:hAnsi="宋体"/>
          <w:color w:val="000000" w:themeColor="text1"/>
          <w:sz w:val="21"/>
          <w:szCs w:val="21"/>
          <w:highlight w:val="none"/>
          <w14:textFill>
            <w14:solidFill>
              <w14:schemeClr w14:val="tx1"/>
            </w14:solidFill>
          </w14:textFill>
        </w:rPr>
        <w:t>委托</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，特此委托。</w:t>
      </w:r>
    </w:p>
    <w:p w14:paraId="57557446">
      <w:pPr>
        <w:spacing w:line="360" w:lineRule="auto"/>
        <w:jc w:val="left"/>
        <w:rPr>
          <w:rFonts w:ascii="宋体" w:hAnsi="宋体"/>
          <w:color w:val="000000" w:themeColor="text1"/>
          <w:sz w:val="21"/>
          <w:szCs w:val="21"/>
          <w:highlight w:val="none"/>
          <w14:textFill>
            <w14:solidFill>
              <w14:schemeClr w14:val="tx1"/>
            </w14:solidFill>
          </w14:textFill>
        </w:rPr>
      </w:pPr>
    </w:p>
    <w:p w14:paraId="5284D562">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附：1.授权委托人身份证扫描件</w:t>
      </w:r>
    </w:p>
    <w:p w14:paraId="23FD3731">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2.授权委托人系投标人本单位正式在岗职工</w:t>
      </w:r>
      <w:r>
        <w:rPr>
          <w:rStyle w:val="49"/>
          <w:rFonts w:ascii="宋体" w:hAnsi="宋体"/>
          <w:color w:val="000000" w:themeColor="text1"/>
          <w:sz w:val="21"/>
          <w:szCs w:val="21"/>
          <w:highlight w:val="none"/>
          <w14:textFill>
            <w14:solidFill>
              <w14:schemeClr w14:val="tx1"/>
            </w14:solidFill>
          </w14:textFill>
        </w:rPr>
        <w:footnoteReference w:id="108"/>
      </w:r>
      <w:r>
        <w:rPr>
          <w:rFonts w:hint="eastAsia" w:ascii="宋体" w:hAnsi="宋体"/>
          <w:color w:val="000000" w:themeColor="text1"/>
          <w:sz w:val="21"/>
          <w:szCs w:val="21"/>
          <w:highlight w:val="none"/>
          <w14:textFill>
            <w14:solidFill>
              <w14:schemeClr w14:val="tx1"/>
            </w14:solidFill>
          </w14:textFill>
        </w:rPr>
        <w:t>（以住房城乡建设行政主管部门核发的有效执业资格证书证明或社保管理部门出具的社保缴费证明所署单位为准）的证明材料扫描件。</w:t>
      </w:r>
    </w:p>
    <w:p w14:paraId="7F9D703B">
      <w:pPr>
        <w:spacing w:line="360" w:lineRule="auto"/>
        <w:jc w:val="left"/>
        <w:rPr>
          <w:rFonts w:ascii="宋体" w:hAnsi="宋体"/>
          <w:color w:val="000000" w:themeColor="text1"/>
          <w:sz w:val="21"/>
          <w:szCs w:val="21"/>
          <w:highlight w:val="none"/>
          <w14:textFill>
            <w14:solidFill>
              <w14:schemeClr w14:val="tx1"/>
            </w14:solidFill>
          </w14:textFill>
        </w:rPr>
      </w:pPr>
    </w:p>
    <w:p w14:paraId="360BFC13">
      <w:pPr>
        <w:spacing w:line="360" w:lineRule="auto"/>
        <w:jc w:val="left"/>
        <w:rPr>
          <w:rFonts w:ascii="宋体" w:hAnsi="宋体"/>
          <w:color w:val="000000" w:themeColor="text1"/>
          <w:sz w:val="21"/>
          <w:szCs w:val="21"/>
          <w:highlight w:val="none"/>
          <w14:textFill>
            <w14:solidFill>
              <w14:schemeClr w14:val="tx1"/>
            </w14:solidFill>
          </w14:textFill>
        </w:rPr>
      </w:pPr>
    </w:p>
    <w:p w14:paraId="2723C29A">
      <w:pPr>
        <w:spacing w:line="360" w:lineRule="auto"/>
        <w:jc w:val="left"/>
        <w:rPr>
          <w:rFonts w:ascii="宋体" w:hAnsi="宋体"/>
          <w:color w:val="000000" w:themeColor="text1"/>
          <w:sz w:val="21"/>
          <w:szCs w:val="21"/>
          <w:highlight w:val="none"/>
          <w14:textFill>
            <w14:solidFill>
              <w14:schemeClr w14:val="tx1"/>
            </w14:solidFill>
          </w14:textFill>
        </w:rPr>
      </w:pPr>
    </w:p>
    <w:p w14:paraId="2774994C">
      <w:pPr>
        <w:spacing w:line="360" w:lineRule="auto"/>
        <w:ind w:firstLine="3402" w:firstLineChars="162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p>
    <w:p w14:paraId="3F80AAED">
      <w:pPr>
        <w:spacing w:line="360" w:lineRule="auto"/>
        <w:ind w:firstLine="3402" w:firstLineChars="162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（签字或盖章）</w:t>
      </w:r>
    </w:p>
    <w:p w14:paraId="5BE18C59">
      <w:pPr>
        <w:spacing w:line="360" w:lineRule="auto"/>
        <w:ind w:firstLine="3402" w:firstLineChars="162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委托人：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（签字或盖章）</w:t>
      </w:r>
    </w:p>
    <w:p w14:paraId="2CFF3374">
      <w:pPr>
        <w:spacing w:line="360" w:lineRule="auto"/>
        <w:ind w:firstLine="3402" w:firstLineChars="162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日期：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14:paraId="221BCED2">
      <w:pPr>
        <w:spacing w:line="360" w:lineRule="auto"/>
        <w:jc w:val="left"/>
        <w:rPr>
          <w:rFonts w:ascii="宋体" w:hAnsi="宋体"/>
          <w:color w:val="000000" w:themeColor="text1"/>
          <w:sz w:val="21"/>
          <w:szCs w:val="21"/>
          <w:highlight w:val="none"/>
          <w14:textFill>
            <w14:solidFill>
              <w14:schemeClr w14:val="tx1"/>
            </w14:solidFill>
          </w14:textFill>
        </w:rPr>
      </w:pPr>
    </w:p>
    <w:p w14:paraId="3410C367">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4CC4F171">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1C6B974">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64A6C102">
      <w:pPr>
        <w:pStyle w:val="13"/>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21AD8AA3">
      <w:pPr>
        <w:pStyle w:val="13"/>
        <w:tabs>
          <w:tab w:val="left" w:pos="1000"/>
        </w:tabs>
        <w:spacing w:line="360" w:lineRule="auto"/>
        <w:ind w:firstLine="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五、设计（勘察）投标报价表（格式）</w:t>
      </w:r>
    </w:p>
    <w:p w14:paraId="5225FA7D">
      <w:pPr>
        <w:spacing w:line="360" w:lineRule="auto"/>
        <w:jc w:val="both"/>
        <w:rPr>
          <w:rFonts w:hint="eastAsia" w:ascii="宋体" w:hAnsi="Times New Roman" w:eastAsia="宋体"/>
          <w:b/>
          <w:color w:val="000000" w:themeColor="text1"/>
          <w:sz w:val="21"/>
          <w:szCs w:val="21"/>
          <w:highlight w:val="none"/>
          <w14:textFill>
            <w14:solidFill>
              <w14:schemeClr w14:val="tx1"/>
            </w14:solidFill>
          </w14:textFill>
        </w:rPr>
      </w:pPr>
      <w:r>
        <w:rPr>
          <w:rFonts w:hint="eastAsia" w:ascii="宋体" w:hAnsi="Calibri" w:eastAsia="宋体" w:cs="Times New Roman"/>
          <w:b/>
          <w:color w:val="000000" w:themeColor="text1"/>
          <w:sz w:val="21"/>
          <w:szCs w:val="21"/>
          <w:highlight w:val="none"/>
          <w:lang w:val="en-US" w:eastAsia="zh-CN"/>
          <w14:textFill>
            <w14:solidFill>
              <w14:schemeClr w14:val="tx1"/>
            </w14:solidFill>
          </w14:textFill>
        </w:rPr>
        <w:t>1.采用综合收费方式</w:t>
      </w:r>
    </w:p>
    <w:p w14:paraId="32DDA78A">
      <w:pPr>
        <w:spacing w:line="360" w:lineRule="auto"/>
        <w:jc w:val="center"/>
        <w:rPr>
          <w:rFonts w:hint="eastAsia" w:ascii="宋体" w:hAnsi="Times New Roman" w:eastAsia="宋体"/>
          <w:b/>
          <w:color w:val="000000" w:themeColor="text1"/>
          <w:sz w:val="32"/>
          <w:szCs w:val="32"/>
          <w:highlight w:val="none"/>
          <w14:textFill>
            <w14:solidFill>
              <w14:schemeClr w14:val="tx1"/>
            </w14:solidFill>
          </w14:textFill>
        </w:rPr>
      </w:pPr>
      <w:r>
        <w:rPr>
          <w:rFonts w:hint="eastAsia" w:ascii="宋体" w:hAnsi="Times New Roman" w:eastAsia="宋体"/>
          <w:b/>
          <w:color w:val="000000" w:themeColor="text1"/>
          <w:sz w:val="32"/>
          <w:szCs w:val="32"/>
          <w:highlight w:val="none"/>
          <w14:textFill>
            <w14:solidFill>
              <w14:schemeClr w14:val="tx1"/>
            </w14:solidFill>
          </w14:textFill>
        </w:rPr>
        <w:t>投标报价表</w:t>
      </w:r>
      <w:r>
        <w:rPr>
          <w:rStyle w:val="49"/>
          <w:rFonts w:hint="eastAsia" w:ascii="宋体" w:hAnsi="Times New Roman" w:eastAsia="宋体"/>
          <w:b/>
          <w:color w:val="000000" w:themeColor="text1"/>
          <w:sz w:val="32"/>
          <w:szCs w:val="32"/>
          <w:highlight w:val="none"/>
          <w14:textFill>
            <w14:solidFill>
              <w14:schemeClr w14:val="tx1"/>
            </w14:solidFill>
          </w14:textFill>
        </w:rPr>
        <w:footnoteReference w:id="109"/>
      </w:r>
    </w:p>
    <w:tbl>
      <w:tblPr>
        <w:tblStyle w:val="41"/>
        <w:tblW w:w="9533" w:type="dxa"/>
        <w:tblInd w:w="-3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90"/>
        <w:gridCol w:w="900"/>
        <w:gridCol w:w="1078"/>
        <w:gridCol w:w="2"/>
        <w:gridCol w:w="2280"/>
        <w:gridCol w:w="420"/>
        <w:gridCol w:w="1440"/>
        <w:gridCol w:w="931"/>
        <w:gridCol w:w="1592"/>
      </w:tblGrid>
      <w:tr w14:paraId="24B1C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9" w:hRule="exact"/>
        </w:trPr>
        <w:tc>
          <w:tcPr>
            <w:tcW w:w="1790" w:type="dxa"/>
            <w:gridSpan w:val="2"/>
            <w:tcBorders>
              <w:tl2br w:val="nil"/>
              <w:tr2bl w:val="nil"/>
            </w:tcBorders>
            <w:noWrap w:val="0"/>
            <w:vAlign w:val="center"/>
          </w:tcPr>
          <w:p w14:paraId="008904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3780" w:type="dxa"/>
            <w:gridSpan w:val="4"/>
            <w:tcBorders>
              <w:tl2br w:val="nil"/>
              <w:tr2bl w:val="nil"/>
            </w:tcBorders>
            <w:noWrap w:val="0"/>
            <w:vAlign w:val="center"/>
          </w:tcPr>
          <w:p w14:paraId="01AD813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40" w:type="dxa"/>
            <w:tcBorders>
              <w:tl2br w:val="nil"/>
              <w:tr2bl w:val="nil"/>
            </w:tcBorders>
            <w:noWrap w:val="0"/>
            <w:vAlign w:val="center"/>
          </w:tcPr>
          <w:p w14:paraId="2BEB07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招标编号</w:t>
            </w:r>
          </w:p>
        </w:tc>
        <w:tc>
          <w:tcPr>
            <w:tcW w:w="2523" w:type="dxa"/>
            <w:gridSpan w:val="2"/>
            <w:tcBorders>
              <w:tl2br w:val="nil"/>
              <w:tr2bl w:val="nil"/>
            </w:tcBorders>
            <w:noWrap w:val="0"/>
            <w:vAlign w:val="center"/>
          </w:tcPr>
          <w:p w14:paraId="16A1BB01">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36BD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8" w:hRule="exact"/>
        </w:trPr>
        <w:tc>
          <w:tcPr>
            <w:tcW w:w="2868" w:type="dxa"/>
            <w:gridSpan w:val="3"/>
            <w:tcBorders>
              <w:tl2br w:val="nil"/>
              <w:tr2bl w:val="nil"/>
            </w:tcBorders>
            <w:noWrap w:val="0"/>
            <w:vAlign w:val="center"/>
          </w:tcPr>
          <w:p w14:paraId="15C7D48B">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设计费投标报价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总金额</w:t>
            </w:r>
          </w:p>
          <w:p w14:paraId="058347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（一）+（二）+（三）</w:t>
            </w:r>
          </w:p>
        </w:tc>
        <w:tc>
          <w:tcPr>
            <w:tcW w:w="6665" w:type="dxa"/>
            <w:gridSpan w:val="6"/>
            <w:tcBorders>
              <w:tl2br w:val="nil"/>
              <w:tr2bl w:val="nil"/>
            </w:tcBorders>
            <w:noWrap w:val="0"/>
            <w:vAlign w:val="center"/>
          </w:tcPr>
          <w:p w14:paraId="4450AE88">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（大写）人民币</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477732C4">
            <w:pPr>
              <w:ind w:right="69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tc>
      </w:tr>
      <w:tr w14:paraId="2E4FB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873" w:hRule="atLeast"/>
        </w:trPr>
        <w:tc>
          <w:tcPr>
            <w:tcW w:w="890" w:type="dxa"/>
            <w:vMerge w:val="restart"/>
            <w:tcBorders>
              <w:tl2br w:val="nil"/>
              <w:tr2bl w:val="nil"/>
            </w:tcBorders>
            <w:noWrap w:val="0"/>
            <w:vAlign w:val="center"/>
          </w:tcPr>
          <w:p w14:paraId="09E7C4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w:t>
            </w:r>
          </w:p>
          <w:p w14:paraId="785850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w:t>
            </w:r>
          </w:p>
          <w:p w14:paraId="6A277B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费</w:t>
            </w:r>
          </w:p>
        </w:tc>
        <w:tc>
          <w:tcPr>
            <w:tcW w:w="1980" w:type="dxa"/>
            <w:gridSpan w:val="3"/>
            <w:tcBorders>
              <w:tl2br w:val="nil"/>
              <w:tr2bl w:val="nil"/>
            </w:tcBorders>
            <w:noWrap w:val="0"/>
            <w:vAlign w:val="center"/>
          </w:tcPr>
          <w:p w14:paraId="1C71C5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设计费投标报价金额（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w:t>
            </w:r>
          </w:p>
        </w:tc>
        <w:tc>
          <w:tcPr>
            <w:tcW w:w="6663" w:type="dxa"/>
            <w:gridSpan w:val="5"/>
            <w:tcBorders>
              <w:tl2br w:val="nil"/>
              <w:tr2bl w:val="nil"/>
            </w:tcBorders>
            <w:noWrap w:val="0"/>
            <w:vAlign w:val="center"/>
          </w:tcPr>
          <w:p w14:paraId="655C9590">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（大写）人民币</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185D3F68">
            <w:pPr>
              <w:ind w:right="69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39511114">
            <w:pPr>
              <w:ind w:right="69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设计费报价浮动幅度值为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i w:val="0"/>
                <w:iCs w:val="0"/>
                <w:color w:val="000000" w:themeColor="text1"/>
                <w:sz w:val="21"/>
                <w:szCs w:val="21"/>
                <w:highlight w:val="none"/>
                <w:u w:val="none"/>
                <w14:textFill>
                  <w14:solidFill>
                    <w14:schemeClr w14:val="tx1"/>
                  </w14:solidFill>
                </w14:textFill>
              </w:rPr>
              <w:t>（须标明“+”或“-”）</w:t>
            </w:r>
            <w:r>
              <w:rPr>
                <w:rFonts w:hint="eastAsia" w:ascii="宋体" w:hAnsi="宋体" w:eastAsia="宋体" w:cs="宋体"/>
                <w:color w:val="000000" w:themeColor="text1"/>
                <w:sz w:val="21"/>
                <w:szCs w:val="21"/>
                <w:highlight w:val="none"/>
                <w14:textFill>
                  <w14:solidFill>
                    <w14:schemeClr w14:val="tx1"/>
                  </w14:solidFill>
                </w14:textFill>
              </w:rPr>
              <w:t>。</w:t>
            </w:r>
          </w:p>
          <w:p w14:paraId="54F07B51">
            <w:pPr>
              <w:ind w:right="69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说明：设计费报价浮动幅度值＝(1-设计费投标报价金额/工程设计收费基准价) ×100%。</w:t>
            </w:r>
          </w:p>
        </w:tc>
      </w:tr>
      <w:tr w14:paraId="42DCD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89" w:hRule="exact"/>
        </w:trPr>
        <w:tc>
          <w:tcPr>
            <w:tcW w:w="890" w:type="dxa"/>
            <w:vMerge w:val="continue"/>
            <w:tcBorders>
              <w:tl2br w:val="nil"/>
              <w:tr2bl w:val="nil"/>
            </w:tcBorders>
            <w:noWrap w:val="0"/>
            <w:vAlign w:val="center"/>
          </w:tcPr>
          <w:p w14:paraId="35D2978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0" w:type="dxa"/>
            <w:gridSpan w:val="4"/>
            <w:tcBorders>
              <w:tl2br w:val="nil"/>
              <w:tr2bl w:val="nil"/>
            </w:tcBorders>
            <w:noWrap w:val="0"/>
            <w:vAlign w:val="center"/>
          </w:tcPr>
          <w:p w14:paraId="39CD2B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设计费组成</w:t>
            </w:r>
            <w:r>
              <w:rPr>
                <w:rFonts w:hint="eastAsia" w:ascii="宋体" w:hAnsi="宋体" w:eastAsia="宋体" w:cs="宋体"/>
                <w:color w:val="000000" w:themeColor="text1"/>
                <w:sz w:val="21"/>
                <w:szCs w:val="21"/>
                <w:highlight w:val="none"/>
                <w14:textFill>
                  <w14:solidFill>
                    <w14:schemeClr w14:val="tx1"/>
                  </w14:solidFill>
                </w14:textFill>
              </w:rPr>
              <w:t>明细</w:t>
            </w:r>
          </w:p>
        </w:tc>
        <w:tc>
          <w:tcPr>
            <w:tcW w:w="2791" w:type="dxa"/>
            <w:gridSpan w:val="3"/>
            <w:tcBorders>
              <w:tl2br w:val="nil"/>
              <w:tr2bl w:val="nil"/>
            </w:tcBorders>
            <w:noWrap w:val="0"/>
            <w:vAlign w:val="center"/>
          </w:tcPr>
          <w:p w14:paraId="0B435E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投标报价金额</w:t>
            </w:r>
          </w:p>
        </w:tc>
        <w:tc>
          <w:tcPr>
            <w:tcW w:w="1592" w:type="dxa"/>
            <w:tcBorders>
              <w:tl2br w:val="nil"/>
              <w:tr2bl w:val="nil"/>
            </w:tcBorders>
            <w:noWrap w:val="0"/>
            <w:vAlign w:val="center"/>
          </w:tcPr>
          <w:p w14:paraId="7A91DE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0ECD8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0" w:hRule="exact"/>
        </w:trPr>
        <w:tc>
          <w:tcPr>
            <w:tcW w:w="890" w:type="dxa"/>
            <w:vMerge w:val="continue"/>
            <w:tcBorders>
              <w:tl2br w:val="nil"/>
              <w:tr2bl w:val="nil"/>
            </w:tcBorders>
            <w:noWrap w:val="0"/>
            <w:vAlign w:val="center"/>
          </w:tcPr>
          <w:p w14:paraId="6DC81509">
            <w:pPr>
              <w:rPr>
                <w:rFonts w:hint="eastAsia" w:ascii="宋体" w:hAnsi="宋体" w:eastAsia="宋体" w:cs="宋体"/>
                <w:color w:val="000000" w:themeColor="text1"/>
                <w:sz w:val="21"/>
                <w:szCs w:val="21"/>
                <w:highlight w:val="none"/>
                <w14:textFill>
                  <w14:solidFill>
                    <w14:schemeClr w14:val="tx1"/>
                  </w14:solidFill>
                </w14:textFill>
              </w:rPr>
            </w:pPr>
          </w:p>
        </w:tc>
        <w:tc>
          <w:tcPr>
            <w:tcW w:w="1980" w:type="dxa"/>
            <w:gridSpan w:val="3"/>
            <w:vMerge w:val="restart"/>
            <w:tcBorders>
              <w:tl2br w:val="nil"/>
              <w:tr2bl w:val="nil"/>
            </w:tcBorders>
            <w:noWrap w:val="0"/>
            <w:vAlign w:val="center"/>
          </w:tcPr>
          <w:p w14:paraId="0B5776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基本设计收费</w:t>
            </w:r>
          </w:p>
        </w:tc>
        <w:tc>
          <w:tcPr>
            <w:tcW w:w="2280" w:type="dxa"/>
            <w:tcBorders>
              <w:tl2br w:val="nil"/>
              <w:tr2bl w:val="nil"/>
            </w:tcBorders>
            <w:noWrap w:val="0"/>
            <w:vAlign w:val="center"/>
          </w:tcPr>
          <w:p w14:paraId="636171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方案设计费</w:t>
            </w:r>
          </w:p>
        </w:tc>
        <w:tc>
          <w:tcPr>
            <w:tcW w:w="2791" w:type="dxa"/>
            <w:gridSpan w:val="3"/>
            <w:tcBorders>
              <w:tl2br w:val="nil"/>
              <w:tr2bl w:val="nil"/>
            </w:tcBorders>
            <w:noWrap w:val="0"/>
            <w:vAlign w:val="center"/>
          </w:tcPr>
          <w:p w14:paraId="792EB22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2" w:type="dxa"/>
            <w:tcBorders>
              <w:tl2br w:val="nil"/>
              <w:tr2bl w:val="nil"/>
            </w:tcBorders>
            <w:noWrap w:val="0"/>
            <w:vAlign w:val="center"/>
          </w:tcPr>
          <w:p w14:paraId="48FB15D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65E1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21" w:hRule="exact"/>
        </w:trPr>
        <w:tc>
          <w:tcPr>
            <w:tcW w:w="890" w:type="dxa"/>
            <w:vMerge w:val="continue"/>
            <w:tcBorders>
              <w:tl2br w:val="nil"/>
              <w:tr2bl w:val="nil"/>
            </w:tcBorders>
            <w:noWrap w:val="0"/>
            <w:vAlign w:val="center"/>
          </w:tcPr>
          <w:p w14:paraId="619A0E0D">
            <w:pPr>
              <w:rPr>
                <w:rFonts w:hint="eastAsia" w:ascii="宋体" w:hAnsi="宋体" w:eastAsia="宋体" w:cs="宋体"/>
                <w:color w:val="000000" w:themeColor="text1"/>
                <w:sz w:val="21"/>
                <w:szCs w:val="21"/>
                <w:highlight w:val="none"/>
                <w14:textFill>
                  <w14:solidFill>
                    <w14:schemeClr w14:val="tx1"/>
                  </w14:solidFill>
                </w14:textFill>
              </w:rPr>
            </w:pPr>
          </w:p>
        </w:tc>
        <w:tc>
          <w:tcPr>
            <w:tcW w:w="1980" w:type="dxa"/>
            <w:gridSpan w:val="3"/>
            <w:vMerge w:val="continue"/>
            <w:tcBorders>
              <w:tl2br w:val="nil"/>
              <w:tr2bl w:val="nil"/>
            </w:tcBorders>
            <w:noWrap w:val="0"/>
            <w:vAlign w:val="center"/>
          </w:tcPr>
          <w:p w14:paraId="2A56B56D">
            <w:pPr>
              <w:rPr>
                <w:rFonts w:hint="eastAsia" w:ascii="宋体" w:hAnsi="宋体" w:eastAsia="宋体" w:cs="宋体"/>
                <w:color w:val="000000" w:themeColor="text1"/>
                <w:sz w:val="21"/>
                <w:szCs w:val="21"/>
                <w:highlight w:val="none"/>
                <w14:textFill>
                  <w14:solidFill>
                    <w14:schemeClr w14:val="tx1"/>
                  </w14:solidFill>
                </w14:textFill>
              </w:rPr>
            </w:pPr>
          </w:p>
        </w:tc>
        <w:tc>
          <w:tcPr>
            <w:tcW w:w="2280" w:type="dxa"/>
            <w:tcBorders>
              <w:tl2br w:val="nil"/>
              <w:tr2bl w:val="nil"/>
            </w:tcBorders>
            <w:noWrap w:val="0"/>
            <w:vAlign w:val="center"/>
          </w:tcPr>
          <w:p w14:paraId="71F8CE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初步设计费</w:t>
            </w:r>
          </w:p>
        </w:tc>
        <w:tc>
          <w:tcPr>
            <w:tcW w:w="2791" w:type="dxa"/>
            <w:gridSpan w:val="3"/>
            <w:tcBorders>
              <w:tl2br w:val="nil"/>
              <w:tr2bl w:val="nil"/>
            </w:tcBorders>
            <w:noWrap w:val="0"/>
            <w:vAlign w:val="center"/>
          </w:tcPr>
          <w:p w14:paraId="25FEDEC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2" w:type="dxa"/>
            <w:tcBorders>
              <w:tl2br w:val="nil"/>
              <w:tr2bl w:val="nil"/>
            </w:tcBorders>
            <w:noWrap w:val="0"/>
            <w:vAlign w:val="center"/>
          </w:tcPr>
          <w:p w14:paraId="7189F5D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054F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33" w:hRule="exact"/>
        </w:trPr>
        <w:tc>
          <w:tcPr>
            <w:tcW w:w="890" w:type="dxa"/>
            <w:vMerge w:val="continue"/>
            <w:tcBorders>
              <w:tl2br w:val="nil"/>
              <w:tr2bl w:val="nil"/>
            </w:tcBorders>
            <w:noWrap w:val="0"/>
            <w:vAlign w:val="center"/>
          </w:tcPr>
          <w:p w14:paraId="40057C49">
            <w:pPr>
              <w:rPr>
                <w:rFonts w:hint="eastAsia" w:ascii="宋体" w:hAnsi="宋体" w:eastAsia="宋体" w:cs="宋体"/>
                <w:color w:val="000000" w:themeColor="text1"/>
                <w:sz w:val="21"/>
                <w:szCs w:val="21"/>
                <w:highlight w:val="none"/>
                <w14:textFill>
                  <w14:solidFill>
                    <w14:schemeClr w14:val="tx1"/>
                  </w14:solidFill>
                </w14:textFill>
              </w:rPr>
            </w:pPr>
          </w:p>
        </w:tc>
        <w:tc>
          <w:tcPr>
            <w:tcW w:w="1980" w:type="dxa"/>
            <w:gridSpan w:val="3"/>
            <w:vMerge w:val="continue"/>
            <w:tcBorders>
              <w:tl2br w:val="nil"/>
              <w:tr2bl w:val="nil"/>
            </w:tcBorders>
            <w:noWrap w:val="0"/>
            <w:vAlign w:val="center"/>
          </w:tcPr>
          <w:p w14:paraId="61C63045">
            <w:pPr>
              <w:rPr>
                <w:rFonts w:hint="eastAsia" w:ascii="宋体" w:hAnsi="宋体" w:eastAsia="宋体" w:cs="宋体"/>
                <w:color w:val="000000" w:themeColor="text1"/>
                <w:sz w:val="21"/>
                <w:szCs w:val="21"/>
                <w:highlight w:val="none"/>
                <w14:textFill>
                  <w14:solidFill>
                    <w14:schemeClr w14:val="tx1"/>
                  </w14:solidFill>
                </w14:textFill>
              </w:rPr>
            </w:pPr>
          </w:p>
        </w:tc>
        <w:tc>
          <w:tcPr>
            <w:tcW w:w="2280" w:type="dxa"/>
            <w:tcBorders>
              <w:tl2br w:val="nil"/>
              <w:tr2bl w:val="nil"/>
            </w:tcBorders>
            <w:noWrap w:val="0"/>
            <w:vAlign w:val="center"/>
          </w:tcPr>
          <w:p w14:paraId="038DB9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施工图设计费</w:t>
            </w:r>
          </w:p>
        </w:tc>
        <w:tc>
          <w:tcPr>
            <w:tcW w:w="2791" w:type="dxa"/>
            <w:gridSpan w:val="3"/>
            <w:tcBorders>
              <w:tl2br w:val="nil"/>
              <w:tr2bl w:val="nil"/>
            </w:tcBorders>
            <w:noWrap w:val="0"/>
            <w:vAlign w:val="center"/>
          </w:tcPr>
          <w:p w14:paraId="0AA777C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2" w:type="dxa"/>
            <w:tcBorders>
              <w:tl2br w:val="nil"/>
              <w:tr2bl w:val="nil"/>
            </w:tcBorders>
            <w:noWrap w:val="0"/>
            <w:vAlign w:val="center"/>
          </w:tcPr>
          <w:p w14:paraId="7A35A33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F6EB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53" w:hRule="exact"/>
        </w:trPr>
        <w:tc>
          <w:tcPr>
            <w:tcW w:w="890" w:type="dxa"/>
            <w:vMerge w:val="continue"/>
            <w:tcBorders>
              <w:tl2br w:val="nil"/>
              <w:tr2bl w:val="nil"/>
            </w:tcBorders>
            <w:noWrap w:val="0"/>
            <w:vAlign w:val="center"/>
          </w:tcPr>
          <w:p w14:paraId="2A300D65">
            <w:pPr>
              <w:rPr>
                <w:rFonts w:hint="eastAsia" w:ascii="宋体" w:hAnsi="宋体" w:eastAsia="宋体" w:cs="宋体"/>
                <w:color w:val="000000" w:themeColor="text1"/>
                <w:sz w:val="21"/>
                <w:szCs w:val="21"/>
                <w:highlight w:val="none"/>
                <w14:textFill>
                  <w14:solidFill>
                    <w14:schemeClr w14:val="tx1"/>
                  </w14:solidFill>
                </w14:textFill>
              </w:rPr>
            </w:pPr>
          </w:p>
        </w:tc>
        <w:tc>
          <w:tcPr>
            <w:tcW w:w="1980" w:type="dxa"/>
            <w:gridSpan w:val="3"/>
            <w:vMerge w:val="continue"/>
            <w:tcBorders>
              <w:tl2br w:val="nil"/>
              <w:tr2bl w:val="nil"/>
            </w:tcBorders>
            <w:noWrap w:val="0"/>
            <w:vAlign w:val="center"/>
          </w:tcPr>
          <w:p w14:paraId="7478078B">
            <w:pPr>
              <w:rPr>
                <w:rFonts w:hint="eastAsia" w:ascii="宋体" w:hAnsi="宋体" w:eastAsia="宋体" w:cs="宋体"/>
                <w:color w:val="000000" w:themeColor="text1"/>
                <w:sz w:val="21"/>
                <w:szCs w:val="21"/>
                <w:highlight w:val="none"/>
                <w14:textFill>
                  <w14:solidFill>
                    <w14:schemeClr w14:val="tx1"/>
                  </w14:solidFill>
                </w14:textFill>
              </w:rPr>
            </w:pPr>
          </w:p>
        </w:tc>
        <w:tc>
          <w:tcPr>
            <w:tcW w:w="2280" w:type="dxa"/>
            <w:tcBorders>
              <w:tl2br w:val="nil"/>
              <w:tr2bl w:val="nil"/>
            </w:tcBorders>
            <w:noWrap w:val="0"/>
            <w:vAlign w:val="center"/>
          </w:tcPr>
          <w:p w14:paraId="5A888C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施工配合服务费等</w:t>
            </w:r>
          </w:p>
        </w:tc>
        <w:tc>
          <w:tcPr>
            <w:tcW w:w="2791" w:type="dxa"/>
            <w:gridSpan w:val="3"/>
            <w:tcBorders>
              <w:tl2br w:val="nil"/>
              <w:tr2bl w:val="nil"/>
            </w:tcBorders>
            <w:noWrap w:val="0"/>
            <w:vAlign w:val="center"/>
          </w:tcPr>
          <w:p w14:paraId="7E72A5E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2" w:type="dxa"/>
            <w:tcBorders>
              <w:tl2br w:val="nil"/>
              <w:tr2bl w:val="nil"/>
            </w:tcBorders>
            <w:noWrap w:val="0"/>
            <w:vAlign w:val="center"/>
          </w:tcPr>
          <w:p w14:paraId="556FC0FB">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1C44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4" w:hRule="exact"/>
        </w:trPr>
        <w:tc>
          <w:tcPr>
            <w:tcW w:w="890" w:type="dxa"/>
            <w:vMerge w:val="continue"/>
            <w:tcBorders>
              <w:tl2br w:val="nil"/>
              <w:tr2bl w:val="nil"/>
            </w:tcBorders>
            <w:noWrap w:val="0"/>
            <w:vAlign w:val="center"/>
          </w:tcPr>
          <w:p w14:paraId="55795A57">
            <w:pPr>
              <w:rPr>
                <w:rFonts w:hint="eastAsia" w:ascii="宋体" w:hAnsi="宋体" w:eastAsia="宋体" w:cs="宋体"/>
                <w:color w:val="000000" w:themeColor="text1"/>
                <w:sz w:val="21"/>
                <w:szCs w:val="21"/>
                <w:highlight w:val="none"/>
                <w14:textFill>
                  <w14:solidFill>
                    <w14:schemeClr w14:val="tx1"/>
                  </w14:solidFill>
                </w14:textFill>
              </w:rPr>
            </w:pPr>
          </w:p>
        </w:tc>
        <w:tc>
          <w:tcPr>
            <w:tcW w:w="1980" w:type="dxa"/>
            <w:gridSpan w:val="3"/>
            <w:tcBorders>
              <w:tl2br w:val="nil"/>
              <w:tr2bl w:val="nil"/>
            </w:tcBorders>
            <w:noWrap w:val="0"/>
            <w:vAlign w:val="center"/>
          </w:tcPr>
          <w:p w14:paraId="0E9EFA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其他设计收费</w:t>
            </w:r>
          </w:p>
        </w:tc>
        <w:tc>
          <w:tcPr>
            <w:tcW w:w="2280" w:type="dxa"/>
            <w:tcBorders>
              <w:tl2br w:val="nil"/>
              <w:tr2bl w:val="nil"/>
            </w:tcBorders>
            <w:noWrap w:val="0"/>
            <w:vAlign w:val="center"/>
          </w:tcPr>
          <w:p w14:paraId="686A668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91" w:type="dxa"/>
            <w:gridSpan w:val="3"/>
            <w:tcBorders>
              <w:tl2br w:val="nil"/>
              <w:tr2bl w:val="nil"/>
            </w:tcBorders>
            <w:noWrap w:val="0"/>
            <w:vAlign w:val="center"/>
          </w:tcPr>
          <w:p w14:paraId="36DF0A0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2" w:type="dxa"/>
            <w:tcBorders>
              <w:tl2br w:val="nil"/>
              <w:tr2bl w:val="nil"/>
            </w:tcBorders>
            <w:noWrap w:val="0"/>
            <w:vAlign w:val="center"/>
          </w:tcPr>
          <w:p w14:paraId="0498F1B7">
            <w:pPr>
              <w:jc w:val="left"/>
              <w:rPr>
                <w:rFonts w:hint="eastAsia" w:ascii="宋体" w:hAnsi="宋体" w:eastAsia="宋体" w:cs="宋体"/>
                <w:color w:val="000000" w:themeColor="text1"/>
                <w:sz w:val="21"/>
                <w:szCs w:val="21"/>
                <w:highlight w:val="none"/>
                <w14:textFill>
                  <w14:solidFill>
                    <w14:schemeClr w14:val="tx1"/>
                  </w14:solidFill>
                </w14:textFill>
              </w:rPr>
            </w:pPr>
          </w:p>
        </w:tc>
      </w:tr>
      <w:tr w14:paraId="5E4CE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7" w:hRule="exact"/>
        </w:trPr>
        <w:tc>
          <w:tcPr>
            <w:tcW w:w="890" w:type="dxa"/>
            <w:vMerge w:val="continue"/>
            <w:tcBorders>
              <w:tl2br w:val="nil"/>
              <w:tr2bl w:val="nil"/>
            </w:tcBorders>
            <w:noWrap w:val="0"/>
            <w:vAlign w:val="center"/>
          </w:tcPr>
          <w:p w14:paraId="46E8CB97">
            <w:pPr>
              <w:rPr>
                <w:rFonts w:hint="eastAsia" w:ascii="宋体" w:hAnsi="宋体" w:eastAsia="宋体" w:cs="宋体"/>
                <w:color w:val="000000" w:themeColor="text1"/>
                <w:sz w:val="21"/>
                <w:szCs w:val="21"/>
                <w:highlight w:val="none"/>
                <w14:textFill>
                  <w14:solidFill>
                    <w14:schemeClr w14:val="tx1"/>
                  </w14:solidFill>
                </w14:textFill>
              </w:rPr>
            </w:pPr>
          </w:p>
        </w:tc>
        <w:tc>
          <w:tcPr>
            <w:tcW w:w="1980" w:type="dxa"/>
            <w:gridSpan w:val="3"/>
            <w:tcBorders>
              <w:tl2br w:val="nil"/>
              <w:tr2bl w:val="nil"/>
            </w:tcBorders>
            <w:noWrap w:val="0"/>
            <w:vAlign w:val="center"/>
          </w:tcPr>
          <w:p w14:paraId="1CC165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2280" w:type="dxa"/>
            <w:tcBorders>
              <w:tl2br w:val="nil"/>
              <w:tr2bl w:val="nil"/>
            </w:tcBorders>
            <w:noWrap w:val="0"/>
            <w:vAlign w:val="center"/>
          </w:tcPr>
          <w:p w14:paraId="00B6074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91" w:type="dxa"/>
            <w:gridSpan w:val="3"/>
            <w:tcBorders>
              <w:tl2br w:val="nil"/>
              <w:tr2bl w:val="nil"/>
            </w:tcBorders>
            <w:noWrap w:val="0"/>
            <w:vAlign w:val="center"/>
          </w:tcPr>
          <w:p w14:paraId="41330D1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2" w:type="dxa"/>
            <w:tcBorders>
              <w:tl2br w:val="nil"/>
              <w:tr2bl w:val="nil"/>
            </w:tcBorders>
            <w:noWrap w:val="0"/>
            <w:vAlign w:val="center"/>
          </w:tcPr>
          <w:p w14:paraId="3384CF4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B3D7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09" w:hRule="exact"/>
        </w:trPr>
        <w:tc>
          <w:tcPr>
            <w:tcW w:w="890" w:type="dxa"/>
            <w:tcBorders>
              <w:tl2br w:val="nil"/>
              <w:tr2bl w:val="nil"/>
            </w:tcBorders>
            <w:noWrap w:val="0"/>
            <w:vAlign w:val="center"/>
          </w:tcPr>
          <w:p w14:paraId="739D002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BIM技术应用费</w:t>
            </w:r>
          </w:p>
        </w:tc>
        <w:tc>
          <w:tcPr>
            <w:tcW w:w="1980" w:type="dxa"/>
            <w:gridSpan w:val="3"/>
            <w:tcBorders>
              <w:tl2br w:val="nil"/>
              <w:tr2bl w:val="nil"/>
            </w:tcBorders>
            <w:noWrap w:val="0"/>
            <w:vAlign w:val="center"/>
          </w:tcPr>
          <w:p w14:paraId="38977804">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BIM技术应用费投标报价金额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6663" w:type="dxa"/>
            <w:gridSpan w:val="5"/>
            <w:tcBorders>
              <w:tl2br w:val="nil"/>
              <w:tr2bl w:val="nil"/>
            </w:tcBorders>
            <w:noWrap w:val="0"/>
            <w:vAlign w:val="center"/>
          </w:tcPr>
          <w:p w14:paraId="22088C75">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（大写）人民币</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243A3383">
            <w:pPr>
              <w:ind w:right="69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tc>
      </w:tr>
      <w:tr w14:paraId="0C4FE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86" w:hRule="exact"/>
        </w:trPr>
        <w:tc>
          <w:tcPr>
            <w:tcW w:w="890" w:type="dxa"/>
            <w:tcBorders>
              <w:tl2br w:val="nil"/>
              <w:tr2bl w:val="nil"/>
            </w:tcBorders>
            <w:noWrap w:val="0"/>
            <w:vAlign w:val="center"/>
          </w:tcPr>
          <w:p w14:paraId="7A6876DA">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绿色建筑设计收费</w:t>
            </w:r>
          </w:p>
        </w:tc>
        <w:tc>
          <w:tcPr>
            <w:tcW w:w="1980" w:type="dxa"/>
            <w:gridSpan w:val="3"/>
            <w:tcBorders>
              <w:tl2br w:val="nil"/>
              <w:tr2bl w:val="nil"/>
            </w:tcBorders>
            <w:noWrap w:val="0"/>
            <w:vAlign w:val="center"/>
          </w:tcPr>
          <w:p w14:paraId="2F6CEE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绿色建筑设计收费</w:t>
            </w:r>
            <w:r>
              <w:rPr>
                <w:rFonts w:hint="eastAsia" w:ascii="宋体" w:hAnsi="宋体" w:eastAsia="宋体" w:cs="宋体"/>
                <w:color w:val="000000" w:themeColor="text1"/>
                <w:sz w:val="21"/>
                <w:szCs w:val="21"/>
                <w:highlight w:val="none"/>
                <w14:textFill>
                  <w14:solidFill>
                    <w14:schemeClr w14:val="tx1"/>
                  </w14:solidFill>
                </w14:textFill>
              </w:rPr>
              <w:t>投标报价金额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6663" w:type="dxa"/>
            <w:gridSpan w:val="5"/>
            <w:tcBorders>
              <w:tl2br w:val="nil"/>
              <w:tr2bl w:val="nil"/>
            </w:tcBorders>
            <w:noWrap w:val="0"/>
            <w:vAlign w:val="center"/>
          </w:tcPr>
          <w:p w14:paraId="18905DC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（大写）人民币</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77475795">
            <w:pPr>
              <w:ind w:right="69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tc>
      </w:tr>
      <w:tr w14:paraId="611D3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0" w:type="dxa"/>
            <w:tcBorders>
              <w:tl2br w:val="nil"/>
              <w:tr2bl w:val="nil"/>
            </w:tcBorders>
            <w:noWrap w:val="0"/>
            <w:vAlign w:val="center"/>
          </w:tcPr>
          <w:p w14:paraId="225562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勘察费</w:t>
            </w:r>
          </w:p>
        </w:tc>
        <w:tc>
          <w:tcPr>
            <w:tcW w:w="1980" w:type="dxa"/>
            <w:gridSpan w:val="3"/>
            <w:tcBorders>
              <w:tl2br w:val="nil"/>
              <w:tr2bl w:val="nil"/>
            </w:tcBorders>
            <w:noWrap w:val="0"/>
            <w:vAlign w:val="center"/>
          </w:tcPr>
          <w:p w14:paraId="2DC700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勘察费投标报价（浮动幅度值）</w:t>
            </w:r>
          </w:p>
        </w:tc>
        <w:tc>
          <w:tcPr>
            <w:tcW w:w="6663" w:type="dxa"/>
            <w:gridSpan w:val="5"/>
            <w:tcBorders>
              <w:tl2br w:val="nil"/>
              <w:tr2bl w:val="nil"/>
            </w:tcBorders>
            <w:noWrap w:val="0"/>
            <w:vAlign w:val="center"/>
          </w:tcPr>
          <w:p w14:paraId="643894D0">
            <w:pPr>
              <w:wordWrap w:val="0"/>
              <w:ind w:right="48" w:rightChars="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78E2A339">
            <w:pPr>
              <w:wordWrap w:val="0"/>
              <w:ind w:right="69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浮动幅度值为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i w:val="0"/>
                <w:iCs w:val="0"/>
                <w:color w:val="000000" w:themeColor="text1"/>
                <w:sz w:val="21"/>
                <w:szCs w:val="21"/>
                <w:highlight w:val="none"/>
                <w14:textFill>
                  <w14:solidFill>
                    <w14:schemeClr w14:val="tx1"/>
                  </w14:solidFill>
                </w14:textFill>
              </w:rPr>
              <w:t>（须标明“+”或“-”）</w:t>
            </w:r>
            <w:r>
              <w:rPr>
                <w:rFonts w:hint="eastAsia" w:ascii="宋体" w:hAnsi="宋体" w:eastAsia="宋体" w:cs="宋体"/>
                <w:color w:val="000000" w:themeColor="text1"/>
                <w:sz w:val="21"/>
                <w:szCs w:val="21"/>
                <w:highlight w:val="none"/>
                <w14:textFill>
                  <w14:solidFill>
                    <w14:schemeClr w14:val="tx1"/>
                  </w14:solidFill>
                </w14:textFill>
              </w:rPr>
              <w:t>，即本合同工程勘察收费＝工程勘察收费基准价 ×（1±浮动幅度值）</w:t>
            </w:r>
          </w:p>
        </w:tc>
      </w:tr>
    </w:tbl>
    <w:p w14:paraId="74F3F831">
      <w:pPr>
        <w:autoSpaceDE w:val="0"/>
        <w:autoSpaceDN w:val="0"/>
        <w:snapToGrid w:val="0"/>
        <w:spacing w:before="120" w:beforeLines="50" w:line="360" w:lineRule="auto"/>
        <w:ind w:firstLine="1890" w:firstLineChars="900"/>
        <w:rPr>
          <w:rFonts w:hint="eastAsia" w:ascii="宋体" w:hAnsi="Times New Roman" w:eastAsia="宋体" w:cs="宋体"/>
          <w:i w:val="0"/>
          <w:iCs w:val="0"/>
          <w:color w:val="000000" w:themeColor="text1"/>
          <w:sz w:val="21"/>
          <w:szCs w:val="21"/>
          <w:highlight w:val="none"/>
          <w14:textFill>
            <w14:solidFill>
              <w14:schemeClr w14:val="tx1"/>
            </w14:solidFill>
          </w14:textFill>
        </w:rPr>
      </w:pPr>
    </w:p>
    <w:p w14:paraId="53FE58AE">
      <w:pPr>
        <w:autoSpaceDE w:val="0"/>
        <w:autoSpaceDN w:val="0"/>
        <w:snapToGrid w:val="0"/>
        <w:spacing w:before="120" w:beforeLines="50" w:line="360" w:lineRule="auto"/>
        <w:ind w:firstLine="1890" w:firstLineChars="900"/>
        <w:rPr>
          <w:rFonts w:ascii="宋体" w:hAnsi="Times New Roman" w:eastAsia="宋体" w:cs="宋体"/>
          <w:i w:val="0"/>
          <w:iCs w:val="0"/>
          <w:color w:val="000000" w:themeColor="text1"/>
          <w:sz w:val="21"/>
          <w:szCs w:val="21"/>
          <w:highlight w:val="none"/>
          <w14:textFill>
            <w14:solidFill>
              <w14:schemeClr w14:val="tx1"/>
            </w14:solidFill>
          </w14:textFill>
        </w:rPr>
      </w:pPr>
      <w:r>
        <w:rPr>
          <w:rFonts w:hint="eastAsia" w:ascii="宋体" w:hAnsi="Times New Roman" w:eastAsia="宋体" w:cs="宋体"/>
          <w:i w:val="0"/>
          <w:iCs w:val="0"/>
          <w:color w:val="000000" w:themeColor="text1"/>
          <w:sz w:val="21"/>
          <w:szCs w:val="21"/>
          <w:highlight w:val="none"/>
          <w14:textFill>
            <w14:solidFill>
              <w14:schemeClr w14:val="tx1"/>
            </w14:solidFill>
          </w14:textFill>
        </w:rPr>
        <w:t>投标人：</w:t>
      </w:r>
      <w:r>
        <w:rPr>
          <w:rFonts w:ascii="宋体" w:hAnsi="Times New Roman" w:eastAsia="宋体" w:cs="宋体"/>
          <w:i w:val="0"/>
          <w:iCs w:val="0"/>
          <w:color w:val="000000" w:themeColor="text1"/>
          <w:sz w:val="21"/>
          <w:szCs w:val="21"/>
          <w:highlight w:val="none"/>
          <w:u w:val="single"/>
          <w14:textFill>
            <w14:solidFill>
              <w14:schemeClr w14:val="tx1"/>
            </w14:solidFill>
          </w14:textFill>
        </w:rPr>
        <w:t xml:space="preserve">          </w:t>
      </w:r>
      <w:r>
        <w:rPr>
          <w:rFonts w:hint="eastAsia" w:ascii="宋体" w:hAnsi="Times New Roman" w:cs="宋体"/>
          <w:i w:val="0"/>
          <w:iCs w:val="0"/>
          <w:color w:val="000000" w:themeColor="text1"/>
          <w:sz w:val="21"/>
          <w:szCs w:val="21"/>
          <w:highlight w:val="none"/>
          <w:u w:val="single"/>
          <w:lang w:val="en-US" w:eastAsia="zh-CN"/>
          <w14:textFill>
            <w14:solidFill>
              <w14:schemeClr w14:val="tx1"/>
            </w14:solidFill>
          </w14:textFill>
        </w:rPr>
        <w:t xml:space="preserve">              </w:t>
      </w:r>
      <w:r>
        <w:rPr>
          <w:rFonts w:ascii="宋体" w:hAnsi="Times New Roman" w:eastAsia="宋体" w:cs="宋体"/>
          <w:i w:val="0"/>
          <w:iCs w:val="0"/>
          <w:color w:val="000000" w:themeColor="text1"/>
          <w:sz w:val="21"/>
          <w:szCs w:val="21"/>
          <w:highlight w:val="none"/>
          <w:u w:val="single"/>
          <w14:textFill>
            <w14:solidFill>
              <w14:schemeClr w14:val="tx1"/>
            </w14:solidFill>
          </w14:textFill>
        </w:rPr>
        <w:t xml:space="preserve">          </w:t>
      </w:r>
      <w:r>
        <w:rPr>
          <w:rFonts w:hint="eastAsia" w:ascii="宋体" w:hAnsi="Times New Roman" w:eastAsia="宋体" w:cs="宋体"/>
          <w:i w:val="0"/>
          <w:iCs w:val="0"/>
          <w:color w:val="000000" w:themeColor="text1"/>
          <w:spacing w:val="14"/>
          <w:sz w:val="21"/>
          <w:szCs w:val="21"/>
          <w:highlight w:val="none"/>
          <w14:textFill>
            <w14:solidFill>
              <w14:schemeClr w14:val="tx1"/>
            </w14:solidFill>
          </w14:textFill>
        </w:rPr>
        <w:t>（盖投标人单位公章）</w:t>
      </w:r>
      <w:r>
        <w:rPr>
          <w:rFonts w:ascii="宋体" w:hAnsi="Times New Roman" w:eastAsia="宋体" w:cs="宋体"/>
          <w:i w:val="0"/>
          <w:iCs w:val="0"/>
          <w:color w:val="000000" w:themeColor="text1"/>
          <w:sz w:val="21"/>
          <w:szCs w:val="21"/>
          <w:highlight w:val="none"/>
          <w14:textFill>
            <w14:solidFill>
              <w14:schemeClr w14:val="tx1"/>
            </w14:solidFill>
          </w14:textFill>
        </w:rPr>
        <w:t xml:space="preserve"> </w:t>
      </w:r>
    </w:p>
    <w:p w14:paraId="33612936">
      <w:pPr>
        <w:autoSpaceDE w:val="0"/>
        <w:autoSpaceDN w:val="0"/>
        <w:snapToGrid w:val="0"/>
        <w:spacing w:line="360" w:lineRule="auto"/>
        <w:rPr>
          <w:rFonts w:ascii="宋体" w:hAnsi="Times New Roman" w:eastAsia="宋体" w:cs="宋体"/>
          <w:i w:val="0"/>
          <w:iCs w:val="0"/>
          <w:color w:val="000000" w:themeColor="text1"/>
          <w:spacing w:val="11"/>
          <w:sz w:val="21"/>
          <w:szCs w:val="21"/>
          <w:highlight w:val="none"/>
          <w14:textFill>
            <w14:solidFill>
              <w14:schemeClr w14:val="tx1"/>
            </w14:solidFill>
          </w14:textFill>
        </w:rPr>
      </w:pPr>
      <w:r>
        <w:rPr>
          <w:rFonts w:ascii="宋体" w:hAnsi="Times New Roman" w:eastAsia="宋体" w:cs="宋体"/>
          <w:i w:val="0"/>
          <w:iCs w:val="0"/>
          <w:color w:val="000000" w:themeColor="text1"/>
          <w:sz w:val="21"/>
          <w:szCs w:val="21"/>
          <w:highlight w:val="none"/>
          <w14:textFill>
            <w14:solidFill>
              <w14:schemeClr w14:val="tx1"/>
            </w14:solidFill>
          </w14:textFill>
        </w:rPr>
        <w:t xml:space="preserve">      </w:t>
      </w:r>
      <w:r>
        <w:rPr>
          <w:rFonts w:hint="eastAsia" w:ascii="宋体" w:hAnsi="Times New Roman" w:cs="宋体"/>
          <w:i w:val="0"/>
          <w:iCs w:val="0"/>
          <w:color w:val="000000" w:themeColor="text1"/>
          <w:sz w:val="21"/>
          <w:szCs w:val="21"/>
          <w:highlight w:val="none"/>
          <w:lang w:val="en-US" w:eastAsia="zh-CN"/>
          <w14:textFill>
            <w14:solidFill>
              <w14:schemeClr w14:val="tx1"/>
            </w14:solidFill>
          </w14:textFill>
        </w:rPr>
        <w:t xml:space="preserve">            </w:t>
      </w:r>
      <w:r>
        <w:rPr>
          <w:rFonts w:hint="eastAsia" w:ascii="宋体" w:hAnsi="Times New Roman" w:eastAsia="宋体" w:cs="宋体"/>
          <w:i w:val="0"/>
          <w:iCs w:val="0"/>
          <w:color w:val="000000" w:themeColor="text1"/>
          <w:spacing w:val="11"/>
          <w:sz w:val="21"/>
          <w:szCs w:val="21"/>
          <w:highlight w:val="none"/>
          <w14:textFill>
            <w14:solidFill>
              <w14:schemeClr w14:val="tx1"/>
            </w14:solidFill>
          </w14:textFill>
        </w:rPr>
        <w:t>法定代表人：</w:t>
      </w:r>
      <w:r>
        <w:rPr>
          <w:rFonts w:ascii="宋体" w:hAnsi="Times New Roman" w:eastAsia="宋体" w:cs="宋体"/>
          <w:i w:val="0"/>
          <w:iCs w:val="0"/>
          <w:color w:val="000000" w:themeColor="text1"/>
          <w:spacing w:val="11"/>
          <w:sz w:val="21"/>
          <w:szCs w:val="21"/>
          <w:highlight w:val="none"/>
          <w:u w:val="single"/>
          <w14:textFill>
            <w14:solidFill>
              <w14:schemeClr w14:val="tx1"/>
            </w14:solidFill>
          </w14:textFill>
        </w:rPr>
        <w:t xml:space="preserve">      </w:t>
      </w:r>
      <w:r>
        <w:rPr>
          <w:rFonts w:hint="eastAsia" w:ascii="宋体" w:hAnsi="Times New Roman" w:eastAsia="宋体" w:cs="宋体"/>
          <w:i w:val="0"/>
          <w:iCs w:val="0"/>
          <w:color w:val="000000" w:themeColor="text1"/>
          <w:spacing w:val="11"/>
          <w:sz w:val="21"/>
          <w:szCs w:val="21"/>
          <w:highlight w:val="none"/>
          <w14:textFill>
            <w14:solidFill>
              <w14:schemeClr w14:val="tx1"/>
            </w14:solidFill>
          </w14:textFill>
        </w:rPr>
        <w:t>（签字或盖章）或授权委托人：</w:t>
      </w:r>
      <w:r>
        <w:rPr>
          <w:rFonts w:ascii="宋体" w:hAnsi="Times New Roman" w:eastAsia="宋体" w:cs="宋体"/>
          <w:i w:val="0"/>
          <w:iCs w:val="0"/>
          <w:color w:val="000000" w:themeColor="text1"/>
          <w:spacing w:val="11"/>
          <w:sz w:val="21"/>
          <w:szCs w:val="21"/>
          <w:highlight w:val="none"/>
          <w:u w:val="single"/>
          <w14:textFill>
            <w14:solidFill>
              <w14:schemeClr w14:val="tx1"/>
            </w14:solidFill>
          </w14:textFill>
        </w:rPr>
        <w:t xml:space="preserve">    </w:t>
      </w:r>
      <w:r>
        <w:rPr>
          <w:rFonts w:hint="eastAsia" w:ascii="宋体" w:hAnsi="Times New Roman" w:eastAsia="宋体" w:cs="宋体"/>
          <w:i w:val="0"/>
          <w:iCs w:val="0"/>
          <w:color w:val="000000" w:themeColor="text1"/>
          <w:spacing w:val="11"/>
          <w:sz w:val="21"/>
          <w:szCs w:val="21"/>
          <w:highlight w:val="none"/>
          <w14:textFill>
            <w14:solidFill>
              <w14:schemeClr w14:val="tx1"/>
            </w14:solidFill>
          </w14:textFill>
        </w:rPr>
        <w:t>（签字）</w:t>
      </w:r>
    </w:p>
    <w:p w14:paraId="552BB675">
      <w:pPr>
        <w:autoSpaceDE w:val="0"/>
        <w:autoSpaceDN w:val="0"/>
        <w:snapToGrid w:val="0"/>
        <w:spacing w:after="100" w:afterAutospacing="1" w:line="360" w:lineRule="auto"/>
        <w:rPr>
          <w:rFonts w:ascii="宋体" w:hAnsi="Times New Roman" w:eastAsia="宋体" w:cs="宋体"/>
          <w:i w:val="0"/>
          <w:iCs w:val="0"/>
          <w:color w:val="000000" w:themeColor="text1"/>
          <w:sz w:val="21"/>
          <w:szCs w:val="21"/>
          <w:highlight w:val="none"/>
          <w14:textFill>
            <w14:solidFill>
              <w14:schemeClr w14:val="tx1"/>
            </w14:solidFill>
          </w14:textFill>
        </w:rPr>
      </w:pPr>
      <w:r>
        <w:rPr>
          <w:rFonts w:hint="eastAsia" w:ascii="宋体" w:hAnsi="Times New Roman" w:eastAsia="宋体" w:cs="宋体"/>
          <w:i w:val="0"/>
          <w:iCs w:val="0"/>
          <w:color w:val="000000" w:themeColor="text1"/>
          <w:sz w:val="21"/>
          <w:szCs w:val="21"/>
          <w:highlight w:val="none"/>
          <w14:textFill>
            <w14:solidFill>
              <w14:schemeClr w14:val="tx1"/>
            </w14:solidFill>
          </w14:textFill>
        </w:rPr>
        <w:t xml:space="preserve">      </w:t>
      </w:r>
      <w:r>
        <w:rPr>
          <w:rFonts w:hint="eastAsia" w:ascii="宋体" w:hAnsi="Times New Roman" w:cs="宋体"/>
          <w:i w:val="0"/>
          <w:iCs w:val="0"/>
          <w:color w:val="000000" w:themeColor="text1"/>
          <w:sz w:val="21"/>
          <w:szCs w:val="21"/>
          <w:highlight w:val="none"/>
          <w:lang w:val="en-US" w:eastAsia="zh-CN"/>
          <w14:textFill>
            <w14:solidFill>
              <w14:schemeClr w14:val="tx1"/>
            </w14:solidFill>
          </w14:textFill>
        </w:rPr>
        <w:t xml:space="preserve">            </w:t>
      </w:r>
      <w:r>
        <w:rPr>
          <w:rFonts w:hint="eastAsia" w:ascii="宋体" w:hAnsi="Times New Roman" w:eastAsia="宋体" w:cs="宋体"/>
          <w:i w:val="0"/>
          <w:iCs w:val="0"/>
          <w:color w:val="000000" w:themeColor="text1"/>
          <w:sz w:val="21"/>
          <w:szCs w:val="21"/>
          <w:highlight w:val="none"/>
          <w14:textFill>
            <w14:solidFill>
              <w14:schemeClr w14:val="tx1"/>
            </w14:solidFill>
          </w14:textFill>
        </w:rPr>
        <w:t>日期：</w:t>
      </w:r>
      <w:r>
        <w:rPr>
          <w:rFonts w:ascii="宋体" w:hAnsi="Times New Roman" w:eastAsia="宋体" w:cs="宋体"/>
          <w:i w:val="0"/>
          <w:iCs w:val="0"/>
          <w:color w:val="000000" w:themeColor="text1"/>
          <w:sz w:val="21"/>
          <w:szCs w:val="21"/>
          <w:highlight w:val="none"/>
          <w:u w:val="single"/>
          <w14:textFill>
            <w14:solidFill>
              <w14:schemeClr w14:val="tx1"/>
            </w14:solidFill>
          </w14:textFill>
        </w:rPr>
        <w:t xml:space="preserve">            </w:t>
      </w:r>
      <w:r>
        <w:rPr>
          <w:rFonts w:hint="eastAsia" w:ascii="宋体" w:hAnsi="Times New Roman" w:eastAsia="宋体" w:cs="宋体"/>
          <w:i w:val="0"/>
          <w:iCs w:val="0"/>
          <w:color w:val="000000" w:themeColor="text1"/>
          <w:sz w:val="21"/>
          <w:szCs w:val="21"/>
          <w:highlight w:val="none"/>
          <w14:textFill>
            <w14:solidFill>
              <w14:schemeClr w14:val="tx1"/>
            </w14:solidFill>
          </w14:textFill>
        </w:rPr>
        <w:t>年</w:t>
      </w:r>
      <w:r>
        <w:rPr>
          <w:rFonts w:ascii="宋体" w:hAnsi="Times New Roman" w:eastAsia="宋体" w:cs="宋体"/>
          <w:i w:val="0"/>
          <w:iCs w:val="0"/>
          <w:color w:val="000000" w:themeColor="text1"/>
          <w:sz w:val="21"/>
          <w:szCs w:val="21"/>
          <w:highlight w:val="none"/>
          <w:u w:val="single"/>
          <w14:textFill>
            <w14:solidFill>
              <w14:schemeClr w14:val="tx1"/>
            </w14:solidFill>
          </w14:textFill>
        </w:rPr>
        <w:t xml:space="preserve">             </w:t>
      </w:r>
      <w:r>
        <w:rPr>
          <w:rFonts w:hint="eastAsia" w:ascii="宋体" w:hAnsi="Times New Roman" w:eastAsia="宋体" w:cs="宋体"/>
          <w:i w:val="0"/>
          <w:iCs w:val="0"/>
          <w:color w:val="000000" w:themeColor="text1"/>
          <w:sz w:val="21"/>
          <w:szCs w:val="21"/>
          <w:highlight w:val="none"/>
          <w14:textFill>
            <w14:solidFill>
              <w14:schemeClr w14:val="tx1"/>
            </w14:solidFill>
          </w14:textFill>
        </w:rPr>
        <w:t>月</w:t>
      </w:r>
      <w:r>
        <w:rPr>
          <w:rFonts w:ascii="宋体" w:hAnsi="Times New Roman" w:eastAsia="宋体" w:cs="宋体"/>
          <w:i w:val="0"/>
          <w:iCs w:val="0"/>
          <w:color w:val="000000" w:themeColor="text1"/>
          <w:sz w:val="21"/>
          <w:szCs w:val="21"/>
          <w:highlight w:val="none"/>
          <w:u w:val="single"/>
          <w14:textFill>
            <w14:solidFill>
              <w14:schemeClr w14:val="tx1"/>
            </w14:solidFill>
          </w14:textFill>
        </w:rPr>
        <w:t xml:space="preserve">           </w:t>
      </w:r>
      <w:r>
        <w:rPr>
          <w:rFonts w:hint="eastAsia" w:ascii="宋体" w:hAnsi="Times New Roman" w:eastAsia="宋体" w:cs="宋体"/>
          <w:i w:val="0"/>
          <w:iCs w:val="0"/>
          <w:color w:val="000000" w:themeColor="text1"/>
          <w:sz w:val="21"/>
          <w:szCs w:val="21"/>
          <w:highlight w:val="none"/>
          <w14:textFill>
            <w14:solidFill>
              <w14:schemeClr w14:val="tx1"/>
            </w14:solidFill>
          </w14:textFill>
        </w:rPr>
        <w:t>日</w:t>
      </w:r>
    </w:p>
    <w:p w14:paraId="3AA095C2">
      <w:pPr>
        <w:spacing w:line="360" w:lineRule="auto"/>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br w:type="page"/>
      </w:r>
    </w:p>
    <w:p w14:paraId="73ABCFC4">
      <w:pPr>
        <w:spacing w:line="360" w:lineRule="auto"/>
        <w:jc w:val="left"/>
        <w:rPr>
          <w:rFonts w:hint="eastAsia" w:ascii="宋体" w:hAnsi="Calibri" w:eastAsia="宋体" w:cs="Times New Roman"/>
          <w:b/>
          <w:color w:val="000000" w:themeColor="text1"/>
          <w:sz w:val="21"/>
          <w:szCs w:val="21"/>
          <w:highlight w:val="none"/>
          <w:lang w:val="en-US" w:eastAsia="zh-CN"/>
          <w14:textFill>
            <w14:solidFill>
              <w14:schemeClr w14:val="tx1"/>
            </w14:solidFill>
          </w14:textFill>
        </w:rPr>
      </w:pPr>
      <w:r>
        <w:rPr>
          <w:rFonts w:hint="eastAsia" w:ascii="宋体" w:hAnsi="Calibri" w:eastAsia="宋体" w:cs="Times New Roman"/>
          <w:b/>
          <w:color w:val="000000" w:themeColor="text1"/>
          <w:sz w:val="21"/>
          <w:szCs w:val="21"/>
          <w:highlight w:val="none"/>
          <w:lang w:val="en-US" w:eastAsia="zh-CN"/>
          <w14:textFill>
            <w14:solidFill>
              <w14:schemeClr w14:val="tx1"/>
            </w14:solidFill>
          </w14:textFill>
        </w:rPr>
        <w:t>2.采用分项收费方式</w:t>
      </w:r>
    </w:p>
    <w:p w14:paraId="5413361B">
      <w:pPr>
        <w:widowControl w:val="0"/>
        <w:tabs>
          <w:tab w:val="left" w:pos="1000"/>
        </w:tabs>
        <w:adjustRightInd w:val="0"/>
        <w:spacing w:line="360" w:lineRule="auto"/>
        <w:jc w:val="both"/>
        <w:textAlignment w:val="baseline"/>
        <w:rPr>
          <w:rFonts w:hint="eastAsia" w:ascii="宋体" w:hAnsi="Calibri" w:eastAsia="宋体" w:cs="宋体"/>
          <w:b/>
          <w:bCs w:val="0"/>
          <w:color w:val="000000" w:themeColor="text1"/>
          <w:kern w:val="2"/>
          <w:sz w:val="32"/>
          <w:szCs w:val="32"/>
          <w:highlight w:val="none"/>
          <w:u w:val="none"/>
          <w:lang w:val="en-US" w:eastAsia="zh-CN" w:bidi="ar-SA"/>
          <w14:textFill>
            <w14:solidFill>
              <w14:schemeClr w14:val="tx1"/>
            </w14:solidFill>
          </w14:textFill>
        </w:rPr>
      </w:pPr>
    </w:p>
    <w:p w14:paraId="2ECF8FA6">
      <w:pPr>
        <w:widowControl w:val="0"/>
        <w:tabs>
          <w:tab w:val="left" w:pos="1000"/>
        </w:tabs>
        <w:adjustRightInd w:val="0"/>
        <w:spacing w:line="360" w:lineRule="auto"/>
        <w:ind w:firstLine="640" w:firstLineChars="200"/>
        <w:jc w:val="center"/>
        <w:textAlignment w:val="baseline"/>
        <w:rPr>
          <w:rFonts w:hint="default" w:ascii="宋体" w:hAnsi="Calibri" w:eastAsia="宋体" w:cs="宋体"/>
          <w:b/>
          <w:bCs w:val="0"/>
          <w:color w:val="000000" w:themeColor="text1"/>
          <w:kern w:val="2"/>
          <w:sz w:val="32"/>
          <w:szCs w:val="32"/>
          <w:highlight w:val="none"/>
          <w:u w:val="none"/>
          <w:lang w:val="en-US" w:eastAsia="zh-CN" w:bidi="ar-SA"/>
          <w14:textFill>
            <w14:solidFill>
              <w14:schemeClr w14:val="tx1"/>
            </w14:solidFill>
          </w14:textFill>
        </w:rPr>
      </w:pPr>
      <w:r>
        <w:rPr>
          <w:rFonts w:hint="eastAsia" w:ascii="宋体" w:cs="宋体"/>
          <w:b/>
          <w:bCs w:val="0"/>
          <w:color w:val="000000" w:themeColor="text1"/>
          <w:kern w:val="2"/>
          <w:sz w:val="32"/>
          <w:szCs w:val="32"/>
          <w:highlight w:val="none"/>
          <w:u w:val="none"/>
          <w:lang w:val="en-US" w:eastAsia="zh-CN" w:bidi="ar-SA"/>
          <w14:textFill>
            <w14:solidFill>
              <w14:schemeClr w14:val="tx1"/>
            </w14:solidFill>
          </w14:textFill>
        </w:rPr>
        <w:t>投标报价表</w:t>
      </w:r>
      <w:r>
        <w:rPr>
          <w:rStyle w:val="49"/>
          <w:rFonts w:hint="eastAsia" w:ascii="宋体" w:cs="宋体"/>
          <w:b/>
          <w:bCs w:val="0"/>
          <w:color w:val="000000" w:themeColor="text1"/>
          <w:kern w:val="2"/>
          <w:sz w:val="32"/>
          <w:szCs w:val="32"/>
          <w:highlight w:val="none"/>
          <w:u w:val="none"/>
          <w:lang w:val="en-US" w:eastAsia="zh-CN" w:bidi="ar-SA"/>
          <w14:textFill>
            <w14:solidFill>
              <w14:schemeClr w14:val="tx1"/>
            </w14:solidFill>
          </w14:textFill>
        </w:rPr>
        <w:footnoteReference w:id="110"/>
      </w:r>
    </w:p>
    <w:p w14:paraId="20290631">
      <w:pPr>
        <w:widowControl w:val="0"/>
        <w:tabs>
          <w:tab w:val="left" w:pos="1000"/>
        </w:tabs>
        <w:adjustRightInd w:val="0"/>
        <w:spacing w:line="360" w:lineRule="auto"/>
        <w:ind w:firstLine="640" w:firstLineChars="200"/>
        <w:jc w:val="both"/>
        <w:textAlignment w:val="baseline"/>
        <w:rPr>
          <w:rFonts w:hint="eastAsia" w:ascii="宋体" w:cs="宋体"/>
          <w:b/>
          <w:bCs w:val="0"/>
          <w:color w:val="000000" w:themeColor="text1"/>
          <w:kern w:val="2"/>
          <w:sz w:val="32"/>
          <w:szCs w:val="32"/>
          <w:highlight w:val="none"/>
          <w:u w:val="none"/>
          <w:lang w:val="en-US" w:eastAsia="zh-CN" w:bidi="ar-SA"/>
          <w14:textFill>
            <w14:solidFill>
              <w14:schemeClr w14:val="tx1"/>
            </w14:solidFill>
          </w14:textFill>
        </w:rPr>
      </w:pPr>
    </w:p>
    <w:p w14:paraId="28F78224">
      <w:pPr>
        <w:widowControl w:val="0"/>
        <w:tabs>
          <w:tab w:val="left" w:pos="1000"/>
        </w:tabs>
        <w:adjustRightInd w:val="0"/>
        <w:spacing w:line="360" w:lineRule="auto"/>
        <w:ind w:firstLine="560" w:firstLineChars="200"/>
        <w:jc w:val="both"/>
        <w:textAlignment w:val="baseline"/>
        <w:rPr>
          <w:rFonts w:hint="eastAsia" w:ascii="宋体" w:hAnsi="Calibri" w:eastAsia="宋体" w:cs="宋体"/>
          <w:b/>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cs="宋体"/>
          <w:b/>
          <w:bCs w:val="0"/>
          <w:color w:val="000000" w:themeColor="text1"/>
          <w:kern w:val="2"/>
          <w:sz w:val="28"/>
          <w:szCs w:val="28"/>
          <w:highlight w:val="none"/>
          <w:u w:val="none"/>
          <w:lang w:val="en-US" w:eastAsia="zh-CN" w:bidi="ar-SA"/>
          <w14:textFill>
            <w14:solidFill>
              <w14:schemeClr w14:val="tx1"/>
            </w14:solidFill>
          </w14:textFill>
        </w:rPr>
        <w:t>（1）</w:t>
      </w:r>
      <w:r>
        <w:rPr>
          <w:rFonts w:hint="eastAsia" w:ascii="宋体" w:hAnsi="Calibri" w:eastAsia="宋体" w:cs="宋体"/>
          <w:b/>
          <w:bCs w:val="0"/>
          <w:color w:val="000000" w:themeColor="text1"/>
          <w:kern w:val="2"/>
          <w:sz w:val="28"/>
          <w:szCs w:val="28"/>
          <w:highlight w:val="none"/>
          <w:u w:val="none"/>
          <w:lang w:val="en-US" w:eastAsia="zh-CN" w:bidi="ar-SA"/>
          <w14:textFill>
            <w14:solidFill>
              <w14:schemeClr w14:val="tx1"/>
            </w14:solidFill>
          </w14:textFill>
        </w:rPr>
        <w:t>《设计费分项表》</w:t>
      </w:r>
    </w:p>
    <w:p w14:paraId="34EFD56F">
      <w:pPr>
        <w:widowControl w:val="0"/>
        <w:tabs>
          <w:tab w:val="left" w:pos="1000"/>
        </w:tabs>
        <w:adjustRightInd w:val="0"/>
        <w:spacing w:line="360" w:lineRule="auto"/>
        <w:ind w:firstLine="560" w:firstLineChars="200"/>
        <w:jc w:val="both"/>
        <w:textAlignment w:val="baseline"/>
        <w:rPr>
          <w:rFonts w:hint="eastAsia" w:ascii="宋体" w:hAnsi="Calibri" w:eastAsia="宋体" w:cs="宋体"/>
          <w:b/>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cs="宋体"/>
          <w:b/>
          <w:bCs w:val="0"/>
          <w:color w:val="000000" w:themeColor="text1"/>
          <w:kern w:val="2"/>
          <w:sz w:val="28"/>
          <w:szCs w:val="28"/>
          <w:highlight w:val="none"/>
          <w:u w:val="none"/>
          <w:lang w:val="en-US" w:eastAsia="zh-CN" w:bidi="ar-SA"/>
          <w14:textFill>
            <w14:solidFill>
              <w14:schemeClr w14:val="tx1"/>
            </w14:solidFill>
          </w14:textFill>
        </w:rPr>
        <w:t>（2）</w:t>
      </w:r>
      <w:r>
        <w:rPr>
          <w:rFonts w:hint="eastAsia" w:ascii="宋体" w:hAnsi="Calibri" w:eastAsia="宋体" w:cs="宋体"/>
          <w:b/>
          <w:bCs w:val="0"/>
          <w:color w:val="000000" w:themeColor="text1"/>
          <w:kern w:val="2"/>
          <w:sz w:val="28"/>
          <w:szCs w:val="28"/>
          <w:highlight w:val="none"/>
          <w:u w:val="none"/>
          <w:lang w:val="en-US" w:eastAsia="zh-CN" w:bidi="ar-SA"/>
          <w14:textFill>
            <w14:solidFill>
              <w14:schemeClr w14:val="tx1"/>
            </w14:solidFill>
          </w14:textFill>
        </w:rPr>
        <w:t>《BIM技术应用费分项表》</w:t>
      </w:r>
    </w:p>
    <w:p w14:paraId="583EC0F7">
      <w:pPr>
        <w:widowControl w:val="0"/>
        <w:tabs>
          <w:tab w:val="left" w:pos="1000"/>
        </w:tabs>
        <w:adjustRightInd w:val="0"/>
        <w:spacing w:line="360" w:lineRule="auto"/>
        <w:ind w:firstLine="560" w:firstLineChars="200"/>
        <w:jc w:val="both"/>
        <w:textAlignment w:val="baseline"/>
        <w:rPr>
          <w:rFonts w:hint="eastAsia" w:ascii="宋体" w:hAnsi="Calibri" w:eastAsia="宋体" w:cs="宋体"/>
          <w:b/>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cs="宋体"/>
          <w:b/>
          <w:bCs w:val="0"/>
          <w:color w:val="000000" w:themeColor="text1"/>
          <w:kern w:val="2"/>
          <w:sz w:val="28"/>
          <w:szCs w:val="28"/>
          <w:highlight w:val="none"/>
          <w:u w:val="none"/>
          <w:lang w:val="en-US" w:eastAsia="zh-CN" w:bidi="ar-SA"/>
          <w14:textFill>
            <w14:solidFill>
              <w14:schemeClr w14:val="tx1"/>
            </w14:solidFill>
          </w14:textFill>
        </w:rPr>
        <w:t>（3）</w:t>
      </w:r>
      <w:r>
        <w:rPr>
          <w:rFonts w:hint="eastAsia" w:ascii="宋体" w:hAnsi="Calibri" w:eastAsia="宋体" w:cs="宋体"/>
          <w:b/>
          <w:bCs w:val="0"/>
          <w:color w:val="000000" w:themeColor="text1"/>
          <w:kern w:val="2"/>
          <w:sz w:val="28"/>
          <w:szCs w:val="28"/>
          <w:highlight w:val="none"/>
          <w:u w:val="none"/>
          <w:lang w:val="en-US" w:eastAsia="zh-CN" w:bidi="ar-SA"/>
          <w14:textFill>
            <w14:solidFill>
              <w14:schemeClr w14:val="tx1"/>
            </w14:solidFill>
          </w14:textFill>
        </w:rPr>
        <w:t>《绿色建筑设计收费分项表》</w:t>
      </w:r>
    </w:p>
    <w:p w14:paraId="278BCD01">
      <w:pPr>
        <w:widowControl w:val="0"/>
        <w:tabs>
          <w:tab w:val="left" w:pos="1000"/>
        </w:tabs>
        <w:adjustRightInd w:val="0"/>
        <w:spacing w:line="360" w:lineRule="auto"/>
        <w:ind w:firstLine="560" w:firstLineChars="200"/>
        <w:jc w:val="both"/>
        <w:textAlignment w:val="baseline"/>
        <w:rPr>
          <w:rFonts w:hint="eastAsia" w:ascii="宋体" w:hAnsi="Times New Roman" w:eastAsia="宋体" w:cs="宋体"/>
          <w:b/>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Times New Roman" w:cs="宋体"/>
          <w:b/>
          <w:bCs w:val="0"/>
          <w:color w:val="000000" w:themeColor="text1"/>
          <w:kern w:val="2"/>
          <w:sz w:val="28"/>
          <w:szCs w:val="28"/>
          <w:highlight w:val="none"/>
          <w:u w:val="none"/>
          <w:lang w:val="en-US" w:eastAsia="zh-CN" w:bidi="ar-SA"/>
          <w14:textFill>
            <w14:solidFill>
              <w14:schemeClr w14:val="tx1"/>
            </w14:solidFill>
          </w14:textFill>
        </w:rPr>
        <w:t>（4）</w:t>
      </w:r>
      <w:r>
        <w:rPr>
          <w:rFonts w:hint="eastAsia" w:ascii="宋体" w:hAnsi="Times New Roman" w:eastAsia="宋体" w:cs="宋体"/>
          <w:b/>
          <w:bCs w:val="0"/>
          <w:color w:val="000000" w:themeColor="text1"/>
          <w:kern w:val="2"/>
          <w:sz w:val="28"/>
          <w:szCs w:val="28"/>
          <w:highlight w:val="none"/>
          <w:u w:val="none"/>
          <w:lang w:val="en-US" w:eastAsia="zh-CN" w:bidi="ar-SA"/>
          <w14:textFill>
            <w14:solidFill>
              <w14:schemeClr w14:val="tx1"/>
            </w14:solidFill>
          </w14:textFill>
        </w:rPr>
        <w:t>《工程勘察分项表》</w:t>
      </w:r>
      <w:r>
        <w:rPr>
          <w:rFonts w:hint="eastAsia" w:ascii="宋体" w:hAnsi="Times New Roman" w:cs="宋体"/>
          <w:b/>
          <w:bCs w:val="0"/>
          <w:color w:val="000000" w:themeColor="text1"/>
          <w:kern w:val="2"/>
          <w:sz w:val="28"/>
          <w:szCs w:val="28"/>
          <w:highlight w:val="none"/>
          <w:u w:val="none"/>
          <w:lang w:val="en-US" w:eastAsia="zh-CN" w:bidi="ar-SA"/>
          <w14:textFill>
            <w14:solidFill>
              <w14:schemeClr w14:val="tx1"/>
            </w14:solidFill>
          </w14:textFill>
        </w:rPr>
        <w:t>（如有）</w:t>
      </w:r>
    </w:p>
    <w:p w14:paraId="01C6E478">
      <w:pPr>
        <w:widowControl w:val="0"/>
        <w:tabs>
          <w:tab w:val="left" w:pos="1000"/>
        </w:tabs>
        <w:adjustRightInd w:val="0"/>
        <w:spacing w:line="360" w:lineRule="auto"/>
        <w:ind w:firstLine="640" w:firstLineChars="200"/>
        <w:jc w:val="center"/>
        <w:textAlignment w:val="baseline"/>
        <w:rPr>
          <w:rFonts w:hint="eastAsia" w:ascii="宋体" w:hAnsi="Times New Roman" w:eastAsia="宋体" w:cs="宋体"/>
          <w:b/>
          <w:bCs w:val="0"/>
          <w:color w:val="000000" w:themeColor="text1"/>
          <w:kern w:val="2"/>
          <w:sz w:val="32"/>
          <w:szCs w:val="32"/>
          <w:highlight w:val="none"/>
          <w:u w:val="none"/>
          <w:lang w:val="en-US" w:eastAsia="zh-CN" w:bidi="ar-SA"/>
          <w14:textFill>
            <w14:solidFill>
              <w14:schemeClr w14:val="tx1"/>
            </w14:solidFill>
          </w14:textFill>
        </w:rPr>
      </w:pPr>
    </w:p>
    <w:p w14:paraId="75C63D1D">
      <w:pPr>
        <w:widowControl w:val="0"/>
        <w:tabs>
          <w:tab w:val="left" w:pos="1000"/>
        </w:tabs>
        <w:adjustRightInd w:val="0"/>
        <w:spacing w:line="360" w:lineRule="auto"/>
        <w:ind w:firstLine="640" w:firstLineChars="200"/>
        <w:jc w:val="center"/>
        <w:textAlignment w:val="baseline"/>
        <w:rPr>
          <w:rFonts w:hint="eastAsia" w:ascii="宋体" w:hAnsi="Times New Roman"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Times New Roman" w:eastAsia="宋体" w:cs="宋体"/>
          <w:b/>
          <w:color w:val="000000" w:themeColor="text1"/>
          <w:kern w:val="2"/>
          <w:sz w:val="32"/>
          <w:szCs w:val="32"/>
          <w:highlight w:val="none"/>
          <w:lang w:val="en-US" w:eastAsia="zh-CN" w:bidi="ar-SA"/>
          <w14:textFill>
            <w14:solidFill>
              <w14:schemeClr w14:val="tx1"/>
            </w14:solidFill>
          </w14:textFill>
        </w:rPr>
        <w:t>（格式由招标人自拟）</w:t>
      </w:r>
    </w:p>
    <w:p w14:paraId="5FF892D3">
      <w:pPr>
        <w:widowControl w:val="0"/>
        <w:tabs>
          <w:tab w:val="left" w:pos="1000"/>
        </w:tabs>
        <w:adjustRightInd w:val="0"/>
        <w:spacing w:line="360" w:lineRule="auto"/>
        <w:ind w:firstLine="640" w:firstLineChars="200"/>
        <w:jc w:val="center"/>
        <w:textAlignment w:val="baseline"/>
        <w:rPr>
          <w:rFonts w:hint="eastAsia" w:ascii="宋体" w:hAnsi="Times New Roman" w:eastAsia="宋体" w:cs="宋体"/>
          <w:b/>
          <w:color w:val="000000" w:themeColor="text1"/>
          <w:kern w:val="2"/>
          <w:sz w:val="32"/>
          <w:szCs w:val="32"/>
          <w:highlight w:val="none"/>
          <w:lang w:val="en-US" w:eastAsia="zh-CN" w:bidi="ar-SA"/>
          <w14:textFill>
            <w14:solidFill>
              <w14:schemeClr w14:val="tx1"/>
            </w14:solidFill>
          </w14:textFill>
        </w:rPr>
      </w:pPr>
    </w:p>
    <w:p w14:paraId="50A89E48">
      <w:pPr>
        <w:widowControl w:val="0"/>
        <w:tabs>
          <w:tab w:val="left" w:pos="1000"/>
        </w:tabs>
        <w:adjustRightInd w:val="0"/>
        <w:spacing w:line="360" w:lineRule="auto"/>
        <w:ind w:firstLine="640" w:firstLineChars="200"/>
        <w:jc w:val="center"/>
        <w:textAlignment w:val="baseline"/>
        <w:rPr>
          <w:rFonts w:hint="eastAsia" w:ascii="宋体" w:hAnsi="Times New Roman" w:eastAsia="宋体" w:cs="宋体"/>
          <w:b/>
          <w:color w:val="000000" w:themeColor="text1"/>
          <w:kern w:val="2"/>
          <w:sz w:val="32"/>
          <w:szCs w:val="32"/>
          <w:highlight w:val="none"/>
          <w:lang w:val="en-US" w:eastAsia="zh-CN" w:bidi="ar-SA"/>
          <w14:textFill>
            <w14:solidFill>
              <w14:schemeClr w14:val="tx1"/>
            </w14:solidFill>
          </w14:textFill>
        </w:rPr>
      </w:pPr>
    </w:p>
    <w:p w14:paraId="4D572EEF">
      <w:pPr>
        <w:pStyle w:val="13"/>
        <w:tabs>
          <w:tab w:val="left" w:pos="510"/>
          <w:tab w:val="left" w:pos="1000"/>
        </w:tabs>
        <w:spacing w:line="360" w:lineRule="auto"/>
        <w:ind w:firstLine="0"/>
        <w:jc w:val="both"/>
        <w:rPr>
          <w:rFonts w:ascii="宋体" w:hAnsi="宋体" w:eastAsia="宋体" w:cs="宋体"/>
          <w:b/>
          <w:color w:val="000000" w:themeColor="text1"/>
          <w:sz w:val="28"/>
          <w:szCs w:val="28"/>
          <w:highlight w:val="none"/>
          <w14:textFill>
            <w14:solidFill>
              <w14:schemeClr w14:val="tx1"/>
            </w14:solidFill>
          </w14:textFill>
        </w:rPr>
      </w:pPr>
    </w:p>
    <w:p w14:paraId="4058C8C9">
      <w:pPr>
        <w:pStyle w:val="13"/>
        <w:tabs>
          <w:tab w:val="left" w:pos="510"/>
          <w:tab w:val="left" w:pos="1000"/>
        </w:tabs>
        <w:spacing w:line="360" w:lineRule="auto"/>
        <w:ind w:firstLine="0"/>
        <w:jc w:val="both"/>
        <w:rPr>
          <w:rFonts w:ascii="宋体" w:hAnsi="宋体" w:eastAsia="宋体" w:cs="宋体"/>
          <w:b/>
          <w:color w:val="000000" w:themeColor="text1"/>
          <w:sz w:val="28"/>
          <w:szCs w:val="28"/>
          <w:highlight w:val="none"/>
          <w14:textFill>
            <w14:solidFill>
              <w14:schemeClr w14:val="tx1"/>
            </w14:solidFill>
          </w14:textFill>
        </w:rPr>
      </w:pPr>
    </w:p>
    <w:p w14:paraId="6EE14A5F">
      <w:pPr>
        <w:pStyle w:val="13"/>
        <w:tabs>
          <w:tab w:val="left" w:pos="510"/>
          <w:tab w:val="left" w:pos="1000"/>
        </w:tabs>
        <w:spacing w:line="360" w:lineRule="auto"/>
        <w:ind w:firstLine="0"/>
        <w:jc w:val="both"/>
        <w:rPr>
          <w:rFonts w:ascii="宋体" w:hAnsi="宋体" w:eastAsia="宋体" w:cs="宋体"/>
          <w:b/>
          <w:color w:val="000000" w:themeColor="text1"/>
          <w:sz w:val="28"/>
          <w:szCs w:val="28"/>
          <w:highlight w:val="none"/>
          <w14:textFill>
            <w14:solidFill>
              <w14:schemeClr w14:val="tx1"/>
            </w14:solidFill>
          </w14:textFill>
        </w:rPr>
      </w:pPr>
    </w:p>
    <w:p w14:paraId="6623884A">
      <w:pPr>
        <w:pStyle w:val="13"/>
        <w:tabs>
          <w:tab w:val="left" w:pos="510"/>
          <w:tab w:val="left" w:pos="1000"/>
        </w:tabs>
        <w:spacing w:line="360" w:lineRule="auto"/>
        <w:ind w:firstLine="0"/>
        <w:jc w:val="center"/>
        <w:rPr>
          <w:rFonts w:ascii="宋体" w:hAnsi="宋体" w:eastAsia="宋体" w:cs="宋体"/>
          <w:b/>
          <w:color w:val="000000" w:themeColor="text1"/>
          <w:sz w:val="28"/>
          <w:szCs w:val="28"/>
          <w:highlight w:val="none"/>
          <w14:textFill>
            <w14:solidFill>
              <w14:schemeClr w14:val="tx1"/>
            </w14:solidFill>
          </w14:textFill>
        </w:rPr>
      </w:pPr>
    </w:p>
    <w:p w14:paraId="51A124C7">
      <w:pPr>
        <w:pStyle w:val="13"/>
        <w:tabs>
          <w:tab w:val="left" w:pos="510"/>
          <w:tab w:val="left" w:pos="1000"/>
        </w:tabs>
        <w:spacing w:line="360" w:lineRule="auto"/>
        <w:ind w:firstLine="0"/>
        <w:rPr>
          <w:rFonts w:hint="eastAsia" w:ascii="宋体" w:hAnsi="宋体" w:eastAsia="宋体"/>
          <w:color w:val="000000" w:themeColor="text1"/>
          <w:sz w:val="24"/>
          <w:szCs w:val="24"/>
          <w:highlight w:val="none"/>
          <w14:textFill>
            <w14:solidFill>
              <w14:schemeClr w14:val="tx1"/>
            </w14:solidFill>
          </w14:textFill>
        </w:rPr>
      </w:pPr>
    </w:p>
    <w:p w14:paraId="77DB9E0F">
      <w:pPr>
        <w:pStyle w:val="13"/>
        <w:tabs>
          <w:tab w:val="left" w:pos="510"/>
          <w:tab w:val="left" w:pos="1000"/>
        </w:tabs>
        <w:spacing w:line="360" w:lineRule="auto"/>
        <w:ind w:firstLine="0"/>
        <w:rPr>
          <w:rFonts w:hint="eastAsia" w:ascii="宋体" w:hAnsi="宋体" w:eastAsia="宋体"/>
          <w:color w:val="000000" w:themeColor="text1"/>
          <w:sz w:val="24"/>
          <w:szCs w:val="24"/>
          <w:highlight w:val="none"/>
          <w14:textFill>
            <w14:solidFill>
              <w14:schemeClr w14:val="tx1"/>
            </w14:solidFill>
          </w14:textFill>
        </w:rPr>
      </w:pPr>
    </w:p>
    <w:p w14:paraId="2B05519E">
      <w:pPr>
        <w:pStyle w:val="13"/>
        <w:tabs>
          <w:tab w:val="left" w:pos="510"/>
          <w:tab w:val="left" w:pos="1000"/>
        </w:tabs>
        <w:spacing w:line="360" w:lineRule="auto"/>
        <w:ind w:firstLine="0"/>
        <w:rPr>
          <w:rFonts w:hint="eastAsia" w:ascii="宋体" w:hAnsi="宋体" w:eastAsia="宋体"/>
          <w:color w:val="000000" w:themeColor="text1"/>
          <w:sz w:val="24"/>
          <w:szCs w:val="24"/>
          <w:highlight w:val="none"/>
          <w14:textFill>
            <w14:solidFill>
              <w14:schemeClr w14:val="tx1"/>
            </w14:solidFill>
          </w14:textFill>
        </w:rPr>
      </w:pPr>
    </w:p>
    <w:p w14:paraId="02F5738B">
      <w:pPr>
        <w:pStyle w:val="13"/>
        <w:tabs>
          <w:tab w:val="left" w:pos="510"/>
          <w:tab w:val="left" w:pos="1000"/>
        </w:tabs>
        <w:spacing w:line="360" w:lineRule="auto"/>
        <w:ind w:firstLine="0"/>
        <w:rPr>
          <w:rFonts w:hint="eastAsia" w:ascii="宋体" w:hAnsi="宋体" w:eastAsia="宋体"/>
          <w:color w:val="000000" w:themeColor="text1"/>
          <w:sz w:val="24"/>
          <w:szCs w:val="24"/>
          <w:highlight w:val="none"/>
          <w14:textFill>
            <w14:solidFill>
              <w14:schemeClr w14:val="tx1"/>
            </w14:solidFill>
          </w14:textFill>
        </w:rPr>
      </w:pPr>
    </w:p>
    <w:p w14:paraId="13AE2FE8">
      <w:pPr>
        <w:pStyle w:val="13"/>
        <w:tabs>
          <w:tab w:val="left" w:pos="510"/>
          <w:tab w:val="left" w:pos="1000"/>
        </w:tabs>
        <w:spacing w:line="360" w:lineRule="auto"/>
        <w:ind w:firstLine="0"/>
        <w:rPr>
          <w:rFonts w:hint="eastAsia" w:ascii="宋体" w:hAnsi="宋体" w:eastAsia="宋体"/>
          <w:color w:val="000000" w:themeColor="text1"/>
          <w:sz w:val="24"/>
          <w:szCs w:val="24"/>
          <w:highlight w:val="none"/>
          <w14:textFill>
            <w14:solidFill>
              <w14:schemeClr w14:val="tx1"/>
            </w14:solidFill>
          </w14:textFill>
        </w:rPr>
      </w:pPr>
    </w:p>
    <w:p w14:paraId="451E43D2">
      <w:pPr>
        <w:pStyle w:val="13"/>
        <w:tabs>
          <w:tab w:val="left" w:pos="510"/>
          <w:tab w:val="left" w:pos="1000"/>
        </w:tabs>
        <w:spacing w:line="360" w:lineRule="auto"/>
        <w:ind w:firstLine="0"/>
        <w:rPr>
          <w:rFonts w:hint="eastAsia" w:ascii="宋体" w:hAnsi="宋体" w:eastAsia="宋体"/>
          <w:color w:val="000000" w:themeColor="text1"/>
          <w:sz w:val="24"/>
          <w:szCs w:val="24"/>
          <w:highlight w:val="none"/>
          <w14:textFill>
            <w14:solidFill>
              <w14:schemeClr w14:val="tx1"/>
            </w14:solidFill>
          </w14:textFill>
        </w:rPr>
      </w:pPr>
    </w:p>
    <w:p w14:paraId="7D199705">
      <w:pPr>
        <w:pStyle w:val="13"/>
        <w:tabs>
          <w:tab w:val="left" w:pos="510"/>
          <w:tab w:val="left" w:pos="1000"/>
        </w:tabs>
        <w:spacing w:line="360" w:lineRule="auto"/>
        <w:ind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六、投标单位实力、以往业绩、获奖情况、信誉</w:t>
      </w:r>
    </w:p>
    <w:p w14:paraId="0B547763">
      <w:pPr>
        <w:pStyle w:val="13"/>
        <w:tabs>
          <w:tab w:val="left" w:pos="510"/>
          <w:tab w:val="left" w:pos="1000"/>
        </w:tabs>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说明：</w:t>
      </w:r>
    </w:p>
    <w:p w14:paraId="29FF0AB6">
      <w:pPr>
        <w:pStyle w:val="13"/>
        <w:tabs>
          <w:tab w:val="left" w:pos="510"/>
          <w:tab w:val="left" w:pos="1000"/>
        </w:tabs>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采用综合评估法评标的，投标人应根据综合评估法的评分标准要求提供能够恰当证明投标人可以得分的资料。</w:t>
      </w:r>
    </w:p>
    <w:p w14:paraId="12089C86">
      <w:pPr>
        <w:pStyle w:val="13"/>
        <w:tabs>
          <w:tab w:val="left" w:pos="510"/>
          <w:tab w:val="left" w:pos="1000"/>
        </w:tabs>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color w:val="000000" w:themeColor="text1"/>
          <w:szCs w:val="21"/>
          <w:highlight w:val="none"/>
          <w:lang w:val="en-US"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为了评标委员会能够准确评审，请投标人提交可以得分的相关证明资料并自估得分值。但实际得分以评标委员会的评分为准。</w:t>
      </w:r>
    </w:p>
    <w:p w14:paraId="72637DA0">
      <w:pPr>
        <w:pStyle w:val="13"/>
        <w:tabs>
          <w:tab w:val="left" w:pos="510"/>
          <w:tab w:val="left" w:pos="1000"/>
        </w:tabs>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w:t>
      </w:r>
      <w:r>
        <w:rPr>
          <w:rFonts w:hint="eastAsia" w:ascii="宋体" w:hAnsi="宋体" w:eastAsia="宋体"/>
          <w:color w:val="000000" w:themeColor="text1"/>
          <w:szCs w:val="21"/>
          <w:highlight w:val="none"/>
          <w:lang w:val="en-US"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采用“记名投票法”的，投标人不需要提交上述资料，也不需要填写估分表。</w:t>
      </w:r>
    </w:p>
    <w:p w14:paraId="6F18D74A">
      <w:pPr>
        <w:ind w:firstLine="480" w:firstLineChars="200"/>
        <w:jc w:val="center"/>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投标人自己估分表</w:t>
      </w:r>
    </w:p>
    <w:tbl>
      <w:tblPr>
        <w:tblStyle w:val="4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081"/>
        <w:gridCol w:w="4605"/>
        <w:gridCol w:w="1640"/>
      </w:tblGrid>
      <w:tr w14:paraId="07FD8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8" w:hRule="atLeast"/>
          <w:jc w:val="center"/>
        </w:trPr>
        <w:tc>
          <w:tcPr>
            <w:tcW w:w="2028" w:type="dxa"/>
            <w:tcBorders>
              <w:tl2br w:val="nil"/>
              <w:tr2bl w:val="nil"/>
            </w:tcBorders>
            <w:vAlign w:val="center"/>
          </w:tcPr>
          <w:p w14:paraId="29EF01AF">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评审内容</w:t>
            </w:r>
          </w:p>
        </w:tc>
        <w:tc>
          <w:tcPr>
            <w:tcW w:w="1081" w:type="dxa"/>
            <w:tcBorders>
              <w:tl2br w:val="nil"/>
              <w:tr2bl w:val="nil"/>
            </w:tcBorders>
            <w:vAlign w:val="center"/>
          </w:tcPr>
          <w:p w14:paraId="1A6E4430">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分值（分）</w:t>
            </w:r>
          </w:p>
        </w:tc>
        <w:tc>
          <w:tcPr>
            <w:tcW w:w="4605" w:type="dxa"/>
            <w:tcBorders>
              <w:tl2br w:val="nil"/>
              <w:tr2bl w:val="nil"/>
            </w:tcBorders>
            <w:vAlign w:val="center"/>
          </w:tcPr>
          <w:p w14:paraId="4BEAE9DF">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得分理由和所提交证明得分资料</w:t>
            </w:r>
          </w:p>
        </w:tc>
        <w:tc>
          <w:tcPr>
            <w:tcW w:w="1640" w:type="dxa"/>
            <w:tcBorders>
              <w:tl2br w:val="nil"/>
              <w:tr2bl w:val="nil"/>
            </w:tcBorders>
            <w:vAlign w:val="center"/>
          </w:tcPr>
          <w:p w14:paraId="1C4E70CD">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自估得分（分）</w:t>
            </w:r>
          </w:p>
        </w:tc>
      </w:tr>
      <w:tr w14:paraId="74269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8" w:type="dxa"/>
            <w:tcBorders>
              <w:tl2br w:val="nil"/>
              <w:tr2bl w:val="nil"/>
            </w:tcBorders>
            <w:vAlign w:val="center"/>
          </w:tcPr>
          <w:p w14:paraId="2019A953">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技术实力</w:t>
            </w:r>
          </w:p>
        </w:tc>
        <w:tc>
          <w:tcPr>
            <w:tcW w:w="1081" w:type="dxa"/>
            <w:tcBorders>
              <w:tl2br w:val="nil"/>
              <w:tr2bl w:val="nil"/>
            </w:tcBorders>
            <w:vAlign w:val="center"/>
          </w:tcPr>
          <w:p w14:paraId="1A9AC2C4">
            <w:pPr>
              <w:spacing w:line="320" w:lineRule="exact"/>
              <w:jc w:val="center"/>
              <w:rPr>
                <w:rFonts w:ascii="宋体"/>
                <w:color w:val="000000" w:themeColor="text1"/>
                <w:sz w:val="21"/>
                <w:szCs w:val="21"/>
                <w:highlight w:val="none"/>
                <w14:textFill>
                  <w14:solidFill>
                    <w14:schemeClr w14:val="tx1"/>
                  </w14:solidFill>
                </w14:textFill>
              </w:rPr>
            </w:pPr>
          </w:p>
        </w:tc>
        <w:tc>
          <w:tcPr>
            <w:tcW w:w="4605" w:type="dxa"/>
            <w:tcBorders>
              <w:tl2br w:val="nil"/>
              <w:tr2bl w:val="nil"/>
            </w:tcBorders>
            <w:vAlign w:val="center"/>
          </w:tcPr>
          <w:p w14:paraId="2D69AACC">
            <w:pPr>
              <w:spacing w:line="320" w:lineRule="exact"/>
              <w:rPr>
                <w:rFonts w:ascii="宋体"/>
                <w:color w:val="000000" w:themeColor="text1"/>
                <w:sz w:val="21"/>
                <w:szCs w:val="21"/>
                <w:highlight w:val="none"/>
                <w14:textFill>
                  <w14:solidFill>
                    <w14:schemeClr w14:val="tx1"/>
                  </w14:solidFill>
                </w14:textFill>
              </w:rPr>
            </w:pPr>
          </w:p>
        </w:tc>
        <w:tc>
          <w:tcPr>
            <w:tcW w:w="1640" w:type="dxa"/>
            <w:tcBorders>
              <w:tl2br w:val="nil"/>
              <w:tr2bl w:val="nil"/>
            </w:tcBorders>
            <w:vAlign w:val="center"/>
          </w:tcPr>
          <w:p w14:paraId="5A7A9299">
            <w:pPr>
              <w:spacing w:line="320" w:lineRule="exact"/>
              <w:rPr>
                <w:rFonts w:ascii="宋体"/>
                <w:color w:val="000000" w:themeColor="text1"/>
                <w:sz w:val="21"/>
                <w:szCs w:val="21"/>
                <w:highlight w:val="none"/>
                <w14:textFill>
                  <w14:solidFill>
                    <w14:schemeClr w14:val="tx1"/>
                  </w14:solidFill>
                </w14:textFill>
              </w:rPr>
            </w:pPr>
          </w:p>
        </w:tc>
      </w:tr>
      <w:tr w14:paraId="3F5F8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28" w:type="dxa"/>
            <w:tcBorders>
              <w:tl2br w:val="nil"/>
              <w:tr2bl w:val="nil"/>
            </w:tcBorders>
            <w:vAlign w:val="center"/>
          </w:tcPr>
          <w:p w14:paraId="09F519E7">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以往业绩</w:t>
            </w:r>
          </w:p>
        </w:tc>
        <w:tc>
          <w:tcPr>
            <w:tcW w:w="1081" w:type="dxa"/>
            <w:tcBorders>
              <w:tl2br w:val="nil"/>
              <w:tr2bl w:val="nil"/>
            </w:tcBorders>
            <w:vAlign w:val="center"/>
          </w:tcPr>
          <w:p w14:paraId="0FFA3142">
            <w:pPr>
              <w:spacing w:line="320" w:lineRule="exact"/>
              <w:jc w:val="center"/>
              <w:rPr>
                <w:rFonts w:ascii="宋体"/>
                <w:color w:val="000000" w:themeColor="text1"/>
                <w:sz w:val="21"/>
                <w:szCs w:val="21"/>
                <w:highlight w:val="none"/>
                <w14:textFill>
                  <w14:solidFill>
                    <w14:schemeClr w14:val="tx1"/>
                  </w14:solidFill>
                </w14:textFill>
              </w:rPr>
            </w:pPr>
          </w:p>
        </w:tc>
        <w:tc>
          <w:tcPr>
            <w:tcW w:w="4605" w:type="dxa"/>
            <w:tcBorders>
              <w:tl2br w:val="nil"/>
              <w:tr2bl w:val="nil"/>
            </w:tcBorders>
            <w:vAlign w:val="center"/>
          </w:tcPr>
          <w:p w14:paraId="12659B03">
            <w:pPr>
              <w:spacing w:line="320" w:lineRule="exact"/>
              <w:rPr>
                <w:rFonts w:ascii="宋体"/>
                <w:color w:val="000000" w:themeColor="text1"/>
                <w:sz w:val="21"/>
                <w:szCs w:val="21"/>
                <w:highlight w:val="none"/>
                <w14:textFill>
                  <w14:solidFill>
                    <w14:schemeClr w14:val="tx1"/>
                  </w14:solidFill>
                </w14:textFill>
              </w:rPr>
            </w:pPr>
          </w:p>
        </w:tc>
        <w:tc>
          <w:tcPr>
            <w:tcW w:w="1640" w:type="dxa"/>
            <w:tcBorders>
              <w:tl2br w:val="nil"/>
              <w:tr2bl w:val="nil"/>
            </w:tcBorders>
            <w:vAlign w:val="center"/>
          </w:tcPr>
          <w:p w14:paraId="5E158759">
            <w:pPr>
              <w:spacing w:line="320" w:lineRule="exact"/>
              <w:rPr>
                <w:rFonts w:ascii="宋体"/>
                <w:color w:val="000000" w:themeColor="text1"/>
                <w:sz w:val="21"/>
                <w:szCs w:val="21"/>
                <w:highlight w:val="none"/>
                <w14:textFill>
                  <w14:solidFill>
                    <w14:schemeClr w14:val="tx1"/>
                  </w14:solidFill>
                </w14:textFill>
              </w:rPr>
            </w:pPr>
          </w:p>
        </w:tc>
      </w:tr>
    </w:tbl>
    <w:p w14:paraId="4CA4AE86">
      <w:pPr>
        <w:pStyle w:val="13"/>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14:paraId="01F313BE">
      <w:pPr>
        <w:pStyle w:val="13"/>
        <w:tabs>
          <w:tab w:val="left" w:pos="510"/>
          <w:tab w:val="left" w:pos="1000"/>
        </w:tabs>
        <w:spacing w:line="360" w:lineRule="auto"/>
        <w:ind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七、项目负责人、其他主要人员</w:t>
      </w:r>
    </w:p>
    <w:p w14:paraId="04EE4E5C">
      <w:pPr>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说明：同“六、投标单位实力、以往业绩、获奖情况、信誉”。</w:t>
      </w:r>
    </w:p>
    <w:p w14:paraId="6BEFF630">
      <w:pPr>
        <w:ind w:firstLine="480" w:firstLineChars="200"/>
        <w:jc w:val="center"/>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投标人自己估分表</w:t>
      </w:r>
    </w:p>
    <w:tbl>
      <w:tblPr>
        <w:tblStyle w:val="4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081"/>
        <w:gridCol w:w="4605"/>
        <w:gridCol w:w="1640"/>
      </w:tblGrid>
      <w:tr w14:paraId="511AB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28" w:type="dxa"/>
            <w:tcBorders>
              <w:tl2br w:val="nil"/>
              <w:tr2bl w:val="nil"/>
            </w:tcBorders>
            <w:vAlign w:val="center"/>
          </w:tcPr>
          <w:p w14:paraId="0E4C32D8">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评审内容</w:t>
            </w:r>
          </w:p>
        </w:tc>
        <w:tc>
          <w:tcPr>
            <w:tcW w:w="1081" w:type="dxa"/>
            <w:tcBorders>
              <w:tl2br w:val="nil"/>
              <w:tr2bl w:val="nil"/>
            </w:tcBorders>
            <w:vAlign w:val="center"/>
          </w:tcPr>
          <w:p w14:paraId="6449DBB3">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分值（分）</w:t>
            </w:r>
          </w:p>
        </w:tc>
        <w:tc>
          <w:tcPr>
            <w:tcW w:w="4605" w:type="dxa"/>
            <w:tcBorders>
              <w:tl2br w:val="nil"/>
              <w:tr2bl w:val="nil"/>
            </w:tcBorders>
            <w:vAlign w:val="center"/>
          </w:tcPr>
          <w:p w14:paraId="40A7B1E7">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得分理由和所提交证明得分资料</w:t>
            </w:r>
          </w:p>
        </w:tc>
        <w:tc>
          <w:tcPr>
            <w:tcW w:w="1640" w:type="dxa"/>
            <w:tcBorders>
              <w:tl2br w:val="nil"/>
              <w:tr2bl w:val="nil"/>
            </w:tcBorders>
            <w:vAlign w:val="center"/>
          </w:tcPr>
          <w:p w14:paraId="737B94B6">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自估得分（分）</w:t>
            </w:r>
          </w:p>
        </w:tc>
      </w:tr>
      <w:tr w14:paraId="65216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28" w:type="dxa"/>
            <w:tcBorders>
              <w:tl2br w:val="nil"/>
              <w:tr2bl w:val="nil"/>
            </w:tcBorders>
            <w:vAlign w:val="center"/>
          </w:tcPr>
          <w:p w14:paraId="0CA9F97B">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项目负责人</w:t>
            </w:r>
          </w:p>
        </w:tc>
        <w:tc>
          <w:tcPr>
            <w:tcW w:w="1081" w:type="dxa"/>
            <w:tcBorders>
              <w:tl2br w:val="nil"/>
              <w:tr2bl w:val="nil"/>
            </w:tcBorders>
            <w:vAlign w:val="center"/>
          </w:tcPr>
          <w:p w14:paraId="31FFEDB6">
            <w:pPr>
              <w:spacing w:line="320" w:lineRule="exact"/>
              <w:jc w:val="center"/>
              <w:rPr>
                <w:rFonts w:ascii="宋体"/>
                <w:color w:val="000000" w:themeColor="text1"/>
                <w:sz w:val="21"/>
                <w:szCs w:val="21"/>
                <w:highlight w:val="none"/>
                <w14:textFill>
                  <w14:solidFill>
                    <w14:schemeClr w14:val="tx1"/>
                  </w14:solidFill>
                </w14:textFill>
              </w:rPr>
            </w:pPr>
          </w:p>
        </w:tc>
        <w:tc>
          <w:tcPr>
            <w:tcW w:w="4605" w:type="dxa"/>
            <w:tcBorders>
              <w:tl2br w:val="nil"/>
              <w:tr2bl w:val="nil"/>
            </w:tcBorders>
            <w:vAlign w:val="center"/>
          </w:tcPr>
          <w:p w14:paraId="2C882FBF">
            <w:pPr>
              <w:spacing w:line="320" w:lineRule="exact"/>
              <w:rPr>
                <w:rFonts w:ascii="宋体"/>
                <w:color w:val="000000" w:themeColor="text1"/>
                <w:sz w:val="21"/>
                <w:szCs w:val="21"/>
                <w:highlight w:val="none"/>
                <w14:textFill>
                  <w14:solidFill>
                    <w14:schemeClr w14:val="tx1"/>
                  </w14:solidFill>
                </w14:textFill>
              </w:rPr>
            </w:pPr>
          </w:p>
        </w:tc>
        <w:tc>
          <w:tcPr>
            <w:tcW w:w="1640" w:type="dxa"/>
            <w:tcBorders>
              <w:tl2br w:val="nil"/>
              <w:tr2bl w:val="nil"/>
            </w:tcBorders>
            <w:vAlign w:val="center"/>
          </w:tcPr>
          <w:p w14:paraId="4285F3FE">
            <w:pPr>
              <w:spacing w:line="320" w:lineRule="exact"/>
              <w:rPr>
                <w:rFonts w:ascii="宋体"/>
                <w:color w:val="000000" w:themeColor="text1"/>
                <w:sz w:val="21"/>
                <w:szCs w:val="21"/>
                <w:highlight w:val="none"/>
                <w14:textFill>
                  <w14:solidFill>
                    <w14:schemeClr w14:val="tx1"/>
                  </w14:solidFill>
                </w14:textFill>
              </w:rPr>
            </w:pPr>
          </w:p>
        </w:tc>
      </w:tr>
      <w:tr w14:paraId="022BA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28" w:type="dxa"/>
            <w:tcBorders>
              <w:tl2br w:val="nil"/>
              <w:tr2bl w:val="nil"/>
            </w:tcBorders>
            <w:vAlign w:val="center"/>
          </w:tcPr>
          <w:p w14:paraId="1CC6FEB6">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其他主要人员</w:t>
            </w:r>
          </w:p>
        </w:tc>
        <w:tc>
          <w:tcPr>
            <w:tcW w:w="1081" w:type="dxa"/>
            <w:tcBorders>
              <w:tl2br w:val="nil"/>
              <w:tr2bl w:val="nil"/>
            </w:tcBorders>
            <w:vAlign w:val="center"/>
          </w:tcPr>
          <w:p w14:paraId="56E3B94F">
            <w:pPr>
              <w:spacing w:line="320" w:lineRule="exact"/>
              <w:jc w:val="center"/>
              <w:rPr>
                <w:rFonts w:ascii="宋体"/>
                <w:color w:val="000000" w:themeColor="text1"/>
                <w:sz w:val="21"/>
                <w:szCs w:val="21"/>
                <w:highlight w:val="none"/>
                <w14:textFill>
                  <w14:solidFill>
                    <w14:schemeClr w14:val="tx1"/>
                  </w14:solidFill>
                </w14:textFill>
              </w:rPr>
            </w:pPr>
          </w:p>
        </w:tc>
        <w:tc>
          <w:tcPr>
            <w:tcW w:w="4605" w:type="dxa"/>
            <w:tcBorders>
              <w:tl2br w:val="nil"/>
              <w:tr2bl w:val="nil"/>
            </w:tcBorders>
            <w:vAlign w:val="center"/>
          </w:tcPr>
          <w:p w14:paraId="48CFAB44">
            <w:pPr>
              <w:spacing w:line="320" w:lineRule="exact"/>
              <w:rPr>
                <w:rFonts w:ascii="宋体"/>
                <w:color w:val="000000" w:themeColor="text1"/>
                <w:sz w:val="21"/>
                <w:szCs w:val="21"/>
                <w:highlight w:val="none"/>
                <w14:textFill>
                  <w14:solidFill>
                    <w14:schemeClr w14:val="tx1"/>
                  </w14:solidFill>
                </w14:textFill>
              </w:rPr>
            </w:pPr>
          </w:p>
        </w:tc>
        <w:tc>
          <w:tcPr>
            <w:tcW w:w="1640" w:type="dxa"/>
            <w:tcBorders>
              <w:tl2br w:val="nil"/>
              <w:tr2bl w:val="nil"/>
            </w:tcBorders>
            <w:vAlign w:val="center"/>
          </w:tcPr>
          <w:p w14:paraId="7EEB7BA3">
            <w:pPr>
              <w:spacing w:line="320" w:lineRule="exact"/>
              <w:rPr>
                <w:rFonts w:ascii="宋体"/>
                <w:color w:val="000000" w:themeColor="text1"/>
                <w:sz w:val="21"/>
                <w:szCs w:val="21"/>
                <w:highlight w:val="none"/>
                <w14:textFill>
                  <w14:solidFill>
                    <w14:schemeClr w14:val="tx1"/>
                  </w14:solidFill>
                </w14:textFill>
              </w:rPr>
            </w:pPr>
          </w:p>
        </w:tc>
      </w:tr>
    </w:tbl>
    <w:p w14:paraId="3F115720">
      <w:pPr>
        <w:tabs>
          <w:tab w:val="left" w:pos="567"/>
        </w:tabs>
        <w:adjustRightInd/>
        <w:spacing w:line="360" w:lineRule="auto"/>
        <w:jc w:val="left"/>
        <w:textAlignment w:val="auto"/>
        <w:rPr>
          <w:rFonts w:ascii="宋体" w:hAnsi="宋体" w:cs="Arial"/>
          <w:color w:val="000000" w:themeColor="text1"/>
          <w:sz w:val="21"/>
          <w:szCs w:val="21"/>
          <w:highlight w:val="none"/>
          <w14:textFill>
            <w14:solidFill>
              <w14:schemeClr w14:val="tx1"/>
            </w14:solidFill>
          </w14:textFill>
        </w:rPr>
      </w:pPr>
    </w:p>
    <w:p w14:paraId="0CEF453C">
      <w:pPr>
        <w:pStyle w:val="13"/>
        <w:tabs>
          <w:tab w:val="left" w:pos="510"/>
          <w:tab w:val="left" w:pos="1000"/>
        </w:tabs>
        <w:spacing w:line="360" w:lineRule="auto"/>
        <w:ind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八、服务保证（保证设计质量、进度，配合工程实施）</w:t>
      </w:r>
    </w:p>
    <w:p w14:paraId="73A7C19E">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说明：同“</w:t>
      </w:r>
      <w:r>
        <w:rPr>
          <w:rFonts w:hint="eastAsia" w:ascii="宋体" w:hAnsi="宋体"/>
          <w:color w:val="000000" w:themeColor="text1"/>
          <w:sz w:val="21"/>
          <w:szCs w:val="21"/>
          <w:highlight w:val="none"/>
          <w14:textFill>
            <w14:solidFill>
              <w14:schemeClr w14:val="tx1"/>
            </w14:solidFill>
          </w14:textFill>
        </w:rPr>
        <w:t>六、投标单位实力、以往业绩、获奖情况、信誉”</w:t>
      </w:r>
      <w:r>
        <w:rPr>
          <w:rFonts w:hint="eastAsia" w:ascii="宋体"/>
          <w:color w:val="000000" w:themeColor="text1"/>
          <w:sz w:val="21"/>
          <w:szCs w:val="21"/>
          <w:highlight w:val="none"/>
          <w14:textFill>
            <w14:solidFill>
              <w14:schemeClr w14:val="tx1"/>
            </w14:solidFill>
          </w14:textFill>
        </w:rPr>
        <w:t>。但须附上“保证设计质量、设计进度计划”、“设计人在工程施工过程中配合工程实施所派出驻工地设计工程师的人员（职称、专业、数量）、服务内容、响应时间等”实施方案。</w:t>
      </w:r>
    </w:p>
    <w:p w14:paraId="6BDC3EDE">
      <w:pPr>
        <w:ind w:firstLine="480" w:firstLineChars="200"/>
        <w:jc w:val="center"/>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投标人自己估分表</w:t>
      </w:r>
    </w:p>
    <w:tbl>
      <w:tblPr>
        <w:tblStyle w:val="4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081"/>
        <w:gridCol w:w="4605"/>
        <w:gridCol w:w="1640"/>
      </w:tblGrid>
      <w:tr w14:paraId="36C75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28" w:type="dxa"/>
            <w:tcBorders>
              <w:tl2br w:val="nil"/>
              <w:tr2bl w:val="nil"/>
            </w:tcBorders>
            <w:vAlign w:val="center"/>
          </w:tcPr>
          <w:p w14:paraId="0729D9E3">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评审内容</w:t>
            </w:r>
          </w:p>
        </w:tc>
        <w:tc>
          <w:tcPr>
            <w:tcW w:w="1081" w:type="dxa"/>
            <w:tcBorders>
              <w:tl2br w:val="nil"/>
              <w:tr2bl w:val="nil"/>
            </w:tcBorders>
            <w:vAlign w:val="center"/>
          </w:tcPr>
          <w:p w14:paraId="6402FA6E">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分值（分）</w:t>
            </w:r>
          </w:p>
        </w:tc>
        <w:tc>
          <w:tcPr>
            <w:tcW w:w="4605" w:type="dxa"/>
            <w:tcBorders>
              <w:tl2br w:val="nil"/>
              <w:tr2bl w:val="nil"/>
            </w:tcBorders>
            <w:vAlign w:val="center"/>
          </w:tcPr>
          <w:p w14:paraId="1A5D42F0">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得分理由和所提交证明得分资料</w:t>
            </w:r>
          </w:p>
        </w:tc>
        <w:tc>
          <w:tcPr>
            <w:tcW w:w="1640" w:type="dxa"/>
            <w:tcBorders>
              <w:tl2br w:val="nil"/>
              <w:tr2bl w:val="nil"/>
            </w:tcBorders>
            <w:vAlign w:val="center"/>
          </w:tcPr>
          <w:p w14:paraId="13E5BE03">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自估得分（分）</w:t>
            </w:r>
          </w:p>
        </w:tc>
      </w:tr>
      <w:tr w14:paraId="7F1BD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8" w:type="dxa"/>
            <w:tcBorders>
              <w:tl2br w:val="nil"/>
              <w:tr2bl w:val="nil"/>
            </w:tcBorders>
            <w:vAlign w:val="center"/>
          </w:tcPr>
          <w:p w14:paraId="16AEDA30">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保证设计质量、进度</w:t>
            </w:r>
          </w:p>
        </w:tc>
        <w:tc>
          <w:tcPr>
            <w:tcW w:w="1081" w:type="dxa"/>
            <w:tcBorders>
              <w:tl2br w:val="nil"/>
              <w:tr2bl w:val="nil"/>
            </w:tcBorders>
            <w:vAlign w:val="center"/>
          </w:tcPr>
          <w:p w14:paraId="5F8E07B9">
            <w:pPr>
              <w:spacing w:line="320" w:lineRule="exact"/>
              <w:jc w:val="center"/>
              <w:rPr>
                <w:rFonts w:ascii="宋体"/>
                <w:color w:val="000000" w:themeColor="text1"/>
                <w:sz w:val="21"/>
                <w:szCs w:val="21"/>
                <w:highlight w:val="none"/>
                <w14:textFill>
                  <w14:solidFill>
                    <w14:schemeClr w14:val="tx1"/>
                  </w14:solidFill>
                </w14:textFill>
              </w:rPr>
            </w:pPr>
          </w:p>
        </w:tc>
        <w:tc>
          <w:tcPr>
            <w:tcW w:w="4605" w:type="dxa"/>
            <w:tcBorders>
              <w:tl2br w:val="nil"/>
              <w:tr2bl w:val="nil"/>
            </w:tcBorders>
            <w:vAlign w:val="center"/>
          </w:tcPr>
          <w:p w14:paraId="63714D7D">
            <w:pPr>
              <w:spacing w:line="320" w:lineRule="exact"/>
              <w:rPr>
                <w:rFonts w:ascii="宋体"/>
                <w:color w:val="000000" w:themeColor="text1"/>
                <w:sz w:val="21"/>
                <w:szCs w:val="21"/>
                <w:highlight w:val="none"/>
                <w14:textFill>
                  <w14:solidFill>
                    <w14:schemeClr w14:val="tx1"/>
                  </w14:solidFill>
                </w14:textFill>
              </w:rPr>
            </w:pPr>
          </w:p>
        </w:tc>
        <w:tc>
          <w:tcPr>
            <w:tcW w:w="1640" w:type="dxa"/>
            <w:tcBorders>
              <w:tl2br w:val="nil"/>
              <w:tr2bl w:val="nil"/>
            </w:tcBorders>
            <w:vAlign w:val="center"/>
          </w:tcPr>
          <w:p w14:paraId="2EF0ED73">
            <w:pPr>
              <w:spacing w:line="320" w:lineRule="exact"/>
              <w:rPr>
                <w:rFonts w:ascii="宋体"/>
                <w:color w:val="000000" w:themeColor="text1"/>
                <w:sz w:val="21"/>
                <w:szCs w:val="21"/>
                <w:highlight w:val="none"/>
                <w14:textFill>
                  <w14:solidFill>
                    <w14:schemeClr w14:val="tx1"/>
                  </w14:solidFill>
                </w14:textFill>
              </w:rPr>
            </w:pPr>
          </w:p>
        </w:tc>
      </w:tr>
      <w:tr w14:paraId="6E594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28" w:type="dxa"/>
            <w:tcBorders>
              <w:tl2br w:val="nil"/>
              <w:tr2bl w:val="nil"/>
            </w:tcBorders>
            <w:vAlign w:val="center"/>
          </w:tcPr>
          <w:p w14:paraId="14603825">
            <w:pPr>
              <w:spacing w:line="320" w:lineRule="exact"/>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配合工程实施</w:t>
            </w:r>
          </w:p>
        </w:tc>
        <w:tc>
          <w:tcPr>
            <w:tcW w:w="1081" w:type="dxa"/>
            <w:tcBorders>
              <w:tl2br w:val="nil"/>
              <w:tr2bl w:val="nil"/>
            </w:tcBorders>
            <w:vAlign w:val="center"/>
          </w:tcPr>
          <w:p w14:paraId="0369A49B">
            <w:pPr>
              <w:spacing w:line="320" w:lineRule="exact"/>
              <w:jc w:val="center"/>
              <w:rPr>
                <w:rFonts w:ascii="宋体"/>
                <w:color w:val="000000" w:themeColor="text1"/>
                <w:sz w:val="21"/>
                <w:szCs w:val="21"/>
                <w:highlight w:val="none"/>
                <w14:textFill>
                  <w14:solidFill>
                    <w14:schemeClr w14:val="tx1"/>
                  </w14:solidFill>
                </w14:textFill>
              </w:rPr>
            </w:pPr>
          </w:p>
        </w:tc>
        <w:tc>
          <w:tcPr>
            <w:tcW w:w="4605" w:type="dxa"/>
            <w:tcBorders>
              <w:tl2br w:val="nil"/>
              <w:tr2bl w:val="nil"/>
            </w:tcBorders>
            <w:vAlign w:val="center"/>
          </w:tcPr>
          <w:p w14:paraId="1D236765">
            <w:pPr>
              <w:spacing w:line="320" w:lineRule="exact"/>
              <w:rPr>
                <w:rFonts w:ascii="宋体"/>
                <w:color w:val="000000" w:themeColor="text1"/>
                <w:sz w:val="21"/>
                <w:szCs w:val="21"/>
                <w:highlight w:val="none"/>
                <w14:textFill>
                  <w14:solidFill>
                    <w14:schemeClr w14:val="tx1"/>
                  </w14:solidFill>
                </w14:textFill>
              </w:rPr>
            </w:pPr>
          </w:p>
        </w:tc>
        <w:tc>
          <w:tcPr>
            <w:tcW w:w="1640" w:type="dxa"/>
            <w:tcBorders>
              <w:tl2br w:val="nil"/>
              <w:tr2bl w:val="nil"/>
            </w:tcBorders>
            <w:vAlign w:val="center"/>
          </w:tcPr>
          <w:p w14:paraId="7E2B80BA">
            <w:pPr>
              <w:spacing w:line="320" w:lineRule="exact"/>
              <w:rPr>
                <w:rFonts w:ascii="宋体"/>
                <w:color w:val="000000" w:themeColor="text1"/>
                <w:sz w:val="21"/>
                <w:szCs w:val="21"/>
                <w:highlight w:val="none"/>
                <w14:textFill>
                  <w14:solidFill>
                    <w14:schemeClr w14:val="tx1"/>
                  </w14:solidFill>
                </w14:textFill>
              </w:rPr>
            </w:pPr>
          </w:p>
        </w:tc>
      </w:tr>
    </w:tbl>
    <w:p w14:paraId="1C83B710">
      <w:pPr>
        <w:spacing w:line="360" w:lineRule="auto"/>
        <w:rPr>
          <w:rFonts w:ascii="宋体" w:hAnsi="宋体" w:cstheme="minorBidi"/>
          <w:color w:val="000000" w:themeColor="text1"/>
          <w:kern w:val="2"/>
          <w:sz w:val="21"/>
          <w:szCs w:val="21"/>
          <w:highlight w:val="none"/>
          <w14:textFill>
            <w14:solidFill>
              <w14:schemeClr w14:val="tx1"/>
            </w14:solidFill>
          </w14:textFill>
        </w:rPr>
      </w:pPr>
      <w:r>
        <w:rPr>
          <w:rFonts w:hint="eastAsia" w:ascii="宋体" w:hAnsi="宋体" w:cstheme="minorBidi"/>
          <w:color w:val="000000" w:themeColor="text1"/>
          <w:kern w:val="2"/>
          <w:sz w:val="21"/>
          <w:szCs w:val="21"/>
          <w:highlight w:val="none"/>
          <w14:textFill>
            <w14:solidFill>
              <w14:schemeClr w14:val="tx1"/>
            </w14:solidFill>
          </w14:textFill>
        </w:rPr>
        <w:t>九、其他</w:t>
      </w:r>
      <w:r>
        <w:rPr>
          <w:rStyle w:val="49"/>
          <w:rFonts w:hint="eastAsia" w:ascii="宋体" w:hAnsi="宋体" w:cstheme="minorBidi"/>
          <w:color w:val="000000" w:themeColor="text1"/>
          <w:kern w:val="2"/>
          <w:sz w:val="21"/>
          <w:szCs w:val="21"/>
          <w:highlight w:val="none"/>
          <w14:textFill>
            <w14:solidFill>
              <w14:schemeClr w14:val="tx1"/>
            </w14:solidFill>
          </w14:textFill>
        </w:rPr>
        <w:footnoteReference w:id="111"/>
      </w:r>
    </w:p>
    <w:p w14:paraId="34A8F4F0">
      <w:pPr>
        <w:ind w:firstLine="480" w:firstLineChars="200"/>
        <w:rPr>
          <w:rFonts w:ascii="宋体"/>
          <w:color w:val="000000" w:themeColor="text1"/>
          <w:sz w:val="24"/>
          <w:szCs w:val="24"/>
          <w:highlight w:val="none"/>
          <w14:textFill>
            <w14:solidFill>
              <w14:schemeClr w14:val="tx1"/>
            </w14:solidFill>
          </w14:textFill>
        </w:rPr>
      </w:pPr>
    </w:p>
    <w:p w14:paraId="1188BAEE">
      <w:pPr>
        <w:rPr>
          <w:rFonts w:ascii="宋体"/>
          <w:color w:val="000000" w:themeColor="text1"/>
          <w:sz w:val="24"/>
          <w:szCs w:val="24"/>
          <w:highlight w:val="none"/>
          <w14:textFill>
            <w14:solidFill>
              <w14:schemeClr w14:val="tx1"/>
            </w14:solidFill>
          </w14:textFill>
        </w:rPr>
      </w:pPr>
    </w:p>
    <w:p w14:paraId="1CC77576">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36134AD4">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14319C22">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5278D8C7">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1A3BB08A">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20CD8A9E">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1B102FE3">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69E22A50">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69CFB12C">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5719C687">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24D75A33">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71E2939E">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5BED61F9">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6446AC28">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16328021">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69942A4A">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3BFE9B4C">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26EC6B9B">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749E9FD8">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2F93C4A6">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2FD1AF07">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4814E272">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6D7FE702">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0821173E">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5EF51D27">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6D8E1C67">
      <w:pPr>
        <w:spacing w:line="360" w:lineRule="auto"/>
        <w:rPr>
          <w:rFonts w:ascii="宋体" w:hAnsi="宋体" w:cstheme="minorBidi"/>
          <w:b/>
          <w:color w:val="000000" w:themeColor="text1"/>
          <w:kern w:val="2"/>
          <w:sz w:val="24"/>
          <w:szCs w:val="24"/>
          <w:highlight w:val="none"/>
          <w14:textFill>
            <w14:solidFill>
              <w14:schemeClr w14:val="tx1"/>
            </w14:solidFill>
          </w14:textFill>
        </w:rPr>
      </w:pPr>
    </w:p>
    <w:p w14:paraId="5D4ACCCE">
      <w:pPr>
        <w:spacing w:line="360" w:lineRule="auto"/>
        <w:rPr>
          <w:rFonts w:ascii="宋体" w:hAnsi="宋体" w:cstheme="minorBidi"/>
          <w:b w:val="0"/>
          <w:bCs/>
          <w:color w:val="000000" w:themeColor="text1"/>
          <w:kern w:val="2"/>
          <w:sz w:val="21"/>
          <w:szCs w:val="21"/>
          <w:highlight w:val="none"/>
          <w14:textFill>
            <w14:solidFill>
              <w14:schemeClr w14:val="tx1"/>
            </w14:solidFill>
          </w14:textFill>
        </w:rPr>
      </w:pPr>
      <w:r>
        <w:rPr>
          <w:rFonts w:hint="eastAsia" w:ascii="宋体" w:hAnsi="宋体" w:cstheme="minorBidi"/>
          <w:b w:val="0"/>
          <w:bCs/>
          <w:color w:val="000000" w:themeColor="text1"/>
          <w:kern w:val="2"/>
          <w:sz w:val="21"/>
          <w:szCs w:val="21"/>
          <w:highlight w:val="none"/>
          <w14:textFill>
            <w14:solidFill>
              <w14:schemeClr w14:val="tx1"/>
            </w14:solidFill>
          </w14:textFill>
        </w:rPr>
        <w:t>十、定标要素情况表</w:t>
      </w:r>
    </w:p>
    <w:p w14:paraId="101EEF34">
      <w:pPr>
        <w:spacing w:beforeLines="100" w:afterLines="100" w:line="360" w:lineRule="auto"/>
        <w:ind w:firstLine="42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定标要素情况表</w:t>
      </w:r>
    </w:p>
    <w:p w14:paraId="04245207">
      <w:pPr>
        <w:widowControl/>
        <w:jc w:val="left"/>
        <w:rPr>
          <w:rFonts w:ascii="宋体" w:hAnsi="宋体"/>
          <w:color w:val="000000" w:themeColor="text1"/>
          <w:kern w:val="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kern w:val="1"/>
          <w:sz w:val="24"/>
          <w:szCs w:val="24"/>
          <w:highlight w:val="none"/>
          <w14:textFill>
            <w14:solidFill>
              <w14:schemeClr w14:val="tx1"/>
            </w14:solidFill>
          </w14:textFill>
        </w:rPr>
        <w:t>信用要素情况表</w:t>
      </w:r>
      <w:r>
        <w:rPr>
          <w:rStyle w:val="49"/>
          <w:rFonts w:ascii="宋体" w:hAnsi="宋体"/>
          <w:color w:val="000000" w:themeColor="text1"/>
          <w:kern w:val="1"/>
          <w:sz w:val="24"/>
          <w:szCs w:val="24"/>
          <w:highlight w:val="none"/>
          <w14:textFill>
            <w14:solidFill>
              <w14:schemeClr w14:val="tx1"/>
            </w14:solidFill>
          </w14:textFill>
        </w:rPr>
        <w:footnoteReference w:id="112"/>
      </w:r>
    </w:p>
    <w:tbl>
      <w:tblPr>
        <w:tblStyle w:val="41"/>
        <w:tblpPr w:leftFromText="180" w:rightFromText="180" w:vertAnchor="text" w:horzAnchor="margin" w:tblpX="108" w:tblpY="142"/>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835"/>
      </w:tblGrid>
      <w:tr w14:paraId="19B04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093" w:type="dxa"/>
            <w:tcBorders>
              <w:tl2br w:val="nil"/>
              <w:tr2bl w:val="nil"/>
            </w:tcBorders>
            <w:vAlign w:val="center"/>
          </w:tcPr>
          <w:p w14:paraId="5AD3239D">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招标人要求的信用子要素</w:t>
            </w:r>
            <w:r>
              <w:rPr>
                <w:rStyle w:val="49"/>
                <w:rFonts w:ascii="宋体" w:hAnsi="宋体"/>
                <w:b/>
                <w:color w:val="000000" w:themeColor="text1"/>
                <w:kern w:val="1"/>
                <w:sz w:val="21"/>
                <w:szCs w:val="21"/>
                <w:highlight w:val="none"/>
                <w14:textFill>
                  <w14:solidFill>
                    <w14:schemeClr w14:val="tx1"/>
                  </w14:solidFill>
                </w14:textFill>
              </w:rPr>
              <w:footnoteReference w:id="113"/>
            </w:r>
          </w:p>
        </w:tc>
        <w:tc>
          <w:tcPr>
            <w:tcW w:w="4536" w:type="dxa"/>
            <w:tcBorders>
              <w:tl2br w:val="nil"/>
              <w:tr2bl w:val="nil"/>
            </w:tcBorders>
            <w:vAlign w:val="center"/>
          </w:tcPr>
          <w:p w14:paraId="6FACB4F0">
            <w:pPr>
              <w:spacing w:line="400" w:lineRule="exact"/>
              <w:jc w:val="center"/>
              <w:rPr>
                <w:rFonts w:ascii="宋体" w:hAnsi="宋体"/>
                <w:b/>
                <w:color w:val="000000" w:themeColor="text1"/>
                <w:kern w:val="1"/>
                <w:sz w:val="21"/>
                <w:szCs w:val="21"/>
                <w:highlight w:val="none"/>
                <w14:textFill>
                  <w14:solidFill>
                    <w14:schemeClr w14:val="tx1"/>
                  </w14:solidFill>
                </w14:textFill>
              </w:rPr>
            </w:pPr>
            <w:bookmarkStart w:id="1012" w:name="_Hlk62373668"/>
            <w:r>
              <w:rPr>
                <w:rFonts w:hint="eastAsia" w:ascii="宋体" w:hAnsi="宋体"/>
                <w:b/>
                <w:color w:val="000000" w:themeColor="text1"/>
                <w:kern w:val="1"/>
                <w:sz w:val="21"/>
                <w:szCs w:val="21"/>
                <w:highlight w:val="none"/>
                <w14:textFill>
                  <w14:solidFill>
                    <w14:schemeClr w14:val="tx1"/>
                  </w14:solidFill>
                </w14:textFill>
              </w:rPr>
              <w:t>投标人提供的证明材料明细</w:t>
            </w:r>
            <w:bookmarkEnd w:id="1012"/>
          </w:p>
        </w:tc>
        <w:tc>
          <w:tcPr>
            <w:tcW w:w="2835" w:type="dxa"/>
            <w:tcBorders>
              <w:tl2br w:val="nil"/>
              <w:tr2bl w:val="nil"/>
            </w:tcBorders>
            <w:vAlign w:val="center"/>
          </w:tcPr>
          <w:p w14:paraId="3B1E06A0">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证明材料是否列于本表续页</w:t>
            </w:r>
          </w:p>
        </w:tc>
      </w:tr>
      <w:tr w14:paraId="24D7C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tcBorders>
              <w:tl2br w:val="nil"/>
              <w:tr2bl w:val="nil"/>
            </w:tcBorders>
            <w:vAlign w:val="center"/>
          </w:tcPr>
          <w:p w14:paraId="2641D942">
            <w:pPr>
              <w:spacing w:line="300" w:lineRule="auto"/>
              <w:ind w:firstLine="420" w:firstLineChars="200"/>
              <w:jc w:val="left"/>
              <w:rPr>
                <w:rFonts w:ascii="宋体" w:hAnsi="宋体"/>
                <w:b/>
                <w:bCs/>
                <w:color w:val="000000" w:themeColor="text1"/>
                <w:kern w:val="44"/>
                <w:sz w:val="21"/>
                <w:szCs w:val="21"/>
                <w:highlight w:val="none"/>
                <w14:textFill>
                  <w14:solidFill>
                    <w14:schemeClr w14:val="tx1"/>
                  </w14:solidFill>
                </w14:textFill>
              </w:rPr>
            </w:pPr>
          </w:p>
        </w:tc>
        <w:tc>
          <w:tcPr>
            <w:tcW w:w="4536" w:type="dxa"/>
            <w:tcBorders>
              <w:tl2br w:val="nil"/>
              <w:tr2bl w:val="nil"/>
            </w:tcBorders>
            <w:vAlign w:val="center"/>
          </w:tcPr>
          <w:p w14:paraId="5CCC8FF6">
            <w:pPr>
              <w:spacing w:line="40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52F13A3">
            <w:pPr>
              <w:pStyle w:val="39"/>
              <w:ind w:firstLine="0" w:firstLineChars="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47648DD8">
            <w:pPr>
              <w:pStyle w:val="39"/>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5FEE2551">
            <w:pPr>
              <w:pStyle w:val="39"/>
              <w:ind w:firstLine="0" w:firstLineChars="0"/>
              <w:rPr>
                <w:rFonts w:ascii="宋体" w:hAnsi="宋体"/>
                <w:b/>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tc>
        <w:tc>
          <w:tcPr>
            <w:tcW w:w="2835" w:type="dxa"/>
            <w:tcBorders>
              <w:tl2br w:val="nil"/>
              <w:tr2bl w:val="nil"/>
            </w:tcBorders>
            <w:vAlign w:val="center"/>
          </w:tcPr>
          <w:p w14:paraId="32CED653">
            <w:pPr>
              <w:widowControl/>
              <w:adjustRightInd/>
              <w:spacing w:line="240" w:lineRule="auto"/>
              <w:jc w:val="left"/>
              <w:textAlignment w:val="auto"/>
              <w:rPr>
                <w:rFonts w:ascii="宋体" w:hAnsi="宋体"/>
                <w:b/>
                <w:color w:val="000000" w:themeColor="text1"/>
                <w:sz w:val="21"/>
                <w:szCs w:val="21"/>
                <w:highlight w:val="none"/>
                <w:u w:val="single"/>
                <w14:textFill>
                  <w14:solidFill>
                    <w14:schemeClr w14:val="tx1"/>
                  </w14:solidFill>
                </w14:textFill>
              </w:rPr>
            </w:pPr>
          </w:p>
          <w:p w14:paraId="248423EE">
            <w:pPr>
              <w:widowControl/>
              <w:adjustRightInd/>
              <w:spacing w:line="240" w:lineRule="auto"/>
              <w:jc w:val="left"/>
              <w:textAlignment w:val="auto"/>
              <w:rPr>
                <w:rFonts w:ascii="宋体" w:hAnsi="宋体"/>
                <w:b/>
                <w:color w:val="000000" w:themeColor="text1"/>
                <w:sz w:val="21"/>
                <w:szCs w:val="21"/>
                <w:highlight w:val="none"/>
                <w:u w:val="single"/>
                <w14:textFill>
                  <w14:solidFill>
                    <w14:schemeClr w14:val="tx1"/>
                  </w14:solidFill>
                </w14:textFill>
              </w:rPr>
            </w:pPr>
          </w:p>
          <w:p w14:paraId="7E4450CB">
            <w:pPr>
              <w:widowControl/>
              <w:adjustRightInd/>
              <w:spacing w:line="240" w:lineRule="auto"/>
              <w:jc w:val="left"/>
              <w:textAlignment w:val="auto"/>
              <w:rPr>
                <w:rFonts w:ascii="宋体" w:hAnsi="宋体"/>
                <w:b/>
                <w:color w:val="000000" w:themeColor="text1"/>
                <w:sz w:val="21"/>
                <w:szCs w:val="21"/>
                <w:highlight w:val="none"/>
                <w:u w:val="single"/>
                <w14:textFill>
                  <w14:solidFill>
                    <w14:schemeClr w14:val="tx1"/>
                  </w14:solidFill>
                </w14:textFill>
              </w:rPr>
            </w:pPr>
          </w:p>
          <w:p w14:paraId="3FFB20A6">
            <w:pPr>
              <w:pStyle w:val="39"/>
              <w:ind w:firstLine="0" w:firstLineChars="0"/>
              <w:rPr>
                <w:rFonts w:ascii="宋体" w:hAnsi="宋体"/>
                <w:b/>
                <w:color w:val="000000" w:themeColor="text1"/>
                <w:sz w:val="21"/>
                <w:szCs w:val="21"/>
                <w:highlight w:val="none"/>
                <w:u w:val="single"/>
                <w14:textFill>
                  <w14:solidFill>
                    <w14:schemeClr w14:val="tx1"/>
                  </w14:solidFill>
                </w14:textFill>
              </w:rPr>
            </w:pPr>
          </w:p>
        </w:tc>
      </w:tr>
      <w:tr w14:paraId="70D5C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464" w:type="dxa"/>
            <w:gridSpan w:val="3"/>
            <w:tcBorders>
              <w:tl2br w:val="nil"/>
              <w:tr2bl w:val="nil"/>
            </w:tcBorders>
            <w:vAlign w:val="center"/>
          </w:tcPr>
          <w:p w14:paraId="718D0141">
            <w:pPr>
              <w:spacing w:line="400" w:lineRule="exact"/>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说明：</w:t>
            </w:r>
          </w:p>
          <w:p w14:paraId="530DA2D8">
            <w:pPr>
              <w:spacing w:afterLines="50" w:line="400" w:lineRule="exact"/>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1.投标人</w:t>
            </w:r>
            <w:r>
              <w:rPr>
                <w:rFonts w:hint="eastAsia" w:ascii="宋体" w:hAnsi="宋体"/>
                <w:color w:val="000000" w:themeColor="text1"/>
                <w:sz w:val="21"/>
                <w:szCs w:val="21"/>
                <w:highlight w:val="none"/>
                <w14:textFill>
                  <w14:solidFill>
                    <w14:schemeClr w14:val="tx1"/>
                  </w14:solidFill>
                </w14:textFill>
              </w:rPr>
              <w:t>应根据招标文件第四章</w:t>
            </w:r>
            <w:r>
              <w:rPr>
                <w:rFonts w:hint="eastAsia" w:ascii="宋体" w:hAnsi="宋体" w:cs="宋体"/>
                <w:color w:val="000000" w:themeColor="text1"/>
                <w:kern w:val="1"/>
                <w:sz w:val="21"/>
                <w:szCs w:val="21"/>
                <w:highlight w:val="none"/>
                <w14:textFill>
                  <w14:solidFill>
                    <w14:schemeClr w14:val="tx1"/>
                  </w14:solidFill>
                </w14:textFill>
              </w:rPr>
              <w:t>定标</w:t>
            </w:r>
            <w:r>
              <w:rPr>
                <w:rFonts w:hint="eastAsia" w:ascii="宋体" w:hAnsi="宋体" w:cs="宋体"/>
                <w:color w:val="000000" w:themeColor="text1"/>
                <w:kern w:val="1"/>
                <w:sz w:val="21"/>
                <w:szCs w:val="21"/>
                <w:highlight w:val="none"/>
                <w:lang w:val="en-US" w:eastAsia="zh-CN"/>
                <w14:textFill>
                  <w14:solidFill>
                    <w14:schemeClr w14:val="tx1"/>
                  </w14:solidFill>
                </w14:textFill>
              </w:rPr>
              <w:t>方案</w:t>
            </w:r>
            <w:r>
              <w:rPr>
                <w:rFonts w:hint="eastAsia" w:ascii="宋体" w:hAnsi="宋体"/>
                <w:color w:val="000000" w:themeColor="text1"/>
                <w:sz w:val="21"/>
                <w:szCs w:val="21"/>
                <w:highlight w:val="none"/>
                <w14:textFill>
                  <w14:solidFill>
                    <w14:schemeClr w14:val="tx1"/>
                  </w14:solidFill>
                </w14:textFill>
              </w:rPr>
              <w:t>的前附表中</w:t>
            </w:r>
            <w:r>
              <w:rPr>
                <w:rFonts w:hint="eastAsia" w:ascii="宋体" w:hAnsi="宋体" w:cs="宋体"/>
                <w:color w:val="000000" w:themeColor="text1"/>
                <w:kern w:val="1"/>
                <w:sz w:val="21"/>
                <w:szCs w:val="21"/>
                <w:highlight w:val="none"/>
                <w:lang w:val="en-US" w:eastAsia="zh-CN"/>
                <w14:textFill>
                  <w14:solidFill>
                    <w14:schemeClr w14:val="tx1"/>
                  </w14:solidFill>
                </w14:textFill>
              </w:rPr>
              <w:t>有关证明材料要求</w:t>
            </w:r>
            <w:r>
              <w:rPr>
                <w:rFonts w:hint="eastAsia" w:ascii="宋体" w:hAnsi="宋体"/>
                <w:color w:val="000000" w:themeColor="text1"/>
                <w:sz w:val="21"/>
                <w:szCs w:val="21"/>
                <w:highlight w:val="none"/>
                <w14:textFill>
                  <w14:solidFill>
                    <w14:schemeClr w14:val="tx1"/>
                  </w14:solidFill>
                </w14:textFill>
              </w:rPr>
              <w:t>提供与信用子要素有关的证明材料，作为附件列于本表</w:t>
            </w:r>
            <w:r>
              <w:rPr>
                <w:rFonts w:hint="eastAsia" w:ascii="宋体" w:hAnsi="宋体" w:cs="宋体"/>
                <w:color w:val="000000" w:themeColor="text1"/>
                <w:kern w:val="1"/>
                <w:sz w:val="21"/>
                <w:szCs w:val="21"/>
                <w:highlight w:val="none"/>
                <w14:textFill>
                  <w14:solidFill>
                    <w14:schemeClr w14:val="tx1"/>
                  </w14:solidFill>
                </w14:textFill>
              </w:rPr>
              <w:t>续页并按上述明细顺序列编，附件是本表的组成部分。</w:t>
            </w:r>
          </w:p>
          <w:p w14:paraId="6B40E347">
            <w:pPr>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2.若</w:t>
            </w:r>
            <w:r>
              <w:rPr>
                <w:rFonts w:hint="eastAsia" w:ascii="宋体" w:hAnsi="宋体"/>
                <w:color w:val="000000" w:themeColor="text1"/>
                <w:sz w:val="21"/>
                <w:szCs w:val="21"/>
                <w:highlight w:val="none"/>
                <w14:textFill>
                  <w14:solidFill>
                    <w14:schemeClr w14:val="tx1"/>
                  </w14:solidFill>
                </w14:textFill>
              </w:rPr>
              <w:t>信用子要素有关的证明材料已在投标文件（含资格审查文件）其他节点提交的，可以不再重复提交，但应填写本表并在“证明材料是否列于本表续页”栏说明证明材料提交的具体节点以便查询。</w:t>
            </w:r>
          </w:p>
        </w:tc>
      </w:tr>
    </w:tbl>
    <w:p w14:paraId="1E14DB84">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6AD5CDD6">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219BD2F1">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318C96A5">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0CF4208E">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1B0619F9">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7E670F26">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15A00238">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5608A635">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1D5DA775">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35069494">
      <w:pPr>
        <w:widowControl/>
        <w:jc w:val="left"/>
        <w:rPr>
          <w:rFonts w:ascii="宋体" w:hAnsi="宋体"/>
          <w:b/>
          <w:color w:val="000000" w:themeColor="text1"/>
          <w:kern w:val="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kern w:val="1"/>
          <w:sz w:val="24"/>
          <w:szCs w:val="24"/>
          <w:highlight w:val="none"/>
          <w14:textFill>
            <w14:solidFill>
              <w14:schemeClr w14:val="tx1"/>
            </w14:solidFill>
          </w14:textFill>
        </w:rPr>
        <w:t>实力</w:t>
      </w:r>
      <w:r>
        <w:rPr>
          <w:rFonts w:ascii="宋体" w:hAnsi="宋体"/>
          <w:b/>
          <w:color w:val="000000" w:themeColor="text1"/>
          <w:kern w:val="1"/>
          <w:sz w:val="24"/>
          <w:szCs w:val="24"/>
          <w:highlight w:val="none"/>
          <w14:textFill>
            <w14:solidFill>
              <w14:schemeClr w14:val="tx1"/>
            </w14:solidFill>
          </w14:textFill>
        </w:rPr>
        <w:t>要素情况表</w:t>
      </w:r>
      <w:r>
        <w:rPr>
          <w:rStyle w:val="49"/>
          <w:rFonts w:ascii="宋体" w:hAnsi="宋体"/>
          <w:b/>
          <w:color w:val="000000" w:themeColor="text1"/>
          <w:kern w:val="1"/>
          <w:sz w:val="24"/>
          <w:szCs w:val="24"/>
          <w:highlight w:val="none"/>
          <w14:textFill>
            <w14:solidFill>
              <w14:schemeClr w14:val="tx1"/>
            </w14:solidFill>
          </w14:textFill>
        </w:rPr>
        <w:footnoteReference w:id="114"/>
      </w:r>
    </w:p>
    <w:tbl>
      <w:tblPr>
        <w:tblStyle w:val="41"/>
        <w:tblpPr w:leftFromText="180" w:rightFromText="180" w:vertAnchor="text" w:horzAnchor="margin" w:tblpX="108" w:tblpY="142"/>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52"/>
        <w:gridCol w:w="2977"/>
      </w:tblGrid>
      <w:tr w14:paraId="4629C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093" w:type="dxa"/>
            <w:tcBorders>
              <w:tl2br w:val="nil"/>
              <w:tr2bl w:val="nil"/>
            </w:tcBorders>
            <w:vAlign w:val="center"/>
          </w:tcPr>
          <w:p w14:paraId="17804448">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招标人要求的实力子要素</w:t>
            </w:r>
            <w:r>
              <w:rPr>
                <w:rStyle w:val="49"/>
                <w:rFonts w:ascii="宋体" w:hAnsi="宋体"/>
                <w:b/>
                <w:color w:val="000000" w:themeColor="text1"/>
                <w:kern w:val="1"/>
                <w:sz w:val="21"/>
                <w:szCs w:val="21"/>
                <w:highlight w:val="none"/>
                <w14:textFill>
                  <w14:solidFill>
                    <w14:schemeClr w14:val="tx1"/>
                  </w14:solidFill>
                </w14:textFill>
              </w:rPr>
              <w:footnoteReference w:id="115"/>
            </w:r>
          </w:p>
        </w:tc>
        <w:tc>
          <w:tcPr>
            <w:tcW w:w="4252" w:type="dxa"/>
            <w:tcBorders>
              <w:tl2br w:val="nil"/>
              <w:tr2bl w:val="nil"/>
            </w:tcBorders>
            <w:vAlign w:val="center"/>
          </w:tcPr>
          <w:p w14:paraId="5D316BD5">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投标人提供的证明材料明细</w:t>
            </w:r>
          </w:p>
        </w:tc>
        <w:tc>
          <w:tcPr>
            <w:tcW w:w="2977" w:type="dxa"/>
            <w:tcBorders>
              <w:tl2br w:val="nil"/>
              <w:tr2bl w:val="nil"/>
            </w:tcBorders>
            <w:vAlign w:val="center"/>
          </w:tcPr>
          <w:p w14:paraId="65A9F4CD">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证明材料是否列于本表续页</w:t>
            </w:r>
          </w:p>
        </w:tc>
      </w:tr>
      <w:tr w14:paraId="7EBD4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tcBorders>
              <w:tl2br w:val="nil"/>
              <w:tr2bl w:val="nil"/>
            </w:tcBorders>
            <w:vAlign w:val="center"/>
          </w:tcPr>
          <w:p w14:paraId="1888F5D5">
            <w:pPr>
              <w:spacing w:line="300" w:lineRule="auto"/>
              <w:ind w:firstLine="420" w:firstLineChars="200"/>
              <w:jc w:val="left"/>
              <w:rPr>
                <w:rFonts w:ascii="宋体" w:hAnsi="宋体"/>
                <w:b/>
                <w:bCs/>
                <w:color w:val="000000" w:themeColor="text1"/>
                <w:kern w:val="44"/>
                <w:sz w:val="21"/>
                <w:szCs w:val="21"/>
                <w:highlight w:val="none"/>
                <w14:textFill>
                  <w14:solidFill>
                    <w14:schemeClr w14:val="tx1"/>
                  </w14:solidFill>
                </w14:textFill>
              </w:rPr>
            </w:pPr>
          </w:p>
        </w:tc>
        <w:tc>
          <w:tcPr>
            <w:tcW w:w="4252" w:type="dxa"/>
            <w:tcBorders>
              <w:tl2br w:val="nil"/>
              <w:tr2bl w:val="nil"/>
            </w:tcBorders>
            <w:vAlign w:val="center"/>
          </w:tcPr>
          <w:p w14:paraId="2E81DF11">
            <w:pPr>
              <w:spacing w:line="40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A53A1CC">
            <w:pPr>
              <w:pStyle w:val="39"/>
              <w:ind w:firstLine="0" w:firstLineChars="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21382999">
            <w:pPr>
              <w:pStyle w:val="39"/>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14:paraId="71B03C4A">
            <w:pPr>
              <w:pStyle w:val="39"/>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tc>
        <w:tc>
          <w:tcPr>
            <w:tcW w:w="2977" w:type="dxa"/>
            <w:tcBorders>
              <w:tl2br w:val="nil"/>
              <w:tr2bl w:val="nil"/>
            </w:tcBorders>
            <w:vAlign w:val="center"/>
          </w:tcPr>
          <w:p w14:paraId="41E0BA38">
            <w:pPr>
              <w:widowControl/>
              <w:adjustRightInd/>
              <w:spacing w:line="240" w:lineRule="auto"/>
              <w:jc w:val="left"/>
              <w:textAlignment w:val="auto"/>
              <w:rPr>
                <w:rFonts w:ascii="宋体" w:hAnsi="宋体"/>
                <w:color w:val="000000" w:themeColor="text1"/>
                <w:sz w:val="21"/>
                <w:szCs w:val="21"/>
                <w:highlight w:val="none"/>
                <w14:textFill>
                  <w14:solidFill>
                    <w14:schemeClr w14:val="tx1"/>
                  </w14:solidFill>
                </w14:textFill>
              </w:rPr>
            </w:pPr>
          </w:p>
          <w:p w14:paraId="5400DE0F">
            <w:pPr>
              <w:widowControl/>
              <w:adjustRightInd/>
              <w:spacing w:line="240" w:lineRule="auto"/>
              <w:jc w:val="left"/>
              <w:textAlignment w:val="auto"/>
              <w:rPr>
                <w:rFonts w:ascii="宋体" w:hAnsi="宋体"/>
                <w:color w:val="000000" w:themeColor="text1"/>
                <w:sz w:val="21"/>
                <w:szCs w:val="21"/>
                <w:highlight w:val="none"/>
                <w14:textFill>
                  <w14:solidFill>
                    <w14:schemeClr w14:val="tx1"/>
                  </w14:solidFill>
                </w14:textFill>
              </w:rPr>
            </w:pPr>
          </w:p>
          <w:p w14:paraId="57B759F7">
            <w:pPr>
              <w:widowControl/>
              <w:adjustRightInd/>
              <w:spacing w:line="240" w:lineRule="auto"/>
              <w:jc w:val="left"/>
              <w:textAlignment w:val="auto"/>
              <w:rPr>
                <w:rFonts w:ascii="宋体" w:hAnsi="宋体"/>
                <w:color w:val="000000" w:themeColor="text1"/>
                <w:sz w:val="21"/>
                <w:szCs w:val="21"/>
                <w:highlight w:val="none"/>
                <w14:textFill>
                  <w14:solidFill>
                    <w14:schemeClr w14:val="tx1"/>
                  </w14:solidFill>
                </w14:textFill>
              </w:rPr>
            </w:pPr>
          </w:p>
          <w:p w14:paraId="75346EE2">
            <w:pPr>
              <w:pStyle w:val="39"/>
              <w:ind w:firstLine="0" w:firstLineChars="0"/>
              <w:rPr>
                <w:rFonts w:ascii="宋体" w:hAnsi="宋体"/>
                <w:color w:val="000000" w:themeColor="text1"/>
                <w:sz w:val="21"/>
                <w:szCs w:val="21"/>
                <w:highlight w:val="none"/>
                <w14:textFill>
                  <w14:solidFill>
                    <w14:schemeClr w14:val="tx1"/>
                  </w14:solidFill>
                </w14:textFill>
              </w:rPr>
            </w:pPr>
          </w:p>
        </w:tc>
      </w:tr>
      <w:tr w14:paraId="6F9D4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322" w:type="dxa"/>
            <w:gridSpan w:val="3"/>
            <w:tcBorders>
              <w:tl2br w:val="nil"/>
              <w:tr2bl w:val="nil"/>
            </w:tcBorders>
            <w:vAlign w:val="center"/>
          </w:tcPr>
          <w:p w14:paraId="51EEC918">
            <w:pPr>
              <w:spacing w:line="400" w:lineRule="exact"/>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说明：</w:t>
            </w:r>
          </w:p>
          <w:p w14:paraId="024F697F">
            <w:pPr>
              <w:spacing w:afterLines="50" w:line="400" w:lineRule="exact"/>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1.投标人</w:t>
            </w:r>
            <w:r>
              <w:rPr>
                <w:rFonts w:hint="eastAsia" w:ascii="宋体" w:hAnsi="宋体"/>
                <w:color w:val="000000" w:themeColor="text1"/>
                <w:sz w:val="21"/>
                <w:szCs w:val="21"/>
                <w:highlight w:val="none"/>
                <w14:textFill>
                  <w14:solidFill>
                    <w14:schemeClr w14:val="tx1"/>
                  </w14:solidFill>
                </w14:textFill>
              </w:rPr>
              <w:t>应根据招标文件第四章</w:t>
            </w:r>
            <w:r>
              <w:rPr>
                <w:rFonts w:hint="eastAsia" w:ascii="宋体" w:hAnsi="宋体" w:cs="宋体"/>
                <w:color w:val="000000" w:themeColor="text1"/>
                <w:kern w:val="1"/>
                <w:sz w:val="21"/>
                <w:szCs w:val="21"/>
                <w:highlight w:val="none"/>
                <w14:textFill>
                  <w14:solidFill>
                    <w14:schemeClr w14:val="tx1"/>
                  </w14:solidFill>
                </w14:textFill>
              </w:rPr>
              <w:t>定标</w:t>
            </w:r>
            <w:r>
              <w:rPr>
                <w:rFonts w:hint="eastAsia" w:ascii="宋体" w:hAnsi="宋体" w:cs="宋体"/>
                <w:color w:val="000000" w:themeColor="text1"/>
                <w:kern w:val="1"/>
                <w:sz w:val="21"/>
                <w:szCs w:val="21"/>
                <w:highlight w:val="none"/>
                <w:lang w:val="en-US" w:eastAsia="zh-CN"/>
                <w14:textFill>
                  <w14:solidFill>
                    <w14:schemeClr w14:val="tx1"/>
                  </w14:solidFill>
                </w14:textFill>
              </w:rPr>
              <w:t>方案</w:t>
            </w:r>
            <w:r>
              <w:rPr>
                <w:rFonts w:hint="eastAsia" w:ascii="宋体" w:hAnsi="宋体"/>
                <w:color w:val="000000" w:themeColor="text1"/>
                <w:sz w:val="21"/>
                <w:szCs w:val="21"/>
                <w:highlight w:val="none"/>
                <w14:textFill>
                  <w14:solidFill>
                    <w14:schemeClr w14:val="tx1"/>
                  </w14:solidFill>
                </w14:textFill>
              </w:rPr>
              <w:t>的前附表中</w:t>
            </w:r>
            <w:r>
              <w:rPr>
                <w:rFonts w:hint="eastAsia" w:ascii="宋体" w:hAnsi="宋体" w:cs="宋体"/>
                <w:color w:val="000000" w:themeColor="text1"/>
                <w:kern w:val="1"/>
                <w:sz w:val="21"/>
                <w:szCs w:val="21"/>
                <w:highlight w:val="none"/>
                <w:lang w:val="en-US" w:eastAsia="zh-CN"/>
                <w14:textFill>
                  <w14:solidFill>
                    <w14:schemeClr w14:val="tx1"/>
                  </w14:solidFill>
                </w14:textFill>
              </w:rPr>
              <w:t>有关证明材料要求</w:t>
            </w:r>
            <w:r>
              <w:rPr>
                <w:rFonts w:hint="eastAsia" w:ascii="宋体" w:hAnsi="宋体"/>
                <w:color w:val="000000" w:themeColor="text1"/>
                <w:sz w:val="21"/>
                <w:szCs w:val="21"/>
                <w:highlight w:val="none"/>
                <w14:textFill>
                  <w14:solidFill>
                    <w14:schemeClr w14:val="tx1"/>
                  </w14:solidFill>
                </w14:textFill>
              </w:rPr>
              <w:t>提供与实力子要素有关的证明材料，作为附件列于本表</w:t>
            </w:r>
            <w:r>
              <w:rPr>
                <w:rFonts w:hint="eastAsia" w:ascii="宋体" w:hAnsi="宋体" w:cs="宋体"/>
                <w:color w:val="000000" w:themeColor="text1"/>
                <w:kern w:val="1"/>
                <w:sz w:val="21"/>
                <w:szCs w:val="21"/>
                <w:highlight w:val="none"/>
                <w14:textFill>
                  <w14:solidFill>
                    <w14:schemeClr w14:val="tx1"/>
                  </w14:solidFill>
                </w14:textFill>
              </w:rPr>
              <w:t>续页并按上述明细顺序列编，附件是本表的组成部分。</w:t>
            </w:r>
          </w:p>
          <w:p w14:paraId="0117014B">
            <w:pPr>
              <w:spacing w:line="400" w:lineRule="exact"/>
              <w:rPr>
                <w:rFonts w:ascii="宋体" w:hAnsi="宋体"/>
                <w:b/>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2.若</w:t>
            </w:r>
            <w:r>
              <w:rPr>
                <w:rFonts w:hint="eastAsia" w:ascii="宋体" w:hAnsi="宋体"/>
                <w:color w:val="000000" w:themeColor="text1"/>
                <w:sz w:val="21"/>
                <w:szCs w:val="21"/>
                <w:highlight w:val="none"/>
                <w14:textFill>
                  <w14:solidFill>
                    <w14:schemeClr w14:val="tx1"/>
                  </w14:solidFill>
                </w14:textFill>
              </w:rPr>
              <w:t>实力子要素有关的证明材料已在投标文件（含资格审查文件）其他节点提交的，可以不再重复提交，但应填写本表并在“证明材料是否列于本表续页”栏说明证明材料提交的具体节点以便查询。</w:t>
            </w:r>
          </w:p>
        </w:tc>
      </w:tr>
    </w:tbl>
    <w:p w14:paraId="413E6A7D">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0BC7331D">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50BCFF71">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61A72E4D">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71CB5296">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13979A7B">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6B5D7793">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5AA4D9A8">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55C382F0">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27A072AC">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7E53E4AB">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14:paraId="155463C3">
      <w:pPr>
        <w:spacing w:line="360" w:lineRule="auto"/>
        <w:rPr>
          <w:rFonts w:ascii="宋体" w:hAnsi="宋体" w:cstheme="minorBidi"/>
          <w:b/>
          <w:snapToGrid w:val="0"/>
          <w:color w:val="000000" w:themeColor="text1"/>
          <w:kern w:val="2"/>
          <w:sz w:val="28"/>
          <w:szCs w:val="28"/>
          <w:highlight w:val="none"/>
          <w14:textFill>
            <w14:solidFill>
              <w14:schemeClr w14:val="tx1"/>
            </w14:solidFill>
          </w14:textFill>
        </w:rPr>
      </w:pPr>
    </w:p>
    <w:p w14:paraId="50EDC6B5">
      <w:pPr>
        <w:spacing w:line="360" w:lineRule="auto"/>
        <w:rPr>
          <w:rFonts w:ascii="宋体" w:hAnsi="宋体" w:cstheme="minorBidi"/>
          <w:b/>
          <w:snapToGrid w:val="0"/>
          <w:color w:val="000000" w:themeColor="text1"/>
          <w:kern w:val="2"/>
          <w:sz w:val="28"/>
          <w:szCs w:val="28"/>
          <w:highlight w:val="none"/>
          <w14:textFill>
            <w14:solidFill>
              <w14:schemeClr w14:val="tx1"/>
            </w14:solidFill>
          </w14:textFill>
        </w:rPr>
      </w:pPr>
    </w:p>
    <w:p w14:paraId="4D910515">
      <w:pPr>
        <w:pStyle w:val="4"/>
        <w:spacing w:before="3000"/>
        <w:jc w:val="center"/>
        <w:rPr>
          <w:rFonts w:hint="eastAsia" w:ascii="黑体" w:hAnsi="黑体" w:eastAsia="黑体"/>
          <w:b w:val="0"/>
          <w:color w:val="000000" w:themeColor="text1"/>
          <w:highlight w:val="none"/>
          <w14:textFill>
            <w14:solidFill>
              <w14:schemeClr w14:val="tx1"/>
            </w14:solidFill>
          </w14:textFill>
        </w:rPr>
      </w:pPr>
      <w:bookmarkStart w:id="1013" w:name="_Toc300039000"/>
      <w:bookmarkStart w:id="1014" w:name="_Toc25777"/>
      <w:bookmarkStart w:id="1015" w:name="_Toc516753564"/>
      <w:bookmarkStart w:id="1016" w:name="_Toc18993"/>
    </w:p>
    <w:p w14:paraId="701CA06E">
      <w:pPr>
        <w:pStyle w:val="4"/>
        <w:spacing w:before="3000"/>
        <w:jc w:val="center"/>
        <w:rPr>
          <w:rFonts w:ascii="黑体" w:hAnsi="黑体" w:eastAsia="黑体"/>
          <w:b w:val="0"/>
          <w:color w:val="000000" w:themeColor="text1"/>
          <w:highlight w:val="none"/>
          <w14:textFill>
            <w14:solidFill>
              <w14:schemeClr w14:val="tx1"/>
            </w14:solidFill>
          </w14:textFill>
        </w:rPr>
      </w:pPr>
      <w:bookmarkStart w:id="1017" w:name="_Toc14029"/>
      <w:bookmarkStart w:id="1018" w:name="_Toc597"/>
      <w:bookmarkStart w:id="1019" w:name="_Toc27268"/>
      <w:r>
        <w:rPr>
          <w:rFonts w:hint="eastAsia" w:ascii="黑体" w:hAnsi="黑体" w:eastAsia="黑体"/>
          <w:b w:val="0"/>
          <w:color w:val="000000" w:themeColor="text1"/>
          <w:highlight w:val="none"/>
          <w14:textFill>
            <w14:solidFill>
              <w14:schemeClr w14:val="tx1"/>
            </w14:solidFill>
          </w14:textFill>
        </w:rPr>
        <w:t>三、技术文件</w:t>
      </w:r>
      <w:bookmarkEnd w:id="1013"/>
      <w:bookmarkEnd w:id="1014"/>
      <w:bookmarkEnd w:id="1015"/>
      <w:bookmarkEnd w:id="1016"/>
      <w:r>
        <w:rPr>
          <w:rStyle w:val="49"/>
          <w:rFonts w:ascii="黑体" w:hAnsi="黑体" w:eastAsia="黑体"/>
          <w:b w:val="0"/>
          <w:color w:val="000000" w:themeColor="text1"/>
          <w:highlight w:val="none"/>
          <w14:textFill>
            <w14:solidFill>
              <w14:schemeClr w14:val="tx1"/>
            </w14:solidFill>
          </w14:textFill>
        </w:rPr>
        <w:footnoteReference w:id="116"/>
      </w:r>
      <w:bookmarkEnd w:id="1017"/>
      <w:bookmarkEnd w:id="1018"/>
      <w:bookmarkEnd w:id="1019"/>
    </w:p>
    <w:p w14:paraId="37851901">
      <w:pPr>
        <w:pStyle w:val="3"/>
        <w:spacing w:before="0" w:after="0" w:line="360" w:lineRule="auto"/>
        <w:rPr>
          <w:rFonts w:ascii="宋体" w:hAnsi="宋体" w:eastAsia="宋体"/>
          <w:color w:val="000000" w:themeColor="text1"/>
          <w:sz w:val="24"/>
          <w:szCs w:val="24"/>
          <w:highlight w:val="none"/>
          <w14:textFill>
            <w14:solidFill>
              <w14:schemeClr w14:val="tx1"/>
            </w14:solidFill>
          </w14:textFill>
        </w:rPr>
      </w:pPr>
    </w:p>
    <w:p w14:paraId="73CE9F9E">
      <w:pPr>
        <w:ind w:firstLine="480" w:firstLineChars="200"/>
        <w:rPr>
          <w:rFonts w:ascii="宋体" w:hAnsi="宋体"/>
          <w:color w:val="000000" w:themeColor="text1"/>
          <w:sz w:val="24"/>
          <w:szCs w:val="24"/>
          <w:highlight w:val="none"/>
          <w14:textFill>
            <w14:solidFill>
              <w14:schemeClr w14:val="tx1"/>
            </w14:solidFill>
          </w14:textFill>
        </w:rPr>
      </w:pPr>
    </w:p>
    <w:p w14:paraId="7835B774">
      <w:pPr>
        <w:ind w:firstLine="480" w:firstLineChars="200"/>
        <w:rPr>
          <w:rFonts w:ascii="宋体" w:hAnsi="宋体"/>
          <w:color w:val="000000" w:themeColor="text1"/>
          <w:sz w:val="24"/>
          <w:szCs w:val="24"/>
          <w:highlight w:val="none"/>
          <w14:textFill>
            <w14:solidFill>
              <w14:schemeClr w14:val="tx1"/>
            </w14:solidFill>
          </w14:textFill>
        </w:rPr>
      </w:pPr>
    </w:p>
    <w:p w14:paraId="66E2F984">
      <w:pPr>
        <w:ind w:firstLine="480" w:firstLineChars="200"/>
        <w:rPr>
          <w:rFonts w:ascii="宋体" w:hAnsi="宋体"/>
          <w:color w:val="000000" w:themeColor="text1"/>
          <w:sz w:val="24"/>
          <w:szCs w:val="24"/>
          <w:highlight w:val="none"/>
          <w14:textFill>
            <w14:solidFill>
              <w14:schemeClr w14:val="tx1"/>
            </w14:solidFill>
          </w14:textFill>
        </w:rPr>
      </w:pPr>
    </w:p>
    <w:p w14:paraId="6AD4E8F2">
      <w:pPr>
        <w:ind w:firstLine="480" w:firstLineChars="200"/>
        <w:rPr>
          <w:rFonts w:ascii="宋体" w:hAnsi="宋体"/>
          <w:color w:val="000000" w:themeColor="text1"/>
          <w:sz w:val="24"/>
          <w:szCs w:val="24"/>
          <w:highlight w:val="none"/>
          <w14:textFill>
            <w14:solidFill>
              <w14:schemeClr w14:val="tx1"/>
            </w14:solidFill>
          </w14:textFill>
        </w:rPr>
      </w:pPr>
    </w:p>
    <w:p w14:paraId="1F45FC6D">
      <w:pPr>
        <w:ind w:firstLine="480" w:firstLineChars="200"/>
        <w:rPr>
          <w:rFonts w:ascii="宋体" w:hAnsi="宋体"/>
          <w:color w:val="000000" w:themeColor="text1"/>
          <w:sz w:val="24"/>
          <w:szCs w:val="24"/>
          <w:highlight w:val="none"/>
          <w14:textFill>
            <w14:solidFill>
              <w14:schemeClr w14:val="tx1"/>
            </w14:solidFill>
          </w14:textFill>
        </w:rPr>
      </w:pPr>
    </w:p>
    <w:p w14:paraId="71C1961B">
      <w:pPr>
        <w:ind w:firstLine="480" w:firstLineChars="200"/>
        <w:rPr>
          <w:rFonts w:ascii="宋体" w:hAnsi="宋体"/>
          <w:color w:val="000000" w:themeColor="text1"/>
          <w:sz w:val="24"/>
          <w:szCs w:val="24"/>
          <w:highlight w:val="none"/>
          <w14:textFill>
            <w14:solidFill>
              <w14:schemeClr w14:val="tx1"/>
            </w14:solidFill>
          </w14:textFill>
        </w:rPr>
      </w:pPr>
    </w:p>
    <w:p w14:paraId="4F1E5723">
      <w:pPr>
        <w:ind w:firstLine="480" w:firstLineChars="200"/>
        <w:rPr>
          <w:rFonts w:ascii="宋体" w:hAnsi="宋体"/>
          <w:color w:val="000000" w:themeColor="text1"/>
          <w:sz w:val="24"/>
          <w:szCs w:val="24"/>
          <w:highlight w:val="none"/>
          <w14:textFill>
            <w14:solidFill>
              <w14:schemeClr w14:val="tx1"/>
            </w14:solidFill>
          </w14:textFill>
        </w:rPr>
      </w:pPr>
    </w:p>
    <w:p w14:paraId="4ABFA0F8">
      <w:pPr>
        <w:ind w:firstLine="480" w:firstLineChars="200"/>
        <w:rPr>
          <w:rFonts w:ascii="宋体" w:hAnsi="宋体"/>
          <w:color w:val="000000" w:themeColor="text1"/>
          <w:sz w:val="24"/>
          <w:szCs w:val="24"/>
          <w:highlight w:val="none"/>
          <w14:textFill>
            <w14:solidFill>
              <w14:schemeClr w14:val="tx1"/>
            </w14:solidFill>
          </w14:textFill>
        </w:rPr>
      </w:pPr>
    </w:p>
    <w:p w14:paraId="3F182D77">
      <w:pPr>
        <w:ind w:firstLine="480" w:firstLineChars="200"/>
        <w:rPr>
          <w:rFonts w:ascii="宋体" w:hAnsi="宋体"/>
          <w:color w:val="000000" w:themeColor="text1"/>
          <w:sz w:val="24"/>
          <w:szCs w:val="24"/>
          <w:highlight w:val="none"/>
          <w14:textFill>
            <w14:solidFill>
              <w14:schemeClr w14:val="tx1"/>
            </w14:solidFill>
          </w14:textFill>
        </w:rPr>
      </w:pPr>
    </w:p>
    <w:p w14:paraId="2C081976">
      <w:pPr>
        <w:ind w:firstLine="480" w:firstLineChars="200"/>
        <w:rPr>
          <w:rFonts w:ascii="宋体" w:hAnsi="宋体"/>
          <w:color w:val="000000" w:themeColor="text1"/>
          <w:sz w:val="24"/>
          <w:szCs w:val="24"/>
          <w:highlight w:val="none"/>
          <w14:textFill>
            <w14:solidFill>
              <w14:schemeClr w14:val="tx1"/>
            </w14:solidFill>
          </w14:textFill>
        </w:rPr>
      </w:pPr>
    </w:p>
    <w:p w14:paraId="6555D605">
      <w:pPr>
        <w:ind w:firstLine="480" w:firstLineChars="200"/>
        <w:rPr>
          <w:rFonts w:ascii="宋体" w:hAnsi="宋体"/>
          <w:color w:val="000000" w:themeColor="text1"/>
          <w:sz w:val="24"/>
          <w:szCs w:val="24"/>
          <w:highlight w:val="none"/>
          <w14:textFill>
            <w14:solidFill>
              <w14:schemeClr w14:val="tx1"/>
            </w14:solidFill>
          </w14:textFill>
        </w:rPr>
      </w:pPr>
    </w:p>
    <w:p w14:paraId="55DC309E">
      <w:pPr>
        <w:ind w:firstLine="480" w:firstLineChars="200"/>
        <w:rPr>
          <w:rFonts w:ascii="宋体" w:hAnsi="宋体"/>
          <w:color w:val="000000" w:themeColor="text1"/>
          <w:sz w:val="24"/>
          <w:szCs w:val="24"/>
          <w:highlight w:val="none"/>
          <w14:textFill>
            <w14:solidFill>
              <w14:schemeClr w14:val="tx1"/>
            </w14:solidFill>
          </w14:textFill>
        </w:rPr>
      </w:pPr>
    </w:p>
    <w:p w14:paraId="491C4AEA">
      <w:pPr>
        <w:ind w:firstLine="480" w:firstLineChars="200"/>
        <w:rPr>
          <w:rFonts w:ascii="宋体" w:hAnsi="宋体"/>
          <w:color w:val="000000" w:themeColor="text1"/>
          <w:sz w:val="24"/>
          <w:szCs w:val="24"/>
          <w:highlight w:val="none"/>
          <w14:textFill>
            <w14:solidFill>
              <w14:schemeClr w14:val="tx1"/>
            </w14:solidFill>
          </w14:textFill>
        </w:rPr>
      </w:pPr>
    </w:p>
    <w:p w14:paraId="79A4279A">
      <w:pPr>
        <w:ind w:firstLine="480" w:firstLineChars="200"/>
        <w:rPr>
          <w:rFonts w:ascii="宋体" w:hAnsi="宋体"/>
          <w:color w:val="000000" w:themeColor="text1"/>
          <w:sz w:val="24"/>
          <w:szCs w:val="24"/>
          <w:highlight w:val="none"/>
          <w14:textFill>
            <w14:solidFill>
              <w14:schemeClr w14:val="tx1"/>
            </w14:solidFill>
          </w14:textFill>
        </w:rPr>
      </w:pPr>
    </w:p>
    <w:p w14:paraId="01A9DA60">
      <w:pPr>
        <w:ind w:firstLine="480" w:firstLineChars="200"/>
        <w:rPr>
          <w:rFonts w:ascii="宋体" w:hAnsi="宋体"/>
          <w:color w:val="000000" w:themeColor="text1"/>
          <w:sz w:val="24"/>
          <w:szCs w:val="24"/>
          <w:highlight w:val="none"/>
          <w14:textFill>
            <w14:solidFill>
              <w14:schemeClr w14:val="tx1"/>
            </w14:solidFill>
          </w14:textFill>
        </w:rPr>
      </w:pPr>
    </w:p>
    <w:p w14:paraId="29636165">
      <w:pPr>
        <w:ind w:firstLine="480" w:firstLineChars="200"/>
        <w:rPr>
          <w:rFonts w:ascii="宋体" w:hAnsi="宋体"/>
          <w:color w:val="000000" w:themeColor="text1"/>
          <w:sz w:val="24"/>
          <w:szCs w:val="24"/>
          <w:highlight w:val="none"/>
          <w14:textFill>
            <w14:solidFill>
              <w14:schemeClr w14:val="tx1"/>
            </w14:solidFill>
          </w14:textFill>
        </w:rPr>
      </w:pPr>
    </w:p>
    <w:p w14:paraId="17E04BA6">
      <w:pPr>
        <w:ind w:firstLine="480" w:firstLineChars="200"/>
        <w:rPr>
          <w:rFonts w:ascii="宋体" w:hAnsi="宋体"/>
          <w:color w:val="000000" w:themeColor="text1"/>
          <w:sz w:val="24"/>
          <w:szCs w:val="24"/>
          <w:highlight w:val="none"/>
          <w14:textFill>
            <w14:solidFill>
              <w14:schemeClr w14:val="tx1"/>
            </w14:solidFill>
          </w14:textFill>
        </w:rPr>
      </w:pPr>
    </w:p>
    <w:p w14:paraId="5B0B806A">
      <w:pPr>
        <w:ind w:firstLine="480" w:firstLineChars="200"/>
        <w:rPr>
          <w:rFonts w:ascii="宋体" w:hAnsi="宋体"/>
          <w:color w:val="000000" w:themeColor="text1"/>
          <w:sz w:val="24"/>
          <w:szCs w:val="24"/>
          <w:highlight w:val="none"/>
          <w14:textFill>
            <w14:solidFill>
              <w14:schemeClr w14:val="tx1"/>
            </w14:solidFill>
          </w14:textFill>
        </w:rPr>
      </w:pPr>
    </w:p>
    <w:p w14:paraId="413A385E">
      <w:pPr>
        <w:ind w:firstLine="480" w:firstLineChars="200"/>
        <w:rPr>
          <w:rFonts w:ascii="宋体" w:hAnsi="宋体"/>
          <w:color w:val="000000" w:themeColor="text1"/>
          <w:sz w:val="24"/>
          <w:szCs w:val="24"/>
          <w:highlight w:val="none"/>
          <w14:textFill>
            <w14:solidFill>
              <w14:schemeClr w14:val="tx1"/>
            </w14:solidFill>
          </w14:textFill>
        </w:rPr>
      </w:pPr>
    </w:p>
    <w:p w14:paraId="32C1188D">
      <w:pPr>
        <w:ind w:firstLine="480" w:firstLineChars="200"/>
        <w:rPr>
          <w:rFonts w:ascii="宋体" w:hAnsi="宋体"/>
          <w:color w:val="000000" w:themeColor="text1"/>
          <w:sz w:val="24"/>
          <w:szCs w:val="24"/>
          <w:highlight w:val="none"/>
          <w14:textFill>
            <w14:solidFill>
              <w14:schemeClr w14:val="tx1"/>
            </w14:solidFill>
          </w14:textFill>
        </w:rPr>
      </w:pPr>
    </w:p>
    <w:p w14:paraId="6B7489B0">
      <w:pPr>
        <w:ind w:firstLine="480" w:firstLineChars="200"/>
        <w:rPr>
          <w:rFonts w:ascii="宋体" w:hAnsi="宋体"/>
          <w:color w:val="000000" w:themeColor="text1"/>
          <w:sz w:val="24"/>
          <w:szCs w:val="24"/>
          <w:highlight w:val="none"/>
          <w14:textFill>
            <w14:solidFill>
              <w14:schemeClr w14:val="tx1"/>
            </w14:solidFill>
          </w14:textFill>
        </w:rPr>
      </w:pPr>
    </w:p>
    <w:p w14:paraId="4186FF50">
      <w:pPr>
        <w:ind w:firstLine="480" w:firstLineChars="200"/>
        <w:rPr>
          <w:rFonts w:ascii="宋体" w:hAnsi="宋体"/>
          <w:color w:val="000000" w:themeColor="text1"/>
          <w:sz w:val="24"/>
          <w:szCs w:val="24"/>
          <w:highlight w:val="none"/>
          <w14:textFill>
            <w14:solidFill>
              <w14:schemeClr w14:val="tx1"/>
            </w14:solidFill>
          </w14:textFill>
        </w:rPr>
      </w:pPr>
    </w:p>
    <w:p w14:paraId="4F905932">
      <w:pPr>
        <w:snapToGrid w:val="0"/>
        <w:spacing w:line="300" w:lineRule="auto"/>
        <w:rPr>
          <w:rFonts w:ascii="宋体"/>
          <w:color w:val="000000" w:themeColor="text1"/>
          <w:sz w:val="24"/>
          <w:szCs w:val="24"/>
          <w:highlight w:val="none"/>
          <w14:textFill>
            <w14:solidFill>
              <w14:schemeClr w14:val="tx1"/>
            </w14:solidFill>
          </w14:textFill>
        </w:rPr>
      </w:pPr>
    </w:p>
    <w:p w14:paraId="52835D73">
      <w:pPr>
        <w:snapToGrid w:val="0"/>
        <w:spacing w:line="30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（此为样本，实际使用A3纸幅面）</w:t>
      </w:r>
    </w:p>
    <w:p w14:paraId="6F89BAE9">
      <w:pPr>
        <w:snapToGrid w:val="0"/>
        <w:spacing w:line="760" w:lineRule="exact"/>
        <w:rPr>
          <w:rFonts w:ascii="宋体"/>
          <w:color w:val="000000" w:themeColor="text1"/>
          <w:sz w:val="28"/>
          <w:highlight w:val="none"/>
          <w14:textFill>
            <w14:solidFill>
              <w14:schemeClr w14:val="tx1"/>
            </w14:solidFill>
          </w14:textFill>
        </w:rPr>
      </w:pPr>
    </w:p>
    <w:p w14:paraId="6E3B1DF9">
      <w:pPr>
        <w:snapToGrid w:val="0"/>
        <w:spacing w:line="360" w:lineRule="auto"/>
        <w:ind w:firstLine="2160" w:firstLineChars="600"/>
        <w:rPr>
          <w:rFonts w:ascii="宋体"/>
          <w:color w:val="000000" w:themeColor="text1"/>
          <w:sz w:val="36"/>
          <w:szCs w:val="36"/>
          <w:highlight w:val="none"/>
          <w:u w:val="single"/>
          <w14:textFill>
            <w14:solidFill>
              <w14:schemeClr w14:val="tx1"/>
            </w14:solidFill>
          </w14:textFill>
        </w:rPr>
      </w:pPr>
      <w:r>
        <w:rPr>
          <w:rFonts w:hint="eastAsia" w:ascii="宋体"/>
          <w:color w:val="000000" w:themeColor="text1"/>
          <w:sz w:val="36"/>
          <w:szCs w:val="36"/>
          <w:highlight w:val="none"/>
          <w14:textFill>
            <w14:solidFill>
              <w14:schemeClr w14:val="tx1"/>
            </w14:solidFill>
          </w14:textFill>
        </w:rPr>
        <w:t>项目名称</w:t>
      </w:r>
      <w:r>
        <w:rPr>
          <w:rFonts w:hint="eastAsia" w:ascii="宋体" w:hAnsi="宋体"/>
          <w:color w:val="000000" w:themeColor="text1"/>
          <w:sz w:val="32"/>
          <w:szCs w:val="32"/>
          <w:highlight w:val="none"/>
          <w14:textFill>
            <w14:solidFill>
              <w14:schemeClr w14:val="tx1"/>
            </w14:solidFill>
          </w14:textFill>
        </w:rPr>
        <w:t>：</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u w:val="single"/>
          <w14:textFill>
            <w14:solidFill>
              <w14:schemeClr w14:val="tx1"/>
            </w14:solidFill>
          </w14:textFill>
        </w:rPr>
        <w:t xml:space="preserve">        </w:t>
      </w:r>
    </w:p>
    <w:p w14:paraId="1F916D00">
      <w:pPr>
        <w:snapToGrid w:val="0"/>
        <w:spacing w:line="360" w:lineRule="auto"/>
        <w:ind w:firstLine="2160" w:firstLineChars="600"/>
        <w:jc w:val="both"/>
        <w:rPr>
          <w:rFonts w:hint="default" w:ascii="黑体" w:hAnsi="黑体" w:eastAsia="宋体"/>
          <w:b/>
          <w:color w:val="000000" w:themeColor="text1"/>
          <w:sz w:val="72"/>
          <w:szCs w:val="72"/>
          <w:highlight w:val="none"/>
          <w:u w:val="single"/>
          <w:lang w:val="en-US" w:eastAsia="zh-CN"/>
          <w14:textFill>
            <w14:solidFill>
              <w14:schemeClr w14:val="tx1"/>
            </w14:solidFill>
          </w14:textFill>
        </w:rPr>
      </w:pPr>
      <w:r>
        <w:rPr>
          <w:rFonts w:hint="eastAsia" w:ascii="宋体"/>
          <w:color w:val="000000" w:themeColor="text1"/>
          <w:sz w:val="36"/>
          <w:szCs w:val="36"/>
          <w:highlight w:val="none"/>
          <w14:textFill>
            <w14:solidFill>
              <w14:schemeClr w14:val="tx1"/>
            </w14:solidFill>
          </w14:textFill>
        </w:rPr>
        <w:t>招标</w:t>
      </w:r>
      <w:r>
        <w:rPr>
          <w:rFonts w:hint="eastAsia" w:ascii="宋体"/>
          <w:color w:val="000000" w:themeColor="text1"/>
          <w:sz w:val="36"/>
          <w:szCs w:val="36"/>
          <w:highlight w:val="none"/>
          <w:lang w:val="en-US" w:eastAsia="zh-CN"/>
          <w14:textFill>
            <w14:solidFill>
              <w14:schemeClr w14:val="tx1"/>
            </w14:solidFill>
          </w14:textFill>
        </w:rPr>
        <w:t>项目</w:t>
      </w:r>
      <w:r>
        <w:rPr>
          <w:rFonts w:hint="eastAsia" w:ascii="宋体"/>
          <w:color w:val="000000" w:themeColor="text1"/>
          <w:sz w:val="36"/>
          <w:szCs w:val="36"/>
          <w:highlight w:val="none"/>
          <w14:textFill>
            <w14:solidFill>
              <w14:schemeClr w14:val="tx1"/>
            </w14:solidFill>
          </w14:textFill>
        </w:rPr>
        <w:t>编号</w:t>
      </w:r>
      <w:r>
        <w:rPr>
          <w:rFonts w:hint="eastAsia" w:ascii="宋体" w:hAnsi="宋体"/>
          <w:color w:val="000000" w:themeColor="text1"/>
          <w:sz w:val="32"/>
          <w:szCs w:val="32"/>
          <w:highlight w:val="none"/>
          <w14:textFill>
            <w14:solidFill>
              <w14:schemeClr w14:val="tx1"/>
            </w14:solidFill>
          </w14:textFill>
        </w:rPr>
        <w:t>：</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p>
    <w:p w14:paraId="5CC41C99">
      <w:pPr>
        <w:snapToGrid w:val="0"/>
        <w:spacing w:beforeLines="1000" w:line="36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设计说明和设计图纸</w:t>
      </w:r>
    </w:p>
    <w:p w14:paraId="74795B9E">
      <w:pPr>
        <w:snapToGrid w:val="0"/>
        <w:spacing w:beforeLines="50" w:line="36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汇编本</w:t>
      </w:r>
    </w:p>
    <w:p w14:paraId="482134F4">
      <w:pPr>
        <w:snapToGrid w:val="0"/>
        <w:spacing w:line="300" w:lineRule="auto"/>
        <w:rPr>
          <w:rFonts w:ascii="宋体"/>
          <w:color w:val="000000" w:themeColor="text1"/>
          <w:sz w:val="24"/>
          <w:szCs w:val="24"/>
          <w:highlight w:val="none"/>
          <w14:textFill>
            <w14:solidFill>
              <w14:schemeClr w14:val="tx1"/>
            </w14:solidFill>
          </w14:textFill>
        </w:rPr>
      </w:pPr>
    </w:p>
    <w:p w14:paraId="1232CEA2">
      <w:pPr>
        <w:snapToGrid w:val="0"/>
        <w:spacing w:line="300" w:lineRule="auto"/>
        <w:rPr>
          <w:rFonts w:ascii="宋体"/>
          <w:color w:val="000000" w:themeColor="text1"/>
          <w:sz w:val="24"/>
          <w:szCs w:val="24"/>
          <w:highlight w:val="none"/>
          <w14:textFill>
            <w14:solidFill>
              <w14:schemeClr w14:val="tx1"/>
            </w14:solidFill>
          </w14:textFill>
        </w:rPr>
      </w:pPr>
    </w:p>
    <w:p w14:paraId="77A84190">
      <w:pPr>
        <w:snapToGrid w:val="0"/>
        <w:spacing w:line="300" w:lineRule="auto"/>
        <w:rPr>
          <w:rFonts w:ascii="宋体"/>
          <w:color w:val="000000" w:themeColor="text1"/>
          <w:sz w:val="24"/>
          <w:szCs w:val="24"/>
          <w:highlight w:val="none"/>
          <w14:textFill>
            <w14:solidFill>
              <w14:schemeClr w14:val="tx1"/>
            </w14:solidFill>
          </w14:textFill>
        </w:rPr>
      </w:pPr>
    </w:p>
    <w:p w14:paraId="05047D6E">
      <w:pPr>
        <w:snapToGrid w:val="0"/>
        <w:spacing w:line="300" w:lineRule="auto"/>
        <w:rPr>
          <w:rFonts w:ascii="宋体"/>
          <w:color w:val="000000" w:themeColor="text1"/>
          <w:sz w:val="24"/>
          <w:szCs w:val="24"/>
          <w:highlight w:val="none"/>
          <w14:textFill>
            <w14:solidFill>
              <w14:schemeClr w14:val="tx1"/>
            </w14:solidFill>
          </w14:textFill>
        </w:rPr>
      </w:pPr>
    </w:p>
    <w:p w14:paraId="24FDF8E0">
      <w:pPr>
        <w:snapToGrid w:val="0"/>
        <w:spacing w:line="300" w:lineRule="auto"/>
        <w:rPr>
          <w:rFonts w:ascii="宋体"/>
          <w:color w:val="000000" w:themeColor="text1"/>
          <w:sz w:val="24"/>
          <w:szCs w:val="24"/>
          <w:highlight w:val="none"/>
          <w14:textFill>
            <w14:solidFill>
              <w14:schemeClr w14:val="tx1"/>
            </w14:solidFill>
          </w14:textFill>
        </w:rPr>
      </w:pPr>
    </w:p>
    <w:p w14:paraId="2AFB4D66">
      <w:pPr>
        <w:snapToGrid w:val="0"/>
        <w:spacing w:line="300" w:lineRule="auto"/>
        <w:rPr>
          <w:rFonts w:ascii="宋体"/>
          <w:color w:val="000000" w:themeColor="text1"/>
          <w:sz w:val="24"/>
          <w:szCs w:val="24"/>
          <w:highlight w:val="none"/>
          <w14:textFill>
            <w14:solidFill>
              <w14:schemeClr w14:val="tx1"/>
            </w14:solidFill>
          </w14:textFill>
        </w:rPr>
      </w:pPr>
    </w:p>
    <w:p w14:paraId="29334E3D">
      <w:pPr>
        <w:snapToGrid w:val="0"/>
        <w:spacing w:line="300" w:lineRule="auto"/>
        <w:rPr>
          <w:rFonts w:ascii="宋体"/>
          <w:color w:val="000000" w:themeColor="text1"/>
          <w:sz w:val="24"/>
          <w:szCs w:val="24"/>
          <w:highlight w:val="none"/>
          <w14:textFill>
            <w14:solidFill>
              <w14:schemeClr w14:val="tx1"/>
            </w14:solidFill>
          </w14:textFill>
        </w:rPr>
      </w:pPr>
    </w:p>
    <w:p w14:paraId="2422F47B">
      <w:pPr>
        <w:snapToGrid w:val="0"/>
        <w:spacing w:line="300" w:lineRule="auto"/>
        <w:rPr>
          <w:rFonts w:ascii="宋体"/>
          <w:color w:val="000000" w:themeColor="text1"/>
          <w:sz w:val="24"/>
          <w:szCs w:val="24"/>
          <w:highlight w:val="none"/>
          <w14:textFill>
            <w14:solidFill>
              <w14:schemeClr w14:val="tx1"/>
            </w14:solidFill>
          </w14:textFill>
        </w:rPr>
      </w:pPr>
    </w:p>
    <w:p w14:paraId="1D308341">
      <w:pPr>
        <w:snapToGrid w:val="0"/>
        <w:spacing w:line="300" w:lineRule="auto"/>
        <w:rPr>
          <w:rFonts w:ascii="宋体"/>
          <w:color w:val="000000" w:themeColor="text1"/>
          <w:sz w:val="24"/>
          <w:szCs w:val="24"/>
          <w:highlight w:val="none"/>
          <w14:textFill>
            <w14:solidFill>
              <w14:schemeClr w14:val="tx1"/>
            </w14:solidFill>
          </w14:textFill>
        </w:rPr>
      </w:pPr>
    </w:p>
    <w:p w14:paraId="3E529EF0">
      <w:pPr>
        <w:snapToGrid w:val="0"/>
        <w:spacing w:line="300" w:lineRule="auto"/>
        <w:rPr>
          <w:rFonts w:ascii="宋体"/>
          <w:color w:val="000000" w:themeColor="text1"/>
          <w:sz w:val="24"/>
          <w:szCs w:val="24"/>
          <w:highlight w:val="none"/>
          <w14:textFill>
            <w14:solidFill>
              <w14:schemeClr w14:val="tx1"/>
            </w14:solidFill>
          </w14:textFill>
        </w:rPr>
      </w:pPr>
    </w:p>
    <w:p w14:paraId="72474422">
      <w:pPr>
        <w:snapToGrid w:val="0"/>
        <w:spacing w:line="300" w:lineRule="auto"/>
        <w:rPr>
          <w:rFonts w:ascii="宋体"/>
          <w:color w:val="000000" w:themeColor="text1"/>
          <w:sz w:val="24"/>
          <w:szCs w:val="24"/>
          <w:highlight w:val="none"/>
          <w14:textFill>
            <w14:solidFill>
              <w14:schemeClr w14:val="tx1"/>
            </w14:solidFill>
          </w14:textFill>
        </w:rPr>
      </w:pPr>
    </w:p>
    <w:p w14:paraId="26AB6F07">
      <w:pPr>
        <w:snapToGrid w:val="0"/>
        <w:spacing w:line="300" w:lineRule="auto"/>
        <w:rPr>
          <w:rFonts w:ascii="宋体"/>
          <w:color w:val="000000" w:themeColor="text1"/>
          <w:sz w:val="24"/>
          <w:szCs w:val="24"/>
          <w:highlight w:val="none"/>
          <w14:textFill>
            <w14:solidFill>
              <w14:schemeClr w14:val="tx1"/>
            </w14:solidFill>
          </w14:textFill>
        </w:rPr>
      </w:pPr>
    </w:p>
    <w:p w14:paraId="27C6EA25">
      <w:pPr>
        <w:snapToGrid w:val="0"/>
        <w:spacing w:line="300" w:lineRule="auto"/>
        <w:rPr>
          <w:rFonts w:ascii="宋体"/>
          <w:color w:val="000000" w:themeColor="text1"/>
          <w:sz w:val="24"/>
          <w:szCs w:val="24"/>
          <w:highlight w:val="none"/>
          <w14:textFill>
            <w14:solidFill>
              <w14:schemeClr w14:val="tx1"/>
            </w14:solidFill>
          </w14:textFill>
        </w:rPr>
      </w:pPr>
    </w:p>
    <w:p w14:paraId="59FEB8B9">
      <w:pPr>
        <w:snapToGrid w:val="0"/>
        <w:spacing w:line="300" w:lineRule="auto"/>
        <w:rPr>
          <w:rFonts w:ascii="宋体"/>
          <w:color w:val="000000" w:themeColor="text1"/>
          <w:sz w:val="24"/>
          <w:szCs w:val="24"/>
          <w:highlight w:val="none"/>
          <w14:textFill>
            <w14:solidFill>
              <w14:schemeClr w14:val="tx1"/>
            </w14:solidFill>
          </w14:textFill>
        </w:rPr>
      </w:pPr>
    </w:p>
    <w:p w14:paraId="2B4BE1D7">
      <w:pPr>
        <w:snapToGrid w:val="0"/>
        <w:spacing w:line="30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（此为样本，实际使用A4纸幅面）</w:t>
      </w:r>
    </w:p>
    <w:p w14:paraId="1FE708DE">
      <w:pPr>
        <w:snapToGrid w:val="0"/>
        <w:spacing w:line="760" w:lineRule="exact"/>
        <w:rPr>
          <w:rFonts w:ascii="宋体"/>
          <w:color w:val="000000" w:themeColor="text1"/>
          <w:sz w:val="28"/>
          <w:highlight w:val="none"/>
          <w14:textFill>
            <w14:solidFill>
              <w14:schemeClr w14:val="tx1"/>
            </w14:solidFill>
          </w14:textFill>
        </w:rPr>
      </w:pPr>
    </w:p>
    <w:p w14:paraId="4EEF7B97">
      <w:pPr>
        <w:snapToGrid w:val="0"/>
        <w:spacing w:line="360" w:lineRule="auto"/>
        <w:ind w:firstLine="2160" w:firstLineChars="600"/>
        <w:jc w:val="both"/>
        <w:rPr>
          <w:rFonts w:hint="default" w:ascii="宋体" w:eastAsia="宋体"/>
          <w:color w:val="000000" w:themeColor="text1"/>
          <w:sz w:val="36"/>
          <w:szCs w:val="36"/>
          <w:highlight w:val="none"/>
          <w:u w:val="single"/>
          <w:lang w:val="en-US" w:eastAsia="zh-CN"/>
          <w14:textFill>
            <w14:solidFill>
              <w14:schemeClr w14:val="tx1"/>
            </w14:solidFill>
          </w14:textFill>
        </w:rPr>
      </w:pPr>
      <w:r>
        <w:rPr>
          <w:rFonts w:hint="eastAsia" w:ascii="宋体"/>
          <w:color w:val="000000" w:themeColor="text1"/>
          <w:sz w:val="36"/>
          <w:szCs w:val="36"/>
          <w:highlight w:val="none"/>
          <w14:textFill>
            <w14:solidFill>
              <w14:schemeClr w14:val="tx1"/>
            </w14:solidFill>
          </w14:textFill>
        </w:rPr>
        <w:t>项目名称</w:t>
      </w:r>
      <w:r>
        <w:rPr>
          <w:rFonts w:hint="eastAsia" w:ascii="宋体" w:hAnsi="宋体"/>
          <w:color w:val="000000" w:themeColor="text1"/>
          <w:sz w:val="32"/>
          <w:szCs w:val="32"/>
          <w:highlight w:val="none"/>
          <w14:textFill>
            <w14:solidFill>
              <w14:schemeClr w14:val="tx1"/>
            </w14:solidFill>
          </w14:textFill>
        </w:rPr>
        <w:t>：</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p>
    <w:p w14:paraId="78B5976A">
      <w:pPr>
        <w:snapToGrid w:val="0"/>
        <w:spacing w:line="360" w:lineRule="auto"/>
        <w:ind w:firstLine="2160" w:firstLineChars="600"/>
        <w:jc w:val="both"/>
        <w:rPr>
          <w:rFonts w:hint="default" w:ascii="黑体" w:hAnsi="黑体" w:eastAsia="宋体"/>
          <w:b/>
          <w:color w:val="000000" w:themeColor="text1"/>
          <w:sz w:val="72"/>
          <w:szCs w:val="72"/>
          <w:highlight w:val="none"/>
          <w:u w:val="single"/>
          <w:lang w:val="en-US" w:eastAsia="zh-CN"/>
          <w14:textFill>
            <w14:solidFill>
              <w14:schemeClr w14:val="tx1"/>
            </w14:solidFill>
          </w14:textFill>
        </w:rPr>
      </w:pPr>
      <w:r>
        <w:rPr>
          <w:rFonts w:hint="eastAsia" w:ascii="宋体"/>
          <w:color w:val="000000" w:themeColor="text1"/>
          <w:sz w:val="36"/>
          <w:szCs w:val="36"/>
          <w:highlight w:val="none"/>
          <w14:textFill>
            <w14:solidFill>
              <w14:schemeClr w14:val="tx1"/>
            </w14:solidFill>
          </w14:textFill>
        </w:rPr>
        <w:t>招标</w:t>
      </w:r>
      <w:r>
        <w:rPr>
          <w:rFonts w:hint="eastAsia" w:ascii="宋体"/>
          <w:color w:val="000000" w:themeColor="text1"/>
          <w:sz w:val="36"/>
          <w:szCs w:val="36"/>
          <w:highlight w:val="none"/>
          <w:lang w:val="en-US" w:eastAsia="zh-CN"/>
          <w14:textFill>
            <w14:solidFill>
              <w14:schemeClr w14:val="tx1"/>
            </w14:solidFill>
          </w14:textFill>
        </w:rPr>
        <w:t>项目</w:t>
      </w:r>
      <w:r>
        <w:rPr>
          <w:rFonts w:hint="eastAsia" w:ascii="宋体"/>
          <w:color w:val="000000" w:themeColor="text1"/>
          <w:sz w:val="36"/>
          <w:szCs w:val="36"/>
          <w:highlight w:val="none"/>
          <w14:textFill>
            <w14:solidFill>
              <w14:schemeClr w14:val="tx1"/>
            </w14:solidFill>
          </w14:textFill>
        </w:rPr>
        <w:t>编号</w:t>
      </w:r>
      <w:r>
        <w:rPr>
          <w:rFonts w:hint="eastAsia" w:ascii="宋体" w:hAnsi="宋体"/>
          <w:color w:val="000000" w:themeColor="text1"/>
          <w:sz w:val="32"/>
          <w:szCs w:val="32"/>
          <w:highlight w:val="none"/>
          <w14:textFill>
            <w14:solidFill>
              <w14:schemeClr w14:val="tx1"/>
            </w14:solidFill>
          </w14:textFill>
        </w:rPr>
        <w:t>：</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p>
    <w:p w14:paraId="474333A0">
      <w:pPr>
        <w:snapToGrid w:val="0"/>
        <w:spacing w:beforeLines="1000" w:line="36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勘察纲要</w:t>
      </w:r>
    </w:p>
    <w:p w14:paraId="098840A4">
      <w:pPr>
        <w:snapToGrid w:val="0"/>
        <w:spacing w:line="360" w:lineRule="auto"/>
        <w:jc w:val="center"/>
        <w:rPr>
          <w:rFonts w:ascii="宋体" w:hAnsi="宋体"/>
          <w:b/>
          <w:color w:val="000000" w:themeColor="text1"/>
          <w:sz w:val="72"/>
          <w:szCs w:val="72"/>
          <w:highlight w:val="none"/>
          <w14:textFill>
            <w14:solidFill>
              <w14:schemeClr w14:val="tx1"/>
            </w14:solidFill>
          </w14:textFill>
        </w:rPr>
      </w:pPr>
    </w:p>
    <w:p w14:paraId="2184AF55">
      <w:pPr>
        <w:snapToGrid w:val="0"/>
        <w:spacing w:line="360" w:lineRule="auto"/>
        <w:jc w:val="center"/>
        <w:rPr>
          <w:rFonts w:ascii="宋体" w:hAnsi="宋体"/>
          <w:b/>
          <w:color w:val="000000" w:themeColor="text1"/>
          <w:sz w:val="72"/>
          <w:szCs w:val="72"/>
          <w:highlight w:val="none"/>
          <w14:textFill>
            <w14:solidFill>
              <w14:schemeClr w14:val="tx1"/>
            </w14:solidFill>
          </w14:textFill>
        </w:rPr>
      </w:pPr>
    </w:p>
    <w:p w14:paraId="0EEAE374">
      <w:pPr>
        <w:spacing w:line="300" w:lineRule="auto"/>
        <w:rPr>
          <w:rFonts w:ascii="宋体" w:hAnsi="宋体"/>
          <w:color w:val="000000" w:themeColor="text1"/>
          <w:sz w:val="24"/>
          <w:szCs w:val="24"/>
          <w:highlight w:val="none"/>
          <w14:textFill>
            <w14:solidFill>
              <w14:schemeClr w14:val="tx1"/>
            </w14:solidFill>
          </w14:textFill>
        </w:rPr>
      </w:pPr>
    </w:p>
    <w:p w14:paraId="551CD82F">
      <w:pPr>
        <w:spacing w:line="300" w:lineRule="auto"/>
        <w:rPr>
          <w:rFonts w:ascii="宋体" w:hAnsi="宋体"/>
          <w:color w:val="000000" w:themeColor="text1"/>
          <w:sz w:val="24"/>
          <w:szCs w:val="24"/>
          <w:highlight w:val="none"/>
          <w14:textFill>
            <w14:solidFill>
              <w14:schemeClr w14:val="tx1"/>
            </w14:solidFill>
          </w14:textFill>
        </w:rPr>
      </w:pPr>
    </w:p>
    <w:p w14:paraId="710F622E">
      <w:pPr>
        <w:spacing w:line="300" w:lineRule="auto"/>
        <w:rPr>
          <w:rFonts w:ascii="宋体" w:hAnsi="宋体"/>
          <w:color w:val="000000" w:themeColor="text1"/>
          <w:sz w:val="24"/>
          <w:szCs w:val="24"/>
          <w:highlight w:val="none"/>
          <w14:textFill>
            <w14:solidFill>
              <w14:schemeClr w14:val="tx1"/>
            </w14:solidFill>
          </w14:textFill>
        </w:rPr>
      </w:pPr>
    </w:p>
    <w:p w14:paraId="333AEA96">
      <w:pPr>
        <w:spacing w:after="100" w:afterAutospacing="1" w:line="360" w:lineRule="auto"/>
        <w:rPr>
          <w:rFonts w:ascii="宋体" w:hAnsi="宋体"/>
          <w:color w:val="000000" w:themeColor="text1"/>
          <w:sz w:val="21"/>
          <w:szCs w:val="21"/>
          <w:highlight w:val="none"/>
          <w14:textFill>
            <w14:solidFill>
              <w14:schemeClr w14:val="tx1"/>
            </w14:solidFill>
          </w14:textFill>
        </w:rPr>
      </w:pPr>
    </w:p>
    <w:p w14:paraId="06A596F0">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sectPr>
      <w:footnotePr>
        <w:numFmt w:val="decimalEnclosedCircleChinese"/>
        <w:numRestart w:val="eachPage"/>
      </w:footnotePr>
      <w:pgSz w:w="11906" w:h="16838"/>
      <w:pgMar w:top="1276" w:right="1559" w:bottom="1559" w:left="1418"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瀹嬩綋">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方正公文小标宋">
    <w:altName w:val="宋体"/>
    <w:panose1 w:val="02000500000000000000"/>
    <w:charset w:val="86"/>
    <w:family w:val="auto"/>
    <w:pitch w:val="default"/>
    <w:sig w:usb0="00000000" w:usb1="00000000" w:usb2="00000000" w:usb3="00000000" w:csb0="00000000" w:csb1="00000000"/>
  </w:font>
  <w:font w:name="å®‹ä½“">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_HKSCS">
    <w:panose1 w:val="02020500000000000000"/>
    <w:charset w:val="88"/>
    <w:family w:val="roman"/>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10601"/>
      <w:docPartObj>
        <w:docPartGallery w:val="autotext"/>
      </w:docPartObj>
    </w:sdtPr>
    <w:sdtContent>
      <w:p w14:paraId="177E57C6">
        <w:pPr>
          <w:pStyle w:val="27"/>
          <w:jc w:val="center"/>
        </w:pPr>
        <w:r>
          <w:fldChar w:fldCharType="begin"/>
        </w:r>
        <w:r>
          <w:instrText xml:space="preserve"> PAGE   \* MERGEFORMAT </w:instrText>
        </w:r>
        <w:r>
          <w:fldChar w:fldCharType="separate"/>
        </w:r>
        <w:r>
          <w:t>62</w:t>
        </w:r>
        <w:r>
          <w:fldChar w:fldCharType="end"/>
        </w:r>
      </w:p>
    </w:sdtContent>
  </w:sdt>
  <w:p w14:paraId="79B29842">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34">
    <w:p>
      <w:pPr>
        <w:spacing w:line="240" w:lineRule="auto"/>
      </w:pPr>
      <w:r>
        <w:separator/>
      </w:r>
    </w:p>
  </w:footnote>
  <w:footnote w:type="continuationSeparator" w:id="235">
    <w:p>
      <w:pPr>
        <w:spacing w:line="240" w:lineRule="auto"/>
      </w:pPr>
      <w:r>
        <w:continuationSeparator/>
      </w:r>
    </w:p>
  </w:footnote>
  <w:footnote w:id="0">
    <w:p w14:paraId="76F7FA9A">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填写招标项目名称、标段（如有时）。</w:t>
      </w:r>
    </w:p>
  </w:footnote>
  <w:footnote w:id="1">
    <w:p w14:paraId="636436C2">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填写招标项目名称、标段（如有时）。</w:t>
      </w:r>
    </w:p>
  </w:footnote>
  <w:footnote w:id="2">
    <w:p w14:paraId="11C328F1">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填写招标项目审批、核准或备案机关名称。</w:t>
      </w:r>
    </w:p>
  </w:footnote>
  <w:footnote w:id="3">
    <w:p w14:paraId="50EEBBAD">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填写招标项目批文名称、批文编号。</w:t>
      </w:r>
    </w:p>
  </w:footnote>
  <w:footnote w:id="4">
    <w:p w14:paraId="05CAAA67">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设计</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勘察设计。</w:t>
      </w:r>
    </w:p>
  </w:footnote>
  <w:footnote w:id="5">
    <w:p w14:paraId="06DC22CA">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填写用于确定企业资质及等级的相关数据。</w:t>
      </w:r>
    </w:p>
  </w:footnote>
  <w:footnote w:id="6">
    <w:p w14:paraId="17A1732B">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房屋建筑工程</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市政基础设施工程。</w:t>
      </w:r>
    </w:p>
  </w:footnote>
  <w:footnote w:id="7">
    <w:p w14:paraId="1D593CDB">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概念性方案设计招标</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实施性方案设计招标。</w:t>
      </w:r>
    </w:p>
  </w:footnote>
  <w:footnote w:id="8">
    <w:p w14:paraId="214A763D">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包含工程勘察[岩土工程勘察、工程测量、工程物探（含管线探测）]、方案设计、初步设计、概算、施工图设计、后续设计服务等，招标人根据招标项目实际准确填写。</w:t>
      </w:r>
    </w:p>
  </w:footnote>
  <w:footnote w:id="9">
    <w:p w14:paraId="17A5B93A">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房屋建筑工程根据招标实际填写如建筑安装工程、装修工程、室外总体工程等，市政基础设施工程填写如道路、桥梁、城市隧道、给水、排水、城镇燃气、轨道交通、公共交通等。</w:t>
      </w:r>
    </w:p>
  </w:footnote>
  <w:footnote w:id="10">
    <w:p w14:paraId="18E5C199">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方可填写应用。</w:t>
      </w:r>
    </w:p>
  </w:footnote>
  <w:footnote w:id="11">
    <w:p w14:paraId="667BD9C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填写与工程规模相适应的设计资质序列和等级要求，发包内容包含勘察的，还应写明与工程规模相适应的勘察资质序列和等级要求。</w:t>
      </w:r>
    </w:p>
  </w:footnote>
  <w:footnote w:id="12">
    <w:p w14:paraId="41051226">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接受</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不接受。</w:t>
      </w:r>
    </w:p>
  </w:footnote>
  <w:footnote w:id="13">
    <w:p w14:paraId="33F2203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填写设计负责人</w:t>
      </w:r>
      <w:r>
        <w:rPr>
          <w:rFonts w:hint="eastAsia" w:ascii="宋体" w:hAnsi="宋体" w:eastAsia="宋体" w:cs="宋体"/>
          <w:color w:val="000000" w:themeColor="text1"/>
          <w:sz w:val="15"/>
          <w:szCs w:val="15"/>
          <w:highlight w:val="none"/>
          <w:lang w:val="en-US" w:eastAsia="zh-CN"/>
          <w14:textFill>
            <w14:solidFill>
              <w14:schemeClr w14:val="tx1"/>
            </w14:solidFill>
          </w14:textFill>
        </w:rPr>
        <w:t>应具备</w:t>
      </w:r>
      <w:r>
        <w:rPr>
          <w:rFonts w:hint="eastAsia" w:ascii="宋体" w:hAnsi="宋体" w:eastAsia="宋体" w:cs="宋体"/>
          <w:color w:val="000000" w:themeColor="text1"/>
          <w:sz w:val="15"/>
          <w:szCs w:val="15"/>
          <w:highlight w:val="none"/>
          <w14:textFill>
            <w14:solidFill>
              <w14:schemeClr w14:val="tx1"/>
            </w14:solidFill>
          </w14:textFill>
        </w:rPr>
        <w:t>相应的执业资格或职称要求和等级。</w:t>
      </w:r>
    </w:p>
  </w:footnote>
  <w:footnote w:id="14">
    <w:p w14:paraId="116252C9">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填写0或1。</w:t>
      </w:r>
    </w:p>
  </w:footnote>
  <w:footnote w:id="15">
    <w:p w14:paraId="553BC2C1">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类似工程业绩的设置按照</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厦门市住房和建设局关于建设工程招标文件中类似工程业绩设置有关事项的补充通知</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厦住建建筑〔2024〕10号</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等</w:t>
      </w:r>
      <w:r>
        <w:rPr>
          <w:rFonts w:hint="eastAsia" w:ascii="宋体" w:hAnsi="宋体" w:eastAsia="宋体" w:cs="宋体"/>
          <w:color w:val="000000" w:themeColor="text1"/>
          <w:sz w:val="15"/>
          <w:szCs w:val="15"/>
          <w:highlight w:val="none"/>
          <w14:textFill>
            <w14:solidFill>
              <w14:schemeClr w14:val="tx1"/>
            </w14:solidFill>
          </w14:textFill>
        </w:rPr>
        <w:t>有关规定执行。</w:t>
      </w:r>
    </w:p>
  </w:footnote>
  <w:footnote w:id="16">
    <w:p w14:paraId="53F36962">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给予</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不给予。</w:t>
      </w:r>
    </w:p>
  </w:footnote>
  <w:footnote w:id="17">
    <w:p w14:paraId="5559FF9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填写招标项目使用的电子交易平台名称、网络地址。</w:t>
      </w:r>
    </w:p>
  </w:footnote>
  <w:footnote w:id="18">
    <w:p w14:paraId="635D1E6F">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填写招标项目电子招标文件使用的软件名称、版本号。</w:t>
      </w:r>
    </w:p>
  </w:footnote>
  <w:footnote w:id="19">
    <w:p w14:paraId="0CE76DE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记名投票法</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 xml:space="preserve">综合评估法，且应当与招标文件其他章节有关内容一致。 </w:t>
      </w:r>
    </w:p>
  </w:footnote>
  <w:footnote w:id="20">
    <w:p w14:paraId="33F42E48">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填写招标项目使用的电子交易平台名称、网络地址。</w:t>
      </w:r>
    </w:p>
  </w:footnote>
  <w:footnote w:id="21">
    <w:p w14:paraId="404DBE3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填写被邀请参加投标的单位名称。</w:t>
      </w:r>
    </w:p>
  </w:footnote>
  <w:footnote w:id="22">
    <w:p w14:paraId="6CB064CC">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填写招标项目名称、标段（如有时）。</w:t>
      </w:r>
    </w:p>
  </w:footnote>
  <w:footnote w:id="23">
    <w:p w14:paraId="75A7AA54">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填写招标项目审批、核准或备案机关名称。</w:t>
      </w:r>
    </w:p>
  </w:footnote>
  <w:footnote w:id="24">
    <w:p w14:paraId="43FF262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填写招标项目批文名称、批文编号。</w:t>
      </w:r>
    </w:p>
  </w:footnote>
  <w:footnote w:id="25">
    <w:p w14:paraId="4B7C4CC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设计</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勘察设计。</w:t>
      </w:r>
    </w:p>
  </w:footnote>
  <w:footnote w:id="26">
    <w:p w14:paraId="33502946">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填写用于确定企业资质及等级的相关数据。</w:t>
      </w:r>
    </w:p>
  </w:footnote>
  <w:footnote w:id="27">
    <w:p w14:paraId="217FA94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房屋建筑工程</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市政基础设施工程。</w:t>
      </w:r>
    </w:p>
  </w:footnote>
  <w:footnote w:id="28">
    <w:p w14:paraId="35D84E33">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概念性方案设计招标</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实施性方案设计招标。</w:t>
      </w:r>
    </w:p>
  </w:footnote>
  <w:footnote w:id="29">
    <w:p w14:paraId="0CDCB4C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包含工程勘察[岩土工程勘察、工程测量、工程物探（含管线探测）]、方案设计、初步设计、概算、施工图设计、后续设计服务，招标人根据招标项目实际准确填写。</w:t>
      </w:r>
    </w:p>
  </w:footnote>
  <w:footnote w:id="30">
    <w:p w14:paraId="2107903E">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房屋建筑工程根据招标实际填写如建筑安装工程、装修工程、室外总体工程等，市政基础设施工程填写如道路、桥梁、城市隧道、给水、排水、城镇燃气、轨道交通、公共交通等。</w:t>
      </w:r>
    </w:p>
  </w:footnote>
  <w:footnote w:id="31">
    <w:p w14:paraId="4DD801B4">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方填写应用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32">
    <w:p w14:paraId="0D84612E">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填写与工程规模相适应的设计资质序列和等级要求，发包内容包含勘察的，还应写明与工程规模相适应的勘察资质序列和等级要求。</w:t>
      </w:r>
    </w:p>
  </w:footnote>
  <w:footnote w:id="33">
    <w:p w14:paraId="78CCCAF3">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接受</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不接受。</w:t>
      </w:r>
    </w:p>
  </w:footnote>
  <w:footnote w:id="34">
    <w:p w14:paraId="55C032FA">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填写设计负责人</w:t>
      </w:r>
      <w:r>
        <w:rPr>
          <w:rFonts w:hint="eastAsia" w:ascii="宋体" w:hAnsi="宋体" w:eastAsia="宋体" w:cs="宋体"/>
          <w:color w:val="000000" w:themeColor="text1"/>
          <w:sz w:val="15"/>
          <w:szCs w:val="15"/>
          <w:highlight w:val="none"/>
          <w:lang w:val="en-US" w:eastAsia="zh-CN"/>
          <w14:textFill>
            <w14:solidFill>
              <w14:schemeClr w14:val="tx1"/>
            </w14:solidFill>
          </w14:textFill>
        </w:rPr>
        <w:t>应具备</w:t>
      </w:r>
      <w:r>
        <w:rPr>
          <w:rFonts w:hint="eastAsia" w:ascii="宋体" w:hAnsi="宋体" w:eastAsia="宋体" w:cs="宋体"/>
          <w:color w:val="000000" w:themeColor="text1"/>
          <w:sz w:val="15"/>
          <w:szCs w:val="15"/>
          <w:highlight w:val="none"/>
          <w14:textFill>
            <w14:solidFill>
              <w14:schemeClr w14:val="tx1"/>
            </w14:solidFill>
          </w14:textFill>
        </w:rPr>
        <w:t>相应的执业资格或职称要求和等级。</w:t>
      </w:r>
    </w:p>
  </w:footnote>
  <w:footnote w:id="35">
    <w:p w14:paraId="460F65B5">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填写0或1。</w:t>
      </w:r>
    </w:p>
  </w:footnote>
  <w:footnote w:id="36">
    <w:p w14:paraId="45D9E45E">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类似工程业绩的设置按照</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厦门市住房和建设局关于建设工程招标文件中类似工程业绩设置有关事项的补充通知</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厦住建建筑〔2024〕10号</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等</w:t>
      </w:r>
      <w:r>
        <w:rPr>
          <w:rFonts w:hint="eastAsia" w:ascii="宋体" w:hAnsi="宋体" w:eastAsia="宋体" w:cs="宋体"/>
          <w:color w:val="000000" w:themeColor="text1"/>
          <w:sz w:val="15"/>
          <w:szCs w:val="15"/>
          <w:highlight w:val="none"/>
          <w14:textFill>
            <w14:solidFill>
              <w14:schemeClr w14:val="tx1"/>
            </w14:solidFill>
          </w14:textFill>
        </w:rPr>
        <w:t>有关规定执行。</w:t>
      </w:r>
    </w:p>
  </w:footnote>
  <w:footnote w:id="37">
    <w:p w14:paraId="1BA4EDD3">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给予</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不给予。</w:t>
      </w:r>
    </w:p>
  </w:footnote>
  <w:footnote w:id="38">
    <w:p w14:paraId="638C7B36">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填写招标项目使用的电子交易平台名称、网络地址。</w:t>
      </w:r>
    </w:p>
  </w:footnote>
  <w:footnote w:id="39">
    <w:p w14:paraId="1F3D162A">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填写招标项目电子招标文件使用的软件名称、版本号。</w:t>
      </w:r>
    </w:p>
  </w:footnote>
  <w:footnote w:id="40">
    <w:p w14:paraId="22ACACD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记名投票法</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综合评估法，且应当与招标文件其他章节有关内容一致。</w:t>
      </w:r>
    </w:p>
  </w:footnote>
  <w:footnote w:id="41">
    <w:p w14:paraId="27E4ED74">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填写招标项目使用的电子交易平台名称、网络地址。</w:t>
      </w:r>
    </w:p>
  </w:footnote>
  <w:footnote w:id="42">
    <w:p w14:paraId="6BE8F7B2">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填写招标人全称。</w:t>
      </w:r>
    </w:p>
  </w:footnote>
  <w:footnote w:id="43">
    <w:p w14:paraId="6840613C">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填写招标项目名称、标段（如有时）。</w:t>
      </w:r>
    </w:p>
  </w:footnote>
  <w:footnote w:id="44">
    <w:p w14:paraId="511A68BF">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参加</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不参加。</w:t>
      </w:r>
    </w:p>
  </w:footnote>
  <w:footnote w:id="45">
    <w:p w14:paraId="1BAFBDBA">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kern w:val="2"/>
          <w:sz w:val="15"/>
          <w:szCs w:val="15"/>
          <w:highlight w:val="none"/>
          <w14:textFill>
            <w14:solidFill>
              <w14:schemeClr w14:val="tx1"/>
            </w14:solidFill>
          </w14:textFill>
        </w:rPr>
      </w:pPr>
      <w:r>
        <w:rPr>
          <w:rFonts w:hint="eastAsia" w:ascii="宋体" w:hAnsi="宋体" w:eastAsia="宋体" w:cs="宋体"/>
          <w:color w:val="000000" w:themeColor="text1"/>
          <w:kern w:val="2"/>
          <w:sz w:val="15"/>
          <w:szCs w:val="15"/>
          <w:highlight w:val="none"/>
          <w14:textFill>
            <w14:solidFill>
              <w14:schemeClr w14:val="tx1"/>
            </w14:solidFill>
          </w14:textFill>
        </w:rPr>
        <w:footnoteRef/>
      </w:r>
      <w:r>
        <w:rPr>
          <w:rFonts w:hint="eastAsia" w:ascii="宋体" w:hAnsi="宋体" w:eastAsia="宋体" w:cs="宋体"/>
          <w:color w:val="000000" w:themeColor="text1"/>
          <w:kern w:val="2"/>
          <w:sz w:val="15"/>
          <w:szCs w:val="15"/>
          <w:highlight w:val="none"/>
          <w14:textFill>
            <w14:solidFill>
              <w14:schemeClr w14:val="tx1"/>
            </w14:solidFill>
          </w14:textFill>
        </w:rPr>
        <w:t>本表相关内容应当与招标公告或投标邀请书有关内容一致。</w:t>
      </w:r>
    </w:p>
  </w:footnote>
  <w:footnote w:id="46">
    <w:p w14:paraId="10EC1F9E">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方填写“应用”。</w:t>
      </w:r>
    </w:p>
  </w:footnote>
  <w:footnote w:id="47">
    <w:p w14:paraId="487DC32B">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填写鉴定物品的封存、移交等内容。</w:t>
      </w:r>
    </w:p>
  </w:footnote>
  <w:footnote w:id="48">
    <w:p w14:paraId="4F678BEA">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补充和修改内容应是进一步明确招标文件未尽事宜，且与招标文件有关章节相衔接。</w:t>
      </w:r>
    </w:p>
  </w:footnote>
  <w:footnote w:id="49">
    <w:p w14:paraId="13ABDD9B">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适用于招标项目有划分标段的，本表按标段分别编制。</w:t>
      </w:r>
    </w:p>
  </w:footnote>
  <w:footnote w:id="50">
    <w:p w14:paraId="6C5F8E59">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各专业设计负责人应根据项目实际情况设置，并非所列专业均需配备。</w:t>
      </w:r>
    </w:p>
  </w:footnote>
  <w:footnote w:id="51">
    <w:p w14:paraId="19B8311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发包内容包含勘察的，各专业勘察负责人应根据项目实际情况设置，并非所列专业均需配备。</w:t>
      </w:r>
    </w:p>
  </w:footnote>
  <w:footnote w:id="52">
    <w:p w14:paraId="4A52C46F">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填写0或1。</w:t>
      </w:r>
    </w:p>
  </w:footnote>
  <w:footnote w:id="53">
    <w:p w14:paraId="68AFC33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应与招标公告/投标邀请书中的类似项目设计业绩要求一致。</w:t>
      </w:r>
    </w:p>
  </w:footnote>
  <w:footnote w:id="54">
    <w:p w14:paraId="285DFF6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应用</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不应用。</w:t>
      </w:r>
    </w:p>
  </w:footnote>
  <w:footnote w:id="55">
    <w:p w14:paraId="6E12CAB3">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应用</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不应用。</w:t>
      </w:r>
    </w:p>
  </w:footnote>
  <w:footnote w:id="56">
    <w:p w14:paraId="7BEB6FA8">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三分之二及以上</w:t>
      </w:r>
      <w:r>
        <w:rPr>
          <w:rFonts w:hint="eastAsia" w:ascii="宋体" w:hAnsi="宋体" w:eastAsia="宋体" w:cs="宋体"/>
          <w:color w:val="000000" w:themeColor="text1"/>
          <w:sz w:val="15"/>
          <w:szCs w:val="15"/>
          <w:highlight w:val="none"/>
          <w:lang w:eastAsia="zh-CN"/>
          <w14:textFill>
            <w14:solidFill>
              <w14:schemeClr w14:val="tx1"/>
            </w14:solidFill>
          </w14:textFill>
        </w:rPr>
        <w:t>评标委员会</w:t>
      </w:r>
      <w:r>
        <w:rPr>
          <w:rFonts w:hint="eastAsia" w:ascii="宋体" w:hAnsi="宋体" w:eastAsia="宋体" w:cs="宋体"/>
          <w:color w:val="000000" w:themeColor="text1"/>
          <w:sz w:val="15"/>
          <w:szCs w:val="15"/>
          <w:highlight w:val="none"/>
          <w14:textFill>
            <w14:solidFill>
              <w14:schemeClr w14:val="tx1"/>
            </w14:solidFill>
          </w14:textFill>
        </w:rPr>
        <w:t>成员认定无法辨认的，视为内容不完整。</w:t>
      </w:r>
    </w:p>
  </w:footnote>
  <w:footnote w:id="57">
    <w:p w14:paraId="4F7024EE">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三分之二及以上评标委员会成员认定无法辨认的，视为内容不完整。</w:t>
      </w:r>
    </w:p>
  </w:footnote>
  <w:footnote w:id="58">
    <w:p w14:paraId="17716C57">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三分之二及以上</w:t>
      </w:r>
      <w:r>
        <w:rPr>
          <w:rFonts w:hint="eastAsia" w:ascii="宋体" w:hAnsi="宋体" w:eastAsia="宋体" w:cs="宋体"/>
          <w:color w:val="000000" w:themeColor="text1"/>
          <w:sz w:val="15"/>
          <w:szCs w:val="15"/>
          <w:highlight w:val="none"/>
          <w:lang w:eastAsia="zh-CN"/>
          <w14:textFill>
            <w14:solidFill>
              <w14:schemeClr w14:val="tx1"/>
            </w14:solidFill>
          </w14:textFill>
        </w:rPr>
        <w:t>评标委员会</w:t>
      </w:r>
      <w:r>
        <w:rPr>
          <w:rFonts w:hint="eastAsia" w:ascii="宋体" w:hAnsi="宋体" w:eastAsia="宋体" w:cs="宋体"/>
          <w:color w:val="000000" w:themeColor="text1"/>
          <w:sz w:val="15"/>
          <w:szCs w:val="15"/>
          <w:highlight w:val="none"/>
          <w14:textFill>
            <w14:solidFill>
              <w14:schemeClr w14:val="tx1"/>
            </w14:solidFill>
          </w14:textFill>
        </w:rPr>
        <w:t>成员认定无法辨认的，视为内容不完整。</w:t>
      </w:r>
    </w:p>
  </w:footnote>
  <w:footnote w:id="59">
    <w:p w14:paraId="3DF4D82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三分之二及以上评标委员会成员认定无法辨认的，视为内容不完整。</w:t>
      </w:r>
    </w:p>
  </w:footnote>
  <w:footnote w:id="60">
    <w:p w14:paraId="42609886">
      <w:pPr>
        <w:keepNext w:val="0"/>
        <w:keepLines w:val="0"/>
        <w:pageBreakBefore w:val="0"/>
        <w:widowControl w:val="0"/>
        <w:kinsoku/>
        <w:wordWrap/>
        <w:overflowPunct/>
        <w:topLinePunct w:val="0"/>
        <w:autoSpaceDE/>
        <w:autoSpaceDN/>
        <w:bidi w:val="0"/>
        <w:adjustRightInd/>
        <w:snapToGrid w:val="0"/>
        <w:spacing w:line="200" w:lineRule="exact"/>
        <w:jc w:val="left"/>
        <w:textAlignment w:val="auto"/>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定标要素及其评审标准、权重应当根据《厦门市住房和建设局关于印发建设工程招投标评定分离办法的通知》（厦住建规〔2024〕6号）有关规定编制，不得设置经营主体的规模（例如产值）、注册地址、注册资金、市场占有率、负债率、净资产规模等作为定标子要素</w:t>
      </w:r>
      <w:r>
        <w:rPr>
          <w:rFonts w:hint="eastAsia" w:ascii="宋体" w:hAnsi="宋体" w:eastAsia="宋体" w:cs="宋体"/>
          <w:color w:val="000000" w:themeColor="text1"/>
          <w:sz w:val="15"/>
          <w:szCs w:val="15"/>
          <w:highlight w:val="none"/>
          <w:lang w:val="en-US" w:eastAsia="zh-CN"/>
          <w14:textFill>
            <w14:solidFill>
              <w14:schemeClr w14:val="tx1"/>
            </w14:solidFill>
          </w14:textFill>
        </w:rPr>
        <w:t>，并符合福建省住房和城乡建设厅所颁布的有关负面清单相应规定</w:t>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w:t>
      </w:r>
    </w:p>
  </w:footnote>
  <w:footnote w:id="61">
    <w:p w14:paraId="1F7CAFF0">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kern w:val="2"/>
          <w:sz w:val="15"/>
          <w:szCs w:val="15"/>
          <w:highlight w:val="none"/>
          <w14:textFill>
            <w14:solidFill>
              <w14:schemeClr w14:val="tx1"/>
            </w14:solidFill>
          </w14:textFill>
        </w:rPr>
      </w:pPr>
      <w:r>
        <w:rPr>
          <w:rFonts w:hint="eastAsia" w:ascii="宋体" w:hAnsi="宋体" w:eastAsia="宋体" w:cs="宋体"/>
          <w:color w:val="000000" w:themeColor="text1"/>
          <w:kern w:val="2"/>
          <w:sz w:val="15"/>
          <w:szCs w:val="15"/>
          <w:highlight w:val="none"/>
          <w14:textFill>
            <w14:solidFill>
              <w14:schemeClr w14:val="tx1"/>
            </w14:solidFill>
          </w14:textFill>
        </w:rPr>
        <w:footnoteRef/>
      </w:r>
      <w:r>
        <w:rPr>
          <w:rFonts w:hint="eastAsia" w:ascii="宋体" w:hAnsi="宋体" w:eastAsia="宋体" w:cs="宋体"/>
          <w:color w:val="000000" w:themeColor="text1"/>
          <w:kern w:val="2"/>
          <w:sz w:val="15"/>
          <w:szCs w:val="15"/>
          <w:highlight w:val="none"/>
          <w14:textFill>
            <w14:solidFill>
              <w14:schemeClr w14:val="tx1"/>
            </w14:solidFill>
          </w14:textFill>
        </w:rPr>
        <w:t>设计合同原则上采用国家工商行政管理局和住建部颁布的《建设工程设计合同示范文本〔房屋建筑工程〕》（GF-2015-0209）或《建设工程设计合同示范文本〔专业建设工程〕》（GF-2015-0210）格式条款，并将福建省住房和城乡建设厅发布的《福建省房屋建筑和市政基础设施工程勘察设计招标投标管理若干规定》（闽建[2018]3号）中的招标人和设计单位的规范性条件作为合同的补充合同条款内容。招标人在此基础上，根据工程项目的个性和所处的自然和社会环境提出内容细化和约定，并在专用合同条款中对合同条款进行修改和补充，专用合同条款内容与通用条款内容不一致的，以专用合同内容为准。合同中没有约定内容的，由招标人和设计单位协商一致后签订。招标人根据招标项目工程类别选择相应专业合同格式条款。</w:t>
      </w:r>
      <w:r>
        <w:rPr>
          <w:rFonts w:hint="eastAsia" w:ascii="宋体" w:hAnsi="宋体" w:eastAsia="宋体" w:cs="宋体"/>
          <w:color w:val="000000" w:themeColor="text1"/>
          <w:kern w:val="0"/>
          <w:sz w:val="15"/>
          <w:szCs w:val="15"/>
          <w:highlight w:val="none"/>
          <w:lang w:val="en-US" w:eastAsia="zh-CN"/>
          <w14:textFill>
            <w14:solidFill>
              <w14:schemeClr w14:val="tx1"/>
            </w14:solidFill>
          </w14:textFill>
        </w:rPr>
        <w:t>合同条款格式中的</w:t>
      </w:r>
      <w:r>
        <w:rPr>
          <w:rFonts w:hint="eastAsia" w:ascii="宋体" w:hAnsi="宋体" w:eastAsia="宋体" w:cs="宋体"/>
          <w:color w:val="000000" w:themeColor="text1"/>
          <w:sz w:val="15"/>
          <w:szCs w:val="15"/>
          <w:highlight w:val="none"/>
          <w:lang w:val="en-US" w:eastAsia="zh-CN"/>
          <w14:textFill>
            <w14:solidFill>
              <w14:schemeClr w14:val="tx1"/>
            </w14:solidFill>
          </w14:textFill>
        </w:rPr>
        <w:t>下划线斜体字仅供参考，</w:t>
      </w:r>
      <w:r>
        <w:rPr>
          <w:rFonts w:hint="eastAsia" w:ascii="宋体" w:hAnsi="宋体" w:eastAsia="宋体" w:cs="宋体"/>
          <w:color w:val="000000" w:themeColor="text1"/>
          <w:sz w:val="15"/>
          <w:szCs w:val="15"/>
          <w:highlight w:val="none"/>
          <w14:textFill>
            <w14:solidFill>
              <w14:schemeClr w14:val="tx1"/>
            </w14:solidFill>
          </w14:textFill>
        </w:rPr>
        <w:t>招标人应根据招标项目具体特点和实际需要进行填写</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62">
    <w:p w14:paraId="34DD3AAC">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招标人应根据《</w:t>
      </w:r>
      <w:r>
        <w:rPr>
          <w:rFonts w:hint="eastAsia" w:ascii="宋体" w:hAnsi="宋体" w:eastAsia="宋体" w:cs="宋体"/>
          <w:color w:val="000000" w:themeColor="text1"/>
          <w:sz w:val="15"/>
          <w:szCs w:val="15"/>
          <w:highlight w:val="none"/>
          <w14:textFill>
            <w14:solidFill>
              <w14:schemeClr w14:val="tx1"/>
            </w14:solidFill>
          </w14:textFill>
        </w:rPr>
        <w:t>厦门市建设局等4家单位关于优化我市政府投资项目勘察设计费管理的通知</w:t>
      </w:r>
      <w:r>
        <w:rPr>
          <w:rFonts w:hint="eastAsia" w:ascii="宋体" w:hAnsi="宋体" w:eastAsia="宋体" w:cs="宋体"/>
          <w:color w:val="000000" w:themeColor="text1"/>
          <w:sz w:val="15"/>
          <w:szCs w:val="15"/>
          <w:highlight w:val="none"/>
          <w:lang w:val="en-US"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厦建设〔2021〕31号</w:t>
      </w:r>
      <w:r>
        <w:rPr>
          <w:rFonts w:hint="eastAsia" w:ascii="宋体" w:hAnsi="宋体" w:eastAsia="宋体" w:cs="宋体"/>
          <w:color w:val="000000" w:themeColor="text1"/>
          <w:sz w:val="15"/>
          <w:szCs w:val="15"/>
          <w:highlight w:val="none"/>
          <w:lang w:val="en-US" w:eastAsia="zh-CN"/>
          <w14:textFill>
            <w14:solidFill>
              <w14:schemeClr w14:val="tx1"/>
            </w14:solidFill>
          </w14:textFill>
        </w:rPr>
        <w:t>）的有关规定编制</w:t>
      </w:r>
      <w:r>
        <w:rPr>
          <w:rFonts w:hint="eastAsia" w:ascii="宋体" w:hAnsi="宋体" w:eastAsia="宋体" w:cs="宋体"/>
          <w:color w:val="000000" w:themeColor="text1"/>
          <w:sz w:val="15"/>
          <w:szCs w:val="15"/>
          <w:highlight w:val="none"/>
          <w14:textFill>
            <w14:solidFill>
              <w14:schemeClr w14:val="tx1"/>
            </w14:solidFill>
          </w14:textFill>
        </w:rPr>
        <w:t>（如有新的计费标准，则按新的计费标准执行）</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63">
    <w:p w14:paraId="631F52D4">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招标内容包含勘察的，应在本条款中约定勘察工作范围和内容、勘察成果要求等。</w:t>
      </w:r>
    </w:p>
  </w:footnote>
  <w:footnote w:id="64">
    <w:p w14:paraId="7D8E0526">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招标人应根据《</w:t>
      </w:r>
      <w:r>
        <w:rPr>
          <w:rFonts w:hint="eastAsia" w:ascii="宋体" w:hAnsi="宋体" w:eastAsia="宋体" w:cs="宋体"/>
          <w:color w:val="000000" w:themeColor="text1"/>
          <w:sz w:val="15"/>
          <w:szCs w:val="15"/>
          <w:highlight w:val="none"/>
          <w14:textFill>
            <w14:solidFill>
              <w14:schemeClr w14:val="tx1"/>
            </w14:solidFill>
          </w14:textFill>
        </w:rPr>
        <w:t>厦门市建设局等4家单位关于优化我市政府投资项目勘察设计费管理的通知</w:t>
      </w:r>
      <w:r>
        <w:rPr>
          <w:rFonts w:hint="eastAsia" w:ascii="宋体" w:hAnsi="宋体" w:eastAsia="宋体" w:cs="宋体"/>
          <w:color w:val="000000" w:themeColor="text1"/>
          <w:sz w:val="15"/>
          <w:szCs w:val="15"/>
          <w:highlight w:val="none"/>
          <w:lang w:val="en-US"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厦建设〔2021〕31号</w:t>
      </w:r>
      <w:r>
        <w:rPr>
          <w:rFonts w:hint="eastAsia" w:ascii="宋体" w:hAnsi="宋体" w:eastAsia="宋体" w:cs="宋体"/>
          <w:color w:val="000000" w:themeColor="text1"/>
          <w:sz w:val="15"/>
          <w:szCs w:val="15"/>
          <w:highlight w:val="none"/>
          <w:lang w:val="en-US" w:eastAsia="zh-CN"/>
          <w14:textFill>
            <w14:solidFill>
              <w14:schemeClr w14:val="tx1"/>
            </w14:solidFill>
          </w14:textFill>
        </w:rPr>
        <w:t>）的有关规定编制</w:t>
      </w:r>
      <w:r>
        <w:rPr>
          <w:rFonts w:hint="eastAsia" w:ascii="宋体" w:hAnsi="宋体" w:eastAsia="宋体" w:cs="宋体"/>
          <w:color w:val="000000" w:themeColor="text1"/>
          <w:sz w:val="15"/>
          <w:szCs w:val="15"/>
          <w:highlight w:val="none"/>
          <w14:textFill>
            <w14:solidFill>
              <w14:schemeClr w14:val="tx1"/>
            </w14:solidFill>
          </w14:textFill>
        </w:rPr>
        <w:t>（如有新的计费标准，则按新的计费标准执行）</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65">
    <w:p w14:paraId="5E084B09">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招标内容包含勘察的，应在本条款中约定勘察工作范围和内容、勘察成果要求等。</w:t>
      </w:r>
    </w:p>
  </w:footnote>
  <w:footnote w:id="66">
    <w:p w14:paraId="426AFF31">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下划线斜体字仅供参考，</w:t>
      </w:r>
      <w:r>
        <w:rPr>
          <w:rFonts w:hint="eastAsia" w:ascii="宋体" w:hAnsi="宋体" w:eastAsia="宋体" w:cs="宋体"/>
          <w:color w:val="000000" w:themeColor="text1"/>
          <w:sz w:val="15"/>
          <w:szCs w:val="15"/>
          <w:highlight w:val="none"/>
          <w14:textFill>
            <w14:solidFill>
              <w14:schemeClr w14:val="tx1"/>
            </w14:solidFill>
          </w14:textFill>
        </w:rPr>
        <w:t>招标人应根据招标项目具体特点和实际需要进行填写</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67">
    <w:p w14:paraId="54A7FD2A">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下划线斜体字仅供参考，</w:t>
      </w:r>
      <w:r>
        <w:rPr>
          <w:rFonts w:hint="eastAsia" w:ascii="宋体" w:hAnsi="宋体" w:eastAsia="宋体" w:cs="宋体"/>
          <w:color w:val="000000" w:themeColor="text1"/>
          <w:sz w:val="15"/>
          <w:szCs w:val="15"/>
          <w:highlight w:val="none"/>
          <w14:textFill>
            <w14:solidFill>
              <w14:schemeClr w14:val="tx1"/>
            </w14:solidFill>
          </w14:textFill>
        </w:rPr>
        <w:t>招标人应根据招标项目具体特点和实际需要进行填写</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68">
    <w:p w14:paraId="6DDA1441">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一般包括以下内容：规划意见书、可研或项目建议书批复、现状地形图、其他（市政、电力、通信、煤气等）管线图或许可意向书等。</w:t>
      </w:r>
    </w:p>
  </w:footnote>
  <w:footnote w:id="69">
    <w:p w14:paraId="28392023">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下划线斜体字仅供参考，</w:t>
      </w:r>
      <w:r>
        <w:rPr>
          <w:rFonts w:hint="eastAsia" w:ascii="宋体" w:hAnsi="宋体" w:eastAsia="宋体" w:cs="宋体"/>
          <w:color w:val="000000" w:themeColor="text1"/>
          <w:sz w:val="15"/>
          <w:szCs w:val="15"/>
          <w:highlight w:val="none"/>
          <w14:textFill>
            <w14:solidFill>
              <w14:schemeClr w14:val="tx1"/>
            </w14:solidFill>
          </w14:textFill>
        </w:rPr>
        <w:t>招标人应根据招标项目具体特点和实际需要进行填写</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70">
    <w:p w14:paraId="13AC7B42">
      <w:pPr>
        <w:pStyle w:val="32"/>
        <w:keepNext w:val="0"/>
        <w:keepLines w:val="0"/>
        <w:pageBreakBefore w:val="0"/>
        <w:widowControl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下划线斜体字仅供参考，</w:t>
      </w:r>
      <w:r>
        <w:rPr>
          <w:rFonts w:hint="eastAsia" w:ascii="宋体" w:hAnsi="宋体" w:eastAsia="宋体" w:cs="宋体"/>
          <w:color w:val="000000" w:themeColor="text1"/>
          <w:sz w:val="15"/>
          <w:szCs w:val="15"/>
          <w:highlight w:val="none"/>
          <w14:textFill>
            <w14:solidFill>
              <w14:schemeClr w14:val="tx1"/>
            </w14:solidFill>
          </w14:textFill>
        </w:rPr>
        <w:t>招标人应根据招标项目具体特点和实际需要进行填写</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71">
    <w:p w14:paraId="31E2FE3C">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一般包括以下内容：规划意见书、可研或项目建议书批复、现状地形图、其他（市政、电力、通信、煤气等）管线图或许可意向书等。</w:t>
      </w:r>
    </w:p>
  </w:footnote>
  <w:footnote w:id="72">
    <w:p w14:paraId="5259958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脚注内容和要求属于本章的规定，投标人在编制投标文件时应当严格遵守。</w:t>
      </w:r>
    </w:p>
  </w:footnote>
  <w:footnote w:id="73">
    <w:p w14:paraId="70516E99">
      <w:pPr>
        <w:keepNext w:val="0"/>
        <w:keepLines w:val="0"/>
        <w:pageBreakBefore w:val="0"/>
        <w:widowControl w:val="0"/>
        <w:kinsoku/>
        <w:wordWrap/>
        <w:overflowPunct/>
        <w:topLinePunct w:val="0"/>
        <w:bidi w:val="0"/>
        <w:spacing w:line="200" w:lineRule="exact"/>
        <w:jc w:val="lef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a.投标人应按照招标文件的要求以及投标人自己认为有必要提交的能够恰当证明符合（或优于）资格审查评审标准和内容的资料。</w:t>
      </w:r>
    </w:p>
    <w:p w14:paraId="44511619">
      <w:pPr>
        <w:keepNext w:val="0"/>
        <w:keepLines w:val="0"/>
        <w:pageBreakBefore w:val="0"/>
        <w:widowControl w:val="0"/>
        <w:kinsoku/>
        <w:wordWrap/>
        <w:overflowPunct/>
        <w:topLinePunct w:val="0"/>
        <w:bidi w:val="0"/>
        <w:spacing w:line="200" w:lineRule="exact"/>
        <w:ind w:firstLine="151" w:firstLineChars="100"/>
        <w:jc w:val="lef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b.投标人应按招标文件本章规定的格式和内容编写《资格审查文件》，如有必要，可以增加附页，并作为资格审查文件的组成部分。</w:t>
      </w:r>
    </w:p>
    <w:p w14:paraId="53DE8555">
      <w:pPr>
        <w:pStyle w:val="13"/>
        <w:keepNext w:val="0"/>
        <w:keepLines w:val="0"/>
        <w:pageBreakBefore w:val="0"/>
        <w:widowControl w:val="0"/>
        <w:tabs>
          <w:tab w:val="left" w:pos="0"/>
        </w:tabs>
        <w:kinsoku/>
        <w:wordWrap/>
        <w:overflowPunct/>
        <w:topLinePunct w:val="0"/>
        <w:bidi w:val="0"/>
        <w:snapToGrid w:val="0"/>
        <w:spacing w:line="200" w:lineRule="exact"/>
        <w:ind w:firstLine="151" w:firstLineChars="100"/>
        <w:jc w:val="left"/>
        <w:rPr>
          <w:rFonts w:hint="eastAsia" w:ascii="宋体" w:hAnsi="宋体" w:eastAsia="宋体" w:cs="宋体"/>
          <w:b/>
          <w:color w:val="000000" w:themeColor="text1"/>
          <w:kern w:val="0"/>
          <w:sz w:val="15"/>
          <w:szCs w:val="15"/>
          <w:highlight w:val="none"/>
          <w14:textFill>
            <w14:solidFill>
              <w14:schemeClr w14:val="tx1"/>
            </w14:solidFill>
          </w14:textFill>
        </w:rPr>
      </w:pPr>
      <w:r>
        <w:rPr>
          <w:rFonts w:hint="eastAsia" w:ascii="宋体" w:hAnsi="宋体" w:eastAsia="宋体" w:cs="宋体"/>
          <w:b/>
          <w:color w:val="000000" w:themeColor="text1"/>
          <w:kern w:val="0"/>
          <w:sz w:val="15"/>
          <w:szCs w:val="15"/>
          <w:highlight w:val="none"/>
          <w14:textFill>
            <w14:solidFill>
              <w14:schemeClr w14:val="tx1"/>
            </w14:solidFill>
          </w14:textFill>
        </w:rPr>
        <w:t>c.若投标人是以联合体形式投标的，则应按照资格审查文件和投标人须知要求提交全部完整资料。若投标人是以独立投标人参加投标的，则不需要提交附表8联合体协议书。</w:t>
      </w:r>
    </w:p>
    <w:p w14:paraId="6C4984E9">
      <w:pPr>
        <w:pStyle w:val="13"/>
        <w:keepNext w:val="0"/>
        <w:keepLines w:val="0"/>
        <w:pageBreakBefore w:val="0"/>
        <w:widowControl w:val="0"/>
        <w:tabs>
          <w:tab w:val="left" w:pos="0"/>
        </w:tabs>
        <w:kinsoku/>
        <w:wordWrap/>
        <w:overflowPunct/>
        <w:topLinePunct w:val="0"/>
        <w:bidi w:val="0"/>
        <w:snapToGrid w:val="0"/>
        <w:spacing w:line="200" w:lineRule="exact"/>
        <w:ind w:firstLine="151" w:firstLineChars="100"/>
        <w:jc w:val="left"/>
        <w:rPr>
          <w:rFonts w:hint="eastAsia" w:ascii="宋体" w:hAnsi="宋体" w:eastAsia="宋体" w:cs="宋体"/>
          <w:b/>
          <w:color w:val="000000" w:themeColor="text1"/>
          <w:kern w:val="0"/>
          <w:sz w:val="15"/>
          <w:szCs w:val="15"/>
          <w:highlight w:val="none"/>
          <w14:textFill>
            <w14:solidFill>
              <w14:schemeClr w14:val="tx1"/>
            </w14:solidFill>
          </w14:textFill>
        </w:rPr>
      </w:pPr>
      <w:r>
        <w:rPr>
          <w:rFonts w:hint="eastAsia" w:ascii="宋体" w:hAnsi="宋体" w:eastAsia="宋体" w:cs="宋体"/>
          <w:b/>
          <w:color w:val="000000" w:themeColor="text1"/>
          <w:kern w:val="0"/>
          <w:sz w:val="15"/>
          <w:szCs w:val="15"/>
          <w:highlight w:val="none"/>
          <w14:textFill>
            <w14:solidFill>
              <w14:schemeClr w14:val="tx1"/>
            </w14:solidFill>
          </w14:textFill>
        </w:rPr>
        <w:t>d.附表9“其他需要提交的资料”是指按照招标文件投标人须知前附表第11项 “投标人资格条件” 要求的，以及招标文件其他要求和投标人为了证明自己符合</w:t>
      </w:r>
      <w:r>
        <w:rPr>
          <w:rFonts w:hint="eastAsia" w:ascii="宋体" w:hAnsi="宋体" w:eastAsia="宋体" w:cs="宋体"/>
          <w:b/>
          <w:color w:val="000000" w:themeColor="text1"/>
          <w:sz w:val="15"/>
          <w:szCs w:val="15"/>
          <w:highlight w:val="none"/>
          <w14:textFill>
            <w14:solidFill>
              <w14:schemeClr w14:val="tx1"/>
            </w14:solidFill>
          </w14:textFill>
        </w:rPr>
        <w:t>（或优于）</w:t>
      </w:r>
      <w:r>
        <w:rPr>
          <w:rFonts w:hint="eastAsia" w:ascii="宋体" w:hAnsi="宋体" w:eastAsia="宋体" w:cs="宋体"/>
          <w:b/>
          <w:color w:val="000000" w:themeColor="text1"/>
          <w:kern w:val="0"/>
          <w:sz w:val="15"/>
          <w:szCs w:val="15"/>
          <w:highlight w:val="none"/>
          <w14:textFill>
            <w14:solidFill>
              <w14:schemeClr w14:val="tx1"/>
            </w14:solidFill>
          </w14:textFill>
        </w:rPr>
        <w:t>投标资格合格条件需要提供的资料。</w:t>
      </w:r>
    </w:p>
  </w:footnote>
  <w:footnote w:id="74">
    <w:p w14:paraId="40D0EE01">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75">
    <w:p w14:paraId="57089F24">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如以联合体形式投标，联合体所有成员的法定代表人均应共同签字或盖章；或存在委托代理人的，该委托代理人应为联合体所有成员的法定代表人共同委托牵头人代表的同一代理人并由委托代理人签字或盖章。</w:t>
      </w:r>
    </w:p>
  </w:footnote>
  <w:footnote w:id="76">
    <w:p w14:paraId="6A10D5B9">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77">
    <w:p w14:paraId="2406F98E">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房屋建筑工程盖拟担任设计项目负责人实体建筑师执业章并签字，市政基础设施工程拟担任设计项目负责人签字即可。</w:t>
      </w:r>
    </w:p>
  </w:footnote>
  <w:footnote w:id="78">
    <w:p w14:paraId="41C9D04C">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a.未如实填写“是否存在招标文件第</w:t>
      </w:r>
      <w:r>
        <w:rPr>
          <w:rFonts w:hint="eastAsia" w:ascii="宋体" w:hAnsi="宋体" w:eastAsia="宋体" w:cs="宋体"/>
          <w:b/>
          <w:color w:val="000000" w:themeColor="text1"/>
          <w:sz w:val="15"/>
          <w:szCs w:val="15"/>
          <w:highlight w:val="none"/>
          <w:lang w:eastAsia="zh-CN"/>
          <w14:textFill>
            <w14:solidFill>
              <w14:schemeClr w14:val="tx1"/>
            </w14:solidFill>
          </w14:textFill>
        </w:rPr>
        <w:t>二</w:t>
      </w:r>
      <w:r>
        <w:rPr>
          <w:rFonts w:hint="eastAsia" w:ascii="宋体" w:hAnsi="宋体" w:eastAsia="宋体" w:cs="宋体"/>
          <w:b/>
          <w:color w:val="000000" w:themeColor="text1"/>
          <w:sz w:val="15"/>
          <w:szCs w:val="15"/>
          <w:highlight w:val="none"/>
          <w14:textFill>
            <w14:solidFill>
              <w14:schemeClr w14:val="tx1"/>
            </w14:solidFill>
          </w14:textFill>
        </w:rPr>
        <w:t>章投标须知正文第1.5.4条规定的任何一种情形”的，按弄虚作假处理。</w:t>
      </w:r>
    </w:p>
    <w:p w14:paraId="71C3DCF4">
      <w:pPr>
        <w:pStyle w:val="32"/>
        <w:keepNext w:val="0"/>
        <w:keepLines w:val="0"/>
        <w:pageBreakBefore w:val="0"/>
        <w:widowControl w:val="0"/>
        <w:kinsoku/>
        <w:wordWrap/>
        <w:overflowPunct/>
        <w:topLinePunct w:val="0"/>
        <w:bidi w:val="0"/>
        <w:spacing w:line="200" w:lineRule="exact"/>
        <w:ind w:firstLine="151" w:firstLineChars="100"/>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b.以联合体形式投标，联合体成员各方均应提交此表。</w:t>
      </w:r>
    </w:p>
  </w:footnote>
  <w:footnote w:id="79">
    <w:p w14:paraId="13FD0329">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独立投标人或联合体投标人各方成员在本处附上要求的证书的全本扫描件。证书发生变更的，应办理完变更手续方可参加投标，并以发证机关核准的变更为准，否则视为证书无效。同时，资质证书上应加盖投标人实体出图章（图纸专用章），以联合体形式投标的，联合体成员各方应在各自资质证书上加盖实体出图章（图纸专用章）。</w:t>
      </w:r>
    </w:p>
  </w:footnote>
  <w:footnote w:id="80">
    <w:p w14:paraId="43C4AE09">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独立投标人或联合体投标人各方成员在本处附上要求的营业执照的全本扫描件。证书发生变更的，应办理完变更手续方可参加投标，并以发证机关核准的变更为准，否则视为证书无效。</w:t>
      </w:r>
    </w:p>
  </w:footnote>
  <w:footnote w:id="81">
    <w:p w14:paraId="3C4295A3">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发包内容包含土工试验的, 须附上有效证明材料扫描件，以证明投标人已具备招标项目要求的土工实验室。</w:t>
      </w:r>
    </w:p>
  </w:footnote>
  <w:footnote w:id="82">
    <w:p w14:paraId="0E58EFA7">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附上省、市信用评价部门出具的信用评价结果文件扫描件或官方网站截图等有效证明材料。</w:t>
      </w:r>
    </w:p>
  </w:footnote>
  <w:footnote w:id="83">
    <w:p w14:paraId="1C5C7583">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以联合体形式投标，联合体成员各方均应提交本证明书并各自盖章。</w:t>
      </w:r>
    </w:p>
  </w:footnote>
  <w:footnote w:id="84">
    <w:p w14:paraId="7F0D433B">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kern w:val="2"/>
          <w:sz w:val="15"/>
          <w:szCs w:val="15"/>
          <w:highlight w:val="none"/>
          <w14:textFill>
            <w14:solidFill>
              <w14:schemeClr w14:val="tx1"/>
            </w14:solidFill>
          </w14:textFill>
        </w:rPr>
      </w:pPr>
      <w:r>
        <w:rPr>
          <w:rFonts w:hint="eastAsia" w:ascii="宋体" w:hAnsi="宋体" w:eastAsia="宋体" w:cs="宋体"/>
          <w:b/>
          <w:color w:val="000000" w:themeColor="text1"/>
          <w:kern w:val="2"/>
          <w:sz w:val="15"/>
          <w:szCs w:val="15"/>
          <w:highlight w:val="none"/>
          <w14:textFill>
            <w14:solidFill>
              <w14:schemeClr w14:val="tx1"/>
            </w14:solidFill>
          </w14:textFill>
        </w:rPr>
        <w:footnoteRef/>
      </w:r>
      <w:r>
        <w:rPr>
          <w:rFonts w:hint="eastAsia" w:ascii="宋体" w:hAnsi="宋体" w:eastAsia="宋体" w:cs="宋体"/>
          <w:b/>
          <w:color w:val="000000" w:themeColor="text1"/>
          <w:kern w:val="2"/>
          <w:sz w:val="15"/>
          <w:szCs w:val="15"/>
          <w:highlight w:val="none"/>
          <w14:textFill>
            <w14:solidFill>
              <w14:schemeClr w14:val="tx1"/>
            </w14:solidFill>
          </w14:textFill>
        </w:rPr>
        <w:t>以联合体形式投标，</w:t>
      </w:r>
      <w:r>
        <w:rPr>
          <w:rFonts w:hint="eastAsia" w:ascii="宋体" w:hAnsi="宋体" w:eastAsia="宋体" w:cs="宋体"/>
          <w:b/>
          <w:color w:val="000000" w:themeColor="text1"/>
          <w:sz w:val="15"/>
          <w:szCs w:val="15"/>
          <w:highlight w:val="none"/>
          <w14:textFill>
            <w14:solidFill>
              <w14:schemeClr w14:val="tx1"/>
            </w14:solidFill>
          </w14:textFill>
        </w:rPr>
        <w:t>联合体所有成员均应共同盖单位公章</w:t>
      </w:r>
      <w:r>
        <w:rPr>
          <w:rFonts w:hint="eastAsia" w:ascii="宋体" w:hAnsi="宋体" w:eastAsia="宋体" w:cs="宋体"/>
          <w:b/>
          <w:color w:val="000000" w:themeColor="text1"/>
          <w:kern w:val="2"/>
          <w:sz w:val="15"/>
          <w:szCs w:val="15"/>
          <w:highlight w:val="none"/>
          <w14:textFill>
            <w14:solidFill>
              <w14:schemeClr w14:val="tx1"/>
            </w14:solidFill>
          </w14:textFill>
        </w:rPr>
        <w:t>。</w:t>
      </w:r>
    </w:p>
  </w:footnote>
  <w:footnote w:id="85">
    <w:p w14:paraId="0AC2A940">
      <w:pPr>
        <w:pStyle w:val="32"/>
        <w:keepNext w:val="0"/>
        <w:keepLines w:val="0"/>
        <w:pageBreakBefore w:val="0"/>
        <w:widowControl w:val="0"/>
        <w:kinsoku/>
        <w:wordWrap/>
        <w:overflowPunct/>
        <w:topLinePunct w:val="0"/>
        <w:bidi w:val="0"/>
        <w:spacing w:line="200" w:lineRule="exact"/>
        <w:rPr>
          <w:rFonts w:hint="eastAsia" w:ascii="宋体" w:hAnsi="宋体" w:eastAsia="宋体" w:cs="宋体"/>
          <w:b/>
          <w:bCs/>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bCs/>
          <w:color w:val="000000" w:themeColor="text1"/>
          <w:sz w:val="15"/>
          <w:szCs w:val="15"/>
          <w:highlight w:val="none"/>
          <w14:textFill>
            <w14:solidFill>
              <w14:schemeClr w14:val="tx1"/>
            </w14:solidFill>
          </w14:textFill>
        </w:rPr>
        <w:t>本承诺函须由</w:t>
      </w:r>
      <w:r>
        <w:rPr>
          <w:rFonts w:hint="eastAsia" w:ascii="宋体" w:hAnsi="宋体" w:eastAsia="宋体" w:cs="宋体"/>
          <w:b/>
          <w:color w:val="000000" w:themeColor="text1"/>
          <w:sz w:val="15"/>
          <w:szCs w:val="15"/>
          <w:highlight w:val="none"/>
          <w14:textFill>
            <w14:solidFill>
              <w14:schemeClr w14:val="tx1"/>
            </w14:solidFill>
          </w14:textFill>
        </w:rPr>
        <w:t>独立投标人或联合体牵头人填写，</w:t>
      </w:r>
      <w:r>
        <w:rPr>
          <w:rFonts w:hint="eastAsia" w:ascii="宋体" w:hAnsi="宋体" w:eastAsia="宋体" w:cs="宋体"/>
          <w:b/>
          <w:bCs/>
          <w:color w:val="000000" w:themeColor="text1"/>
          <w:sz w:val="15"/>
          <w:szCs w:val="15"/>
          <w:highlight w:val="none"/>
          <w14:textFill>
            <w14:solidFill>
              <w14:schemeClr w14:val="tx1"/>
            </w14:solidFill>
          </w14:textFill>
        </w:rPr>
        <w:t>加盖投标人单位实体公章和法定代表人亲自签字完整后扫描上传。</w:t>
      </w:r>
    </w:p>
  </w:footnote>
  <w:footnote w:id="86">
    <w:p w14:paraId="324245D9">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bCs/>
          <w:color w:val="000000" w:themeColor="text1"/>
          <w:sz w:val="15"/>
          <w:szCs w:val="15"/>
          <w:highlight w:val="none"/>
          <w14:textFill>
            <w14:solidFill>
              <w14:schemeClr w14:val="tx1"/>
            </w14:solidFill>
          </w14:textFill>
        </w:rPr>
        <w:t>如</w:t>
      </w:r>
      <w:r>
        <w:rPr>
          <w:rFonts w:hint="eastAsia" w:ascii="宋体" w:hAnsi="宋体" w:eastAsia="宋体" w:cs="宋体"/>
          <w:b/>
          <w:color w:val="000000" w:themeColor="text1"/>
          <w:sz w:val="15"/>
          <w:szCs w:val="15"/>
          <w:highlight w:val="none"/>
          <w14:textFill>
            <w14:solidFill>
              <w14:schemeClr w14:val="tx1"/>
            </w14:solidFill>
          </w14:textFill>
        </w:rPr>
        <w:t>以联合体形式投标的，联合体所有成员均应加盖单位实体公章。</w:t>
      </w:r>
    </w:p>
  </w:footnote>
  <w:footnote w:id="87">
    <w:p w14:paraId="13D690C5">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如以联合体形式投标的，联合体所有成员的法定代表人均应亲自签字。</w:t>
      </w:r>
    </w:p>
  </w:footnote>
  <w:footnote w:id="88">
    <w:p w14:paraId="77370CE1">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本单位正式在岗职工定义同“拟担任主要设计（勘察）人员简历表”脚注①.b款中的规定。</w:t>
      </w:r>
    </w:p>
  </w:footnote>
  <w:footnote w:id="89">
    <w:p w14:paraId="736A7503">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90">
    <w:p w14:paraId="6B787859">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如以联合体形式投标，联合体所有成员的法定代表人均应共同签字或盖章。</w:t>
      </w:r>
    </w:p>
  </w:footnote>
  <w:footnote w:id="91">
    <w:p w14:paraId="64361CF6">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如联合体形式投标且存在委托代理人的，该委托代理人应为联合体所有成员的法定代表人共同委托牵头人代表的同一代理人并由代理人签字或盖章。</w:t>
      </w:r>
    </w:p>
  </w:footnote>
  <w:footnote w:id="92">
    <w:p w14:paraId="047E9692">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a.以联合体形式投标的，设计项目负责人必须是联合体牵头人派出的，其他人员所属单位，但应在备注栏中加以说明；招标内容包含勘察的，还包括勘察负责人，且必须由具有勘察资质的单位派出。</w:t>
      </w:r>
    </w:p>
    <w:p w14:paraId="7C16EE68">
      <w:pPr>
        <w:pStyle w:val="32"/>
        <w:keepNext w:val="0"/>
        <w:keepLines w:val="0"/>
        <w:pageBreakBefore w:val="0"/>
        <w:widowControl w:val="0"/>
        <w:kinsoku/>
        <w:wordWrap/>
        <w:overflowPunct/>
        <w:topLinePunct w:val="0"/>
        <w:bidi w:val="0"/>
        <w:spacing w:line="200" w:lineRule="exact"/>
        <w:ind w:firstLine="151" w:firstLineChars="100"/>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上述人员均应为投标人单位正式在岗职工（如联合体投标的为各方成员本单位），如造价负责人为外聘的，须附上外聘委托协议书；上述人员中除了建筑专业负责人可以由设计项目负责人兼任外，其他人员必须专人专职，不得兼职。</w:t>
      </w:r>
    </w:p>
    <w:p w14:paraId="451782CD">
      <w:pPr>
        <w:pStyle w:val="32"/>
        <w:keepNext w:val="0"/>
        <w:keepLines w:val="0"/>
        <w:pageBreakBefore w:val="0"/>
        <w:widowControl w:val="0"/>
        <w:kinsoku/>
        <w:wordWrap/>
        <w:overflowPunct/>
        <w:topLinePunct w:val="0"/>
        <w:bidi w:val="0"/>
        <w:spacing w:line="200" w:lineRule="exact"/>
        <w:ind w:firstLine="151" w:firstLineChars="100"/>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c.以联合体形式投标的，本表的备注栏中填写派出单位名称。</w:t>
      </w:r>
    </w:p>
    <w:p w14:paraId="5B417FB4">
      <w:pPr>
        <w:pStyle w:val="32"/>
        <w:keepNext w:val="0"/>
        <w:keepLines w:val="0"/>
        <w:pageBreakBefore w:val="0"/>
        <w:widowControl w:val="0"/>
        <w:kinsoku/>
        <w:wordWrap/>
        <w:overflowPunct/>
        <w:topLinePunct w:val="0"/>
        <w:bidi w:val="0"/>
        <w:spacing w:line="200" w:lineRule="exact"/>
        <w:ind w:firstLine="151" w:firstLineChars="100"/>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d.在满足招标文件要求的前提下，为体现实力投标人可以提供优于资格要求的项目人员配置。</w:t>
      </w:r>
    </w:p>
  </w:footnote>
  <w:footnote w:id="93">
    <w:p w14:paraId="21003FAB">
      <w:pPr>
        <w:keepNext w:val="0"/>
        <w:keepLines w:val="0"/>
        <w:pageBreakBefore w:val="0"/>
        <w:widowControl w:val="0"/>
        <w:kinsoku/>
        <w:wordWrap/>
        <w:overflowPunct/>
        <w:topLinePunct w:val="0"/>
        <w:autoSpaceDE w:val="0"/>
        <w:autoSpaceDN w:val="0"/>
        <w:bidi w:val="0"/>
        <w:snapToGrid w:val="0"/>
        <w:spacing w:line="200" w:lineRule="exact"/>
        <w:jc w:val="lef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须随同本简历表附上：资格审查合格条件要求的，以及综合评估法评分要求的（如有时）主要设计人员的执业资格（职称）证书扫描件，包括设计项目负责人的执业资格（职称）证书和身份证扫描件、以及其他主要设计人员（“其他主要设计人员”是指招标文件投标须知前附表要求的各专业设计负责人，如建筑、结构、道桥、电气设备、给排水、燃气、风景园林、造价等专业负责人；招标内容包含勘察的，包括勘察负责人和主要勘察专业负责人）的执业资格（职称）证书扫描件。</w:t>
      </w:r>
    </w:p>
    <w:p w14:paraId="57E3EBC1">
      <w:pPr>
        <w:keepNext w:val="0"/>
        <w:keepLines w:val="0"/>
        <w:pageBreakBefore w:val="0"/>
        <w:widowControl w:val="0"/>
        <w:kinsoku/>
        <w:wordWrap/>
        <w:overflowPunct/>
        <w:topLinePunct w:val="0"/>
        <w:autoSpaceDE w:val="0"/>
        <w:autoSpaceDN w:val="0"/>
        <w:bidi w:val="0"/>
        <w:snapToGrid w:val="0"/>
        <w:spacing w:line="200" w:lineRule="exact"/>
        <w:ind w:firstLine="151" w:firstLineChars="100"/>
        <w:jc w:val="lef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投标人拟担任设计项目负责人和其他主要设计人员必须是本单位正式在岗职工（如联合体投标的为各方成员本单位），造价负责人可以外聘，但须附上委托书和执业资格（职称）证书（如有）。所谓本单位正式在岗职工，是指具有本单位社保缴费证明【必须附上社保管理部门出具的缴交社保费（至少包含养老保险）（在投标截止期之前的三个月内出具的且自出具当日之前缴费时间连续三个月以上的）的证明书，或提交从社保机构网上下载的社会养老保险费的缴交情况（信息表）；若投标人为高等院校或科研机构所属勘察设计单位，其社保由上级院校、科研机构缴交的，则须提交上级院校或科研机构证明原件扫描件；若投标人单位为无法出具社保证明的事业编制的，则应提交由该事业单位主管部门近一年内（自投标截止日期前一年内）出具的证明扫描件（说明原因，提供相关主管部门名称、联系人及联系固定办公电话）】或住房城乡建设行政主管部门核发的有效执业资格证书证明（如上述人员所提交的加盖注册章的执业资格证书的章号与投标人单位资质证书号一致或执业资格证书所署的单位名称与投标人名称一致的，则可以不提交社保费证明。执业资格证书证明发生变更的，应按有关规定办理完变更手续后方可参加投标，并以发证机关核准的变更为准）。</w:t>
      </w:r>
    </w:p>
    <w:p w14:paraId="741F5F3B">
      <w:pPr>
        <w:keepNext w:val="0"/>
        <w:keepLines w:val="0"/>
        <w:pageBreakBefore w:val="0"/>
        <w:widowControl w:val="0"/>
        <w:kinsoku/>
        <w:wordWrap/>
        <w:overflowPunct/>
        <w:topLinePunct w:val="0"/>
        <w:autoSpaceDE w:val="0"/>
        <w:autoSpaceDN w:val="0"/>
        <w:bidi w:val="0"/>
        <w:snapToGrid w:val="0"/>
        <w:spacing w:line="200" w:lineRule="exact"/>
        <w:ind w:firstLine="151" w:firstLineChars="100"/>
        <w:jc w:val="lef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c.设计项目负责人资格应与所承担的设计项目相适应；投标人所报的设计项目负责人人选，在投标资格申请、投标和项目的实施中均应保持一致，除非招标文件另有规定。</w:t>
      </w:r>
    </w:p>
    <w:p w14:paraId="751EA09B">
      <w:pPr>
        <w:keepNext w:val="0"/>
        <w:keepLines w:val="0"/>
        <w:pageBreakBefore w:val="0"/>
        <w:widowControl w:val="0"/>
        <w:kinsoku/>
        <w:wordWrap/>
        <w:overflowPunct/>
        <w:topLinePunct w:val="0"/>
        <w:autoSpaceDE w:val="0"/>
        <w:autoSpaceDN w:val="0"/>
        <w:bidi w:val="0"/>
        <w:snapToGrid w:val="0"/>
        <w:spacing w:line="200" w:lineRule="exact"/>
        <w:ind w:firstLine="151" w:firstLineChars="100"/>
        <w:jc w:val="lef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d.境外投标人应提供相应资料的中文译本。</w:t>
      </w:r>
    </w:p>
  </w:footnote>
  <w:footnote w:id="94">
    <w:p w14:paraId="76028340">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本承诺函加盖投标人单位实体公章和项目负责人亲自签字后并扫描上传。</w:t>
      </w:r>
    </w:p>
  </w:footnote>
  <w:footnote w:id="95">
    <w:p w14:paraId="16BC2928">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bCs/>
          <w:color w:val="000000" w:themeColor="text1"/>
          <w:sz w:val="15"/>
          <w:szCs w:val="15"/>
          <w:highlight w:val="none"/>
          <w14:textFill>
            <w14:solidFill>
              <w14:schemeClr w14:val="tx1"/>
            </w14:solidFill>
          </w14:textFill>
        </w:rPr>
        <w:t>如</w:t>
      </w:r>
      <w:r>
        <w:rPr>
          <w:rFonts w:hint="eastAsia" w:ascii="宋体" w:hAnsi="宋体" w:eastAsia="宋体" w:cs="宋体"/>
          <w:b/>
          <w:color w:val="000000" w:themeColor="text1"/>
          <w:sz w:val="15"/>
          <w:szCs w:val="15"/>
          <w:highlight w:val="none"/>
          <w14:textFill>
            <w14:solidFill>
              <w14:schemeClr w14:val="tx1"/>
            </w14:solidFill>
          </w14:textFill>
        </w:rPr>
        <w:t>以联合体形式投标的，联合体所有成员均应加盖单位实体公章。</w:t>
      </w:r>
    </w:p>
  </w:footnote>
  <w:footnote w:id="96">
    <w:p w14:paraId="61E9A8A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设计招标项目的项目负责人为设计项目负责人亲自签字；勘察设计招标项目的项目负责人包括设计项目负责人和勘察负责人，本承诺函应写明设计项目负责人和勘察负责人的姓名、单位名称并亲自签字。</w:t>
      </w:r>
    </w:p>
  </w:footnote>
  <w:footnote w:id="97">
    <w:p w14:paraId="58F84ED8">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98">
    <w:p w14:paraId="2380B0AC">
      <w:pPr>
        <w:keepNext w:val="0"/>
        <w:keepLines w:val="0"/>
        <w:pageBreakBefore w:val="0"/>
        <w:widowControl w:val="0"/>
        <w:tabs>
          <w:tab w:val="left" w:pos="0"/>
          <w:tab w:val="left" w:pos="510"/>
          <w:tab w:val="left" w:pos="567"/>
          <w:tab w:val="left" w:pos="993"/>
          <w:tab w:val="left" w:pos="1134"/>
        </w:tabs>
        <w:kinsoku/>
        <w:wordWrap/>
        <w:overflowPunct/>
        <w:topLinePunct w:val="0"/>
        <w:bidi w:val="0"/>
        <w:snapToGrid w:val="0"/>
        <w:spacing w:line="200" w:lineRule="exact"/>
        <w:jc w:val="lef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a.为了证明投标人和拟担任的项目负责人的“类似项目设计业绩”，应如实同时附上设计合同书和施工图审查合格书的扫描件，否则，其业绩不计。联合体投标的，“类似项目设计业绩”必须由牵头人提供。</w:t>
      </w:r>
    </w:p>
    <w:p w14:paraId="0B7936C5">
      <w:pPr>
        <w:pStyle w:val="32"/>
        <w:keepNext w:val="0"/>
        <w:keepLines w:val="0"/>
        <w:pageBreakBefore w:val="0"/>
        <w:widowControl w:val="0"/>
        <w:kinsoku/>
        <w:wordWrap/>
        <w:overflowPunct/>
        <w:topLinePunct w:val="0"/>
        <w:bidi w:val="0"/>
        <w:spacing w:line="200" w:lineRule="exact"/>
        <w:ind w:firstLine="151" w:firstLineChars="100"/>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若设计合同书或施工图审查合格书中均未标明招标文件所要求的反映“类似项目设计业绩”特征的，应补充提交能恰当说明上述特征的工程设计文件扫描件；若设计合同书或施工图审查合格书均未明确标明设计项目负责人的，应补充提交能证明项目负责人的如优秀设计项目证书等行政主管部门发出的证书扫描件或建设单位开出的项目负责人证明扫描件，否则其设计项目负责人业绩无效。</w:t>
      </w:r>
    </w:p>
    <w:p w14:paraId="6E82C3A7">
      <w:pPr>
        <w:pStyle w:val="32"/>
        <w:keepNext w:val="0"/>
        <w:keepLines w:val="0"/>
        <w:pageBreakBefore w:val="0"/>
        <w:widowControl w:val="0"/>
        <w:kinsoku/>
        <w:wordWrap/>
        <w:overflowPunct/>
        <w:topLinePunct w:val="0"/>
        <w:bidi w:val="0"/>
        <w:spacing w:line="200" w:lineRule="exact"/>
        <w:ind w:firstLine="151" w:firstLineChars="100"/>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c.“类似项目设计业绩”时间以施工图审查合格日期为准。未实行施工图审查的园林景观项目，允许用建设单位出具的证明代替施工图审查合格书（至少应明确项目负责人、设计完成时间等特征要求）。</w:t>
      </w:r>
    </w:p>
  </w:footnote>
  <w:footnote w:id="99">
    <w:p w14:paraId="055057AB">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a.联合体协议书中应对各方拟承担的工作和责任作出清楚、完整而又详细的说明。</w:t>
      </w:r>
    </w:p>
    <w:p w14:paraId="1F467AF4">
      <w:pPr>
        <w:pStyle w:val="32"/>
        <w:keepNext w:val="0"/>
        <w:keepLines w:val="0"/>
        <w:pageBreakBefore w:val="0"/>
        <w:widowControl w:val="0"/>
        <w:kinsoku/>
        <w:wordWrap/>
        <w:overflowPunct/>
        <w:topLinePunct w:val="0"/>
        <w:bidi w:val="0"/>
        <w:spacing w:line="200" w:lineRule="exact"/>
        <w:ind w:firstLine="151" w:firstLineChars="100"/>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b.中外合作的联合体各方拟承担的工作和责任应符合中华人民共和国建设部颁发的《关于外国企业在中华人民共和国境内从事建设工程设计活动的管理暂行规定》，并符合投标人须知正文第1.5条规定。</w:t>
      </w:r>
    </w:p>
  </w:footnote>
  <w:footnote w:id="100">
    <w:p w14:paraId="58806F2A">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kern w:val="2"/>
          <w:sz w:val="15"/>
          <w:szCs w:val="15"/>
          <w:highlight w:val="none"/>
          <w14:textFill>
            <w14:solidFill>
              <w14:schemeClr w14:val="tx1"/>
            </w14:solidFill>
          </w14:textFill>
        </w:rPr>
      </w:pPr>
      <w:r>
        <w:rPr>
          <w:rFonts w:hint="eastAsia" w:ascii="宋体" w:hAnsi="宋体" w:eastAsia="宋体" w:cs="宋体"/>
          <w:color w:val="000000" w:themeColor="text1"/>
          <w:kern w:val="2"/>
          <w:sz w:val="15"/>
          <w:szCs w:val="15"/>
          <w:highlight w:val="none"/>
          <w14:textFill>
            <w14:solidFill>
              <w14:schemeClr w14:val="tx1"/>
            </w14:solidFill>
          </w14:textFill>
        </w:rPr>
        <w:footnoteRef/>
      </w:r>
      <w:r>
        <w:rPr>
          <w:rFonts w:hint="eastAsia" w:ascii="宋体" w:hAnsi="宋体" w:eastAsia="宋体" w:cs="宋体"/>
          <w:color w:val="000000" w:themeColor="text1"/>
          <w:kern w:val="2"/>
          <w:sz w:val="15"/>
          <w:szCs w:val="15"/>
          <w:highlight w:val="none"/>
          <w14:textFill>
            <w14:solidFill>
              <w14:schemeClr w14:val="tx1"/>
            </w14:solidFill>
          </w14:textFill>
        </w:rPr>
        <w:t>根据招标文件的要求和投标人认为需要提供的资料，在此处自行列编。</w:t>
      </w:r>
    </w:p>
  </w:footnote>
  <w:footnote w:id="101">
    <w:p w14:paraId="512AEA60">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102">
    <w:p w14:paraId="5B29683E">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如以联合体形式投标，联合体所有成员的法定代表人均应共同签字或盖章；或存在委托代理人的，该委托代理人应为联合体所有成员的法定代表人共同委托牵头人代表的同一代理人并由委托代理人签字或盖章。</w:t>
      </w:r>
    </w:p>
  </w:footnote>
  <w:footnote w:id="103">
    <w:p w14:paraId="1B19D464">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104">
    <w:p w14:paraId="6DEF6212">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房屋建筑工程盖拟担任设计项目负责人实体建筑师执业章并签字，市政基础设施工程由拟担任设计项目负责人签字即可。</w:t>
      </w:r>
    </w:p>
  </w:footnote>
  <w:footnote w:id="105">
    <w:p w14:paraId="226E555A">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本表中的设计费投标报价金额和勘察费投标报价金额（如有时）应与“五.设计（勘察）投标报价表”中的金额相同。如招标不含勘察，可相应表格不用填写。</w:t>
      </w:r>
    </w:p>
  </w:footnote>
  <w:footnote w:id="106">
    <w:p w14:paraId="74DAD2B7">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采用现金形式的附上：a.电汇或银行转账单的扫描件并加盖投标人单位电子印章；b.企业基本账户许可证或基本存款账户开户银行开具的《基本存款账户信息》扫描件并加盖投标人单位电子印章。</w:t>
      </w:r>
    </w:p>
    <w:p w14:paraId="36EF332E">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采用电子保函形式的附上：a.电子投标保函原件并加盖电子投标保函开立人电子印章或电子投标保函开立人依法刻制并授权用于投标保函业务的专用章；b.支付电子投标保函费用的电汇或银行转账回单扫描件并加盖投标人单位电子印章；c.电子投标保函开立人出具的加盖电子投标保函开立人电子印章或电子投标保函开立人依法刻制并授权用于投标保函业务的专用章的到账证明扫描件并加盖投标人单位电子印章；d.企业基本账户开户许可证或基本存款账户开户银行开具的《基本存款账户信息》扫描件并加盖投标人单位电子印章。</w:t>
      </w:r>
    </w:p>
  </w:footnote>
  <w:footnote w:id="107">
    <w:p w14:paraId="4006A827">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资格审查文件中已提交合法有效的授权委托书，且被授权人没有发生变化的，则投标人不需要在商务文件中再次提交授权委托书，其资格审查文件中的授权委托书继续保持有效。签字和盖章要求与资格审查文件中“授权委托书”相同。</w:t>
      </w:r>
    </w:p>
  </w:footnote>
  <w:footnote w:id="108">
    <w:p w14:paraId="2A74C307">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本单位正式在岗职工定义同“拟担任主要设计（勘察）人员简历表”脚注①.b款中的规定。</w:t>
      </w:r>
    </w:p>
  </w:footnote>
  <w:footnote w:id="109">
    <w:p w14:paraId="2AEF68E3">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宋体" w:hAnsi="宋体" w:eastAsia="宋体" w:cs="宋体"/>
          <w:b/>
          <w:color w:val="000000" w:themeColor="text1"/>
          <w:sz w:val="15"/>
          <w:szCs w:val="15"/>
          <w:highlight w:val="none"/>
          <w:u w:val="none"/>
          <w14:textFill>
            <w14:solidFill>
              <w14:schemeClr w14:val="tx1"/>
            </w14:solidFill>
          </w14:textFill>
        </w:rPr>
      </w:pPr>
      <w:r>
        <w:rPr>
          <w:rFonts w:hint="eastAsia" w:ascii="宋体" w:hAnsi="宋体" w:eastAsia="宋体" w:cs="宋体"/>
          <w:b/>
          <w:color w:val="000000" w:themeColor="text1"/>
          <w:sz w:val="15"/>
          <w:szCs w:val="15"/>
          <w:highlight w:val="none"/>
          <w:u w:val="none"/>
          <w14:textFill>
            <w14:solidFill>
              <w14:schemeClr w14:val="tx1"/>
            </w14:solidFill>
          </w14:textFill>
        </w:rPr>
        <w:footnoteRef/>
      </w:r>
      <w:r>
        <w:rPr>
          <w:rFonts w:hint="eastAsia" w:ascii="宋体" w:hAnsi="宋体" w:eastAsia="宋体" w:cs="宋体"/>
          <w:b/>
          <w:color w:val="000000" w:themeColor="text1"/>
          <w:sz w:val="15"/>
          <w:szCs w:val="15"/>
          <w:highlight w:val="none"/>
          <w:u w:val="none"/>
          <w14:textFill>
            <w14:solidFill>
              <w14:schemeClr w14:val="tx1"/>
            </w14:solidFill>
          </w14:textFill>
        </w:rPr>
        <w:t xml:space="preserve"> </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a.</w:t>
      </w:r>
      <w:r>
        <w:rPr>
          <w:rFonts w:hint="eastAsia" w:ascii="宋体" w:hAnsi="宋体" w:eastAsia="宋体" w:cs="宋体"/>
          <w:b/>
          <w:color w:val="000000" w:themeColor="text1"/>
          <w:sz w:val="15"/>
          <w:szCs w:val="15"/>
          <w:highlight w:val="none"/>
          <w:u w:val="none"/>
          <w14:textFill>
            <w14:solidFill>
              <w14:schemeClr w14:val="tx1"/>
            </w14:solidFill>
          </w14:textFill>
        </w:rPr>
        <w:t>投标人在投标时应做出设计费报价，其设计费报价总</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金</w:t>
      </w:r>
      <w:r>
        <w:rPr>
          <w:rFonts w:hint="eastAsia" w:ascii="宋体" w:hAnsi="宋体" w:eastAsia="宋体" w:cs="宋体"/>
          <w:b/>
          <w:color w:val="000000" w:themeColor="text1"/>
          <w:sz w:val="15"/>
          <w:szCs w:val="15"/>
          <w:highlight w:val="none"/>
          <w:u w:val="none"/>
          <w14:textFill>
            <w14:solidFill>
              <w14:schemeClr w14:val="tx1"/>
            </w14:solidFill>
          </w14:textFill>
        </w:rPr>
        <w:t>额</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及各项设计费报价金额不得</w:t>
      </w:r>
      <w:r>
        <w:rPr>
          <w:rFonts w:hint="eastAsia" w:ascii="宋体" w:hAnsi="宋体" w:eastAsia="宋体" w:cs="宋体"/>
          <w:b/>
          <w:color w:val="000000" w:themeColor="text1"/>
          <w:sz w:val="15"/>
          <w:szCs w:val="15"/>
          <w:highlight w:val="none"/>
          <w:u w:val="none"/>
          <w14:textFill>
            <w14:solidFill>
              <w14:schemeClr w14:val="tx1"/>
            </w14:solidFill>
          </w14:textFill>
        </w:rPr>
        <w:t>超过招标人公布的设计费</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总金</w:t>
      </w:r>
      <w:r>
        <w:rPr>
          <w:rFonts w:hint="eastAsia" w:ascii="宋体" w:hAnsi="宋体" w:eastAsia="宋体" w:cs="宋体"/>
          <w:b/>
          <w:color w:val="000000" w:themeColor="text1"/>
          <w:sz w:val="15"/>
          <w:szCs w:val="15"/>
          <w:highlight w:val="none"/>
          <w:u w:val="none"/>
          <w14:textFill>
            <w14:solidFill>
              <w14:schemeClr w14:val="tx1"/>
            </w14:solidFill>
          </w14:textFill>
        </w:rPr>
        <w:t>额</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及各项设计费金额</w:t>
      </w:r>
      <w:r>
        <w:rPr>
          <w:rFonts w:hint="eastAsia" w:ascii="宋体" w:hAnsi="宋体" w:eastAsia="宋体" w:cs="宋体"/>
          <w:b/>
          <w:color w:val="000000" w:themeColor="text1"/>
          <w:sz w:val="15"/>
          <w:szCs w:val="15"/>
          <w:highlight w:val="none"/>
          <w:u w:val="none"/>
          <w14:textFill>
            <w14:solidFill>
              <w14:schemeClr w14:val="tx1"/>
            </w14:solidFill>
          </w14:textFill>
        </w:rPr>
        <w:t>，其浮动幅度值也不得超过招标文件约定所允许的上下浮动的幅度。招标内容包含勘察的，其勘察费报价（浮动幅度值）也不得超过招标人公布的</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金额（</w:t>
      </w:r>
      <w:r>
        <w:rPr>
          <w:rFonts w:hint="eastAsia" w:ascii="宋体" w:hAnsi="宋体" w:eastAsia="宋体" w:cs="宋体"/>
          <w:b/>
          <w:color w:val="000000" w:themeColor="text1"/>
          <w:sz w:val="15"/>
          <w:szCs w:val="15"/>
          <w:highlight w:val="none"/>
          <w:u w:val="none"/>
          <w14:textFill>
            <w14:solidFill>
              <w14:schemeClr w14:val="tx1"/>
            </w14:solidFill>
          </w14:textFill>
        </w:rPr>
        <w:t>允许的浮动幅度值范围</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w:t>
      </w:r>
      <w:r>
        <w:rPr>
          <w:rFonts w:hint="eastAsia" w:ascii="宋体" w:hAnsi="宋体" w:eastAsia="宋体" w:cs="宋体"/>
          <w:b/>
          <w:color w:val="000000" w:themeColor="text1"/>
          <w:sz w:val="15"/>
          <w:szCs w:val="15"/>
          <w:highlight w:val="none"/>
          <w:u w:val="none"/>
          <w14:textFill>
            <w14:solidFill>
              <w14:schemeClr w14:val="tx1"/>
            </w14:solidFill>
          </w14:textFill>
        </w:rPr>
        <w:t>。本表中的设计费投标报价</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总金额</w:t>
      </w:r>
      <w:r>
        <w:rPr>
          <w:rFonts w:hint="eastAsia" w:ascii="宋体" w:hAnsi="宋体" w:eastAsia="宋体" w:cs="宋体"/>
          <w:b/>
          <w:color w:val="000000" w:themeColor="text1"/>
          <w:sz w:val="15"/>
          <w:szCs w:val="15"/>
          <w:highlight w:val="none"/>
          <w:u w:val="none"/>
          <w14:textFill>
            <w14:solidFill>
              <w14:schemeClr w14:val="tx1"/>
            </w14:solidFill>
          </w14:textFill>
        </w:rPr>
        <w:t>和勘察费报价（如有时）应与“二.投标函附表”中的金额相同。</w:t>
      </w:r>
    </w:p>
    <w:p w14:paraId="208F6D41">
      <w:pPr>
        <w:keepNext w:val="0"/>
        <w:keepLines w:val="0"/>
        <w:pageBreakBefore w:val="0"/>
        <w:widowControl w:val="0"/>
        <w:kinsoku/>
        <w:wordWrap/>
        <w:overflowPunct/>
        <w:topLinePunct w:val="0"/>
        <w:autoSpaceDE/>
        <w:autoSpaceDN/>
        <w:bidi w:val="0"/>
        <w:adjustRightInd w:val="0"/>
        <w:snapToGrid/>
        <w:spacing w:line="200" w:lineRule="exact"/>
        <w:ind w:firstLine="151" w:firstLineChars="100"/>
        <w:textAlignment w:val="baseline"/>
        <w:rPr>
          <w:rFonts w:hint="eastAsia" w:ascii="宋体" w:hAnsi="宋体" w:eastAsia="宋体" w:cs="宋体"/>
          <w:b/>
          <w:color w:val="000000" w:themeColor="text1"/>
          <w:sz w:val="15"/>
          <w:szCs w:val="15"/>
          <w:highlight w:val="none"/>
          <w:u w:val="none"/>
          <w14:textFill>
            <w14:solidFill>
              <w14:schemeClr w14:val="tx1"/>
            </w14:solidFill>
          </w14:textFill>
        </w:rPr>
      </w:pP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b.</w:t>
      </w:r>
      <w:r>
        <w:rPr>
          <w:rFonts w:hint="eastAsia" w:ascii="宋体" w:hAnsi="宋体" w:eastAsia="宋体" w:cs="宋体"/>
          <w:b/>
          <w:color w:val="000000" w:themeColor="text1"/>
          <w:sz w:val="15"/>
          <w:szCs w:val="15"/>
          <w:highlight w:val="none"/>
          <w:u w:val="none"/>
          <w14:textFill>
            <w14:solidFill>
              <w14:schemeClr w14:val="tx1"/>
            </w14:solidFill>
          </w14:textFill>
        </w:rPr>
        <w:t>如以联合体形式投标，联合体成员各方均应盖章。</w:t>
      </w:r>
    </w:p>
    <w:p w14:paraId="09F88FE6">
      <w:pPr>
        <w:keepNext w:val="0"/>
        <w:keepLines w:val="0"/>
        <w:pageBreakBefore w:val="0"/>
        <w:widowControl w:val="0"/>
        <w:kinsoku/>
        <w:wordWrap/>
        <w:overflowPunct/>
        <w:topLinePunct w:val="0"/>
        <w:autoSpaceDE/>
        <w:autoSpaceDN/>
        <w:bidi w:val="0"/>
        <w:adjustRightInd w:val="0"/>
        <w:snapToGrid/>
        <w:spacing w:line="200" w:lineRule="exact"/>
        <w:ind w:firstLine="151" w:firstLineChars="100"/>
        <w:textAlignment w:val="baseline"/>
        <w:rPr>
          <w:rFonts w:hint="eastAsia" w:ascii="宋体" w:hAnsi="宋体" w:eastAsia="宋体" w:cs="宋体"/>
          <w:b/>
          <w:color w:val="000000" w:themeColor="text1"/>
          <w:sz w:val="15"/>
          <w:szCs w:val="15"/>
          <w:highlight w:val="none"/>
          <w:u w:val="none"/>
          <w:lang w:eastAsia="zh-CN"/>
          <w14:textFill>
            <w14:solidFill>
              <w14:schemeClr w14:val="tx1"/>
            </w14:solidFill>
          </w14:textFill>
        </w:rPr>
      </w:pP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c.</w:t>
      </w:r>
      <w:r>
        <w:rPr>
          <w:rFonts w:hint="eastAsia" w:ascii="宋体" w:hAnsi="宋体" w:eastAsia="宋体" w:cs="宋体"/>
          <w:b/>
          <w:color w:val="000000" w:themeColor="text1"/>
          <w:sz w:val="15"/>
          <w:szCs w:val="15"/>
          <w:highlight w:val="none"/>
          <w:u w:val="none"/>
          <w14:textFill>
            <w14:solidFill>
              <w14:schemeClr w14:val="tx1"/>
            </w14:solidFill>
          </w14:textFill>
        </w:rPr>
        <w:t>如招标文件不要求投标人对设计费组成进行细分报价或勘察设计费报价采用分项报价或不包含勘察报价，投标人在制作投标报价表时可相应删除“设计费组成”或“勘察费”相应表格</w:t>
      </w:r>
      <w:r>
        <w:rPr>
          <w:rFonts w:hint="eastAsia" w:ascii="宋体" w:hAnsi="宋体" w:eastAsia="宋体" w:cs="宋体"/>
          <w:b/>
          <w:color w:val="000000" w:themeColor="text1"/>
          <w:sz w:val="15"/>
          <w:szCs w:val="15"/>
          <w:highlight w:val="none"/>
          <w:u w:val="none"/>
          <w:lang w:eastAsia="zh-CN"/>
          <w14:textFill>
            <w14:solidFill>
              <w14:schemeClr w14:val="tx1"/>
            </w14:solidFill>
          </w14:textFill>
        </w:rPr>
        <w:t>。</w:t>
      </w:r>
    </w:p>
  </w:footnote>
  <w:footnote w:id="110">
    <w:p w14:paraId="07DDA20A">
      <w:pPr>
        <w:keepNext w:val="0"/>
        <w:keepLines w:val="0"/>
        <w:pageBreakBefore w:val="0"/>
        <w:widowControl w:val="0"/>
        <w:tabs>
          <w:tab w:val="left" w:pos="1000"/>
        </w:tabs>
        <w:kinsoku/>
        <w:wordWrap/>
        <w:overflowPunct/>
        <w:topLinePunct w:val="0"/>
        <w:autoSpaceDE/>
        <w:autoSpaceDN/>
        <w:bidi w:val="0"/>
        <w:adjustRightInd w:val="0"/>
        <w:snapToGrid/>
        <w:spacing w:line="200" w:lineRule="exact"/>
        <w:jc w:val="left"/>
        <w:textAlignment w:val="baseline"/>
        <w:rPr>
          <w:rFonts w:hint="eastAsia" w:ascii="宋体" w:hAnsi="宋体" w:eastAsia="宋体" w:cs="宋体"/>
          <w:b/>
          <w:color w:val="000000" w:themeColor="text1"/>
          <w:sz w:val="15"/>
          <w:szCs w:val="15"/>
          <w:highlight w:val="none"/>
          <w:u w:val="none"/>
          <w14:textFill>
            <w14:solidFill>
              <w14:schemeClr w14:val="tx1"/>
            </w14:solidFill>
          </w14:textFill>
        </w:rPr>
      </w:pPr>
      <w:r>
        <w:rPr>
          <w:rFonts w:hint="eastAsia" w:ascii="宋体" w:hAnsi="宋体" w:eastAsia="宋体" w:cs="宋体"/>
          <w:b/>
          <w:color w:val="000000" w:themeColor="text1"/>
          <w:sz w:val="15"/>
          <w:szCs w:val="15"/>
          <w:highlight w:val="none"/>
          <w:u w:val="none"/>
          <w14:textFill>
            <w14:solidFill>
              <w14:schemeClr w14:val="tx1"/>
            </w14:solidFill>
          </w14:textFill>
        </w:rPr>
        <w:footnoteRef/>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a.</w:t>
      </w:r>
      <w:r>
        <w:rPr>
          <w:rFonts w:hint="eastAsia" w:ascii="宋体" w:hAnsi="宋体" w:eastAsia="宋体" w:cs="宋体"/>
          <w:b/>
          <w:color w:val="000000" w:themeColor="text1"/>
          <w:sz w:val="15"/>
          <w:szCs w:val="15"/>
          <w:highlight w:val="none"/>
          <w:u w:val="none"/>
          <w14:textFill>
            <w14:solidFill>
              <w14:schemeClr w14:val="tx1"/>
            </w14:solidFill>
          </w14:textFill>
        </w:rPr>
        <w:t>投标人在投标时应做出设计费报价，其设计费报价总</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金</w:t>
      </w:r>
      <w:r>
        <w:rPr>
          <w:rFonts w:hint="eastAsia" w:ascii="宋体" w:hAnsi="宋体" w:eastAsia="宋体" w:cs="宋体"/>
          <w:b/>
          <w:color w:val="000000" w:themeColor="text1"/>
          <w:sz w:val="15"/>
          <w:szCs w:val="15"/>
          <w:highlight w:val="none"/>
          <w:u w:val="none"/>
          <w14:textFill>
            <w14:solidFill>
              <w14:schemeClr w14:val="tx1"/>
            </w14:solidFill>
          </w14:textFill>
        </w:rPr>
        <w:t>额</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及各项设计费报价金额不得</w:t>
      </w:r>
      <w:r>
        <w:rPr>
          <w:rFonts w:hint="eastAsia" w:ascii="宋体" w:hAnsi="宋体" w:eastAsia="宋体" w:cs="宋体"/>
          <w:b/>
          <w:color w:val="000000" w:themeColor="text1"/>
          <w:sz w:val="15"/>
          <w:szCs w:val="15"/>
          <w:highlight w:val="none"/>
          <w:u w:val="none"/>
          <w14:textFill>
            <w14:solidFill>
              <w14:schemeClr w14:val="tx1"/>
            </w14:solidFill>
          </w14:textFill>
        </w:rPr>
        <w:t>超过招标人公布的设计费</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总金</w:t>
      </w:r>
      <w:r>
        <w:rPr>
          <w:rFonts w:hint="eastAsia" w:ascii="宋体" w:hAnsi="宋体" w:eastAsia="宋体" w:cs="宋体"/>
          <w:b/>
          <w:color w:val="000000" w:themeColor="text1"/>
          <w:sz w:val="15"/>
          <w:szCs w:val="15"/>
          <w:highlight w:val="none"/>
          <w:u w:val="none"/>
          <w14:textFill>
            <w14:solidFill>
              <w14:schemeClr w14:val="tx1"/>
            </w14:solidFill>
          </w14:textFill>
        </w:rPr>
        <w:t>额</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及各项设计费金额</w:t>
      </w:r>
      <w:r>
        <w:rPr>
          <w:rFonts w:hint="eastAsia" w:ascii="宋体" w:hAnsi="宋体" w:eastAsia="宋体" w:cs="宋体"/>
          <w:b/>
          <w:color w:val="000000" w:themeColor="text1"/>
          <w:sz w:val="15"/>
          <w:szCs w:val="15"/>
          <w:highlight w:val="none"/>
          <w:u w:val="none"/>
          <w14:textFill>
            <w14:solidFill>
              <w14:schemeClr w14:val="tx1"/>
            </w14:solidFill>
          </w14:textFill>
        </w:rPr>
        <w:t>，其浮动幅度值也不得超过招标文件约定所允许的上下浮动的幅度。招标内容包含勘察的，其勘察费报价（浮动幅度值）也不得超过招标人公布的</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金额（</w:t>
      </w:r>
      <w:r>
        <w:rPr>
          <w:rFonts w:hint="eastAsia" w:ascii="宋体" w:hAnsi="宋体" w:eastAsia="宋体" w:cs="宋体"/>
          <w:b/>
          <w:color w:val="000000" w:themeColor="text1"/>
          <w:sz w:val="15"/>
          <w:szCs w:val="15"/>
          <w:highlight w:val="none"/>
          <w:u w:val="none"/>
          <w14:textFill>
            <w14:solidFill>
              <w14:schemeClr w14:val="tx1"/>
            </w14:solidFill>
          </w14:textFill>
        </w:rPr>
        <w:t>允许的浮动幅度值范围</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w:t>
      </w:r>
      <w:r>
        <w:rPr>
          <w:rFonts w:hint="eastAsia" w:ascii="宋体" w:hAnsi="宋体" w:eastAsia="宋体" w:cs="宋体"/>
          <w:b/>
          <w:color w:val="000000" w:themeColor="text1"/>
          <w:sz w:val="15"/>
          <w:szCs w:val="15"/>
          <w:highlight w:val="none"/>
          <w:u w:val="none"/>
          <w14:textFill>
            <w14:solidFill>
              <w14:schemeClr w14:val="tx1"/>
            </w14:solidFill>
          </w14:textFill>
        </w:rPr>
        <w:t>。</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各项</w:t>
      </w:r>
      <w:r>
        <w:rPr>
          <w:rFonts w:hint="eastAsia" w:ascii="宋体" w:hAnsi="宋体" w:eastAsia="宋体" w:cs="宋体"/>
          <w:b/>
          <w:color w:val="000000" w:themeColor="text1"/>
          <w:sz w:val="15"/>
          <w:szCs w:val="15"/>
          <w:highlight w:val="none"/>
          <w:u w:val="none"/>
          <w14:textFill>
            <w14:solidFill>
              <w14:schemeClr w14:val="tx1"/>
            </w14:solidFill>
          </w14:textFill>
        </w:rPr>
        <w:t>设计费报价</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合计</w:t>
      </w:r>
      <w:r>
        <w:rPr>
          <w:rFonts w:hint="eastAsia" w:ascii="宋体" w:hAnsi="宋体" w:eastAsia="宋体" w:cs="宋体"/>
          <w:b/>
          <w:color w:val="000000" w:themeColor="text1"/>
          <w:sz w:val="15"/>
          <w:szCs w:val="15"/>
          <w:highlight w:val="none"/>
          <w:u w:val="none"/>
          <w14:textFill>
            <w14:solidFill>
              <w14:schemeClr w14:val="tx1"/>
            </w14:solidFill>
          </w14:textFill>
        </w:rPr>
        <w:t>和勘察费报价（如有时）应与“二.投标函附表”中的金额相同。</w:t>
      </w:r>
    </w:p>
    <w:p w14:paraId="33C0A99E">
      <w:pPr>
        <w:keepNext w:val="0"/>
        <w:keepLines w:val="0"/>
        <w:pageBreakBefore w:val="0"/>
        <w:widowControl w:val="0"/>
        <w:tabs>
          <w:tab w:val="left" w:pos="1000"/>
        </w:tabs>
        <w:kinsoku/>
        <w:wordWrap/>
        <w:overflowPunct/>
        <w:topLinePunct w:val="0"/>
        <w:autoSpaceDE/>
        <w:autoSpaceDN/>
        <w:bidi w:val="0"/>
        <w:adjustRightInd w:val="0"/>
        <w:snapToGrid/>
        <w:spacing w:line="200" w:lineRule="exact"/>
        <w:ind w:firstLine="151" w:firstLineChars="100"/>
        <w:jc w:val="left"/>
        <w:textAlignment w:val="baseline"/>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pP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b.如以联合体形式投标，联合体成员各方均应盖章。</w:t>
      </w:r>
    </w:p>
    <w:p w14:paraId="7738E320">
      <w:pPr>
        <w:pStyle w:val="32"/>
        <w:keepNext w:val="0"/>
        <w:keepLines w:val="0"/>
        <w:pageBreakBefore w:val="0"/>
        <w:widowControl w:val="0"/>
        <w:kinsoku/>
        <w:wordWrap/>
        <w:overflowPunct/>
        <w:topLinePunct w:val="0"/>
        <w:autoSpaceDE/>
        <w:autoSpaceDN/>
        <w:bidi w:val="0"/>
        <w:adjustRightInd w:val="0"/>
        <w:snapToGrid w:val="0"/>
        <w:spacing w:line="200" w:lineRule="exact"/>
        <w:ind w:firstLine="151" w:firstLineChars="100"/>
        <w:textAlignment w:val="baseline"/>
        <w:rPr>
          <w:rFonts w:hint="eastAsia" w:ascii="宋体" w:hAnsi="宋体" w:eastAsia="宋体" w:cs="宋体"/>
          <w:color w:val="000000" w:themeColor="text1"/>
          <w:sz w:val="15"/>
          <w:szCs w:val="15"/>
          <w:highlight w:val="none"/>
          <w:u w:val="none"/>
          <w14:textFill>
            <w14:solidFill>
              <w14:schemeClr w14:val="tx1"/>
            </w14:solidFill>
          </w14:textFill>
        </w:rPr>
      </w:pP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c.</w:t>
      </w:r>
      <w:r>
        <w:rPr>
          <w:rFonts w:hint="eastAsia" w:ascii="宋体" w:hAnsi="宋体" w:eastAsia="宋体" w:cs="宋体"/>
          <w:b/>
          <w:color w:val="000000" w:themeColor="text1"/>
          <w:sz w:val="15"/>
          <w:szCs w:val="15"/>
          <w:highlight w:val="none"/>
          <w:u w:val="none"/>
          <w14:textFill>
            <w14:solidFill>
              <w14:schemeClr w14:val="tx1"/>
            </w14:solidFill>
          </w14:textFill>
        </w:rPr>
        <w:t>投标人应根据招标人提供的《设计费分项表》、《BIM技术应用费分项表》</w:t>
      </w:r>
      <w:r>
        <w:rPr>
          <w:rFonts w:hint="eastAsia" w:ascii="宋体" w:hAnsi="宋体" w:eastAsia="宋体" w:cs="宋体"/>
          <w:b/>
          <w:color w:val="000000" w:themeColor="text1"/>
          <w:sz w:val="15"/>
          <w:szCs w:val="15"/>
          <w:highlight w:val="none"/>
          <w:u w:val="none"/>
          <w:lang w:eastAsia="zh-CN"/>
          <w14:textFill>
            <w14:solidFill>
              <w14:schemeClr w14:val="tx1"/>
            </w14:solidFill>
          </w14:textFill>
        </w:rPr>
        <w:t>、</w:t>
      </w:r>
      <w:r>
        <w:rPr>
          <w:rFonts w:hint="eastAsia" w:ascii="宋体" w:hAnsi="宋体" w:eastAsia="宋体" w:cs="宋体"/>
          <w:b/>
          <w:color w:val="000000" w:themeColor="text1"/>
          <w:sz w:val="15"/>
          <w:szCs w:val="15"/>
          <w:highlight w:val="none"/>
          <w:u w:val="none"/>
          <w14:textFill>
            <w14:solidFill>
              <w14:schemeClr w14:val="tx1"/>
            </w14:solidFill>
          </w14:textFill>
        </w:rPr>
        <w:t>《</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绿色建筑设计收费</w:t>
      </w:r>
      <w:r>
        <w:rPr>
          <w:rFonts w:hint="eastAsia" w:ascii="宋体" w:hAnsi="宋体" w:eastAsia="宋体" w:cs="宋体"/>
          <w:b/>
          <w:color w:val="000000" w:themeColor="text1"/>
          <w:sz w:val="15"/>
          <w:szCs w:val="15"/>
          <w:highlight w:val="none"/>
          <w:u w:val="none"/>
          <w14:textFill>
            <w14:solidFill>
              <w14:schemeClr w14:val="tx1"/>
            </w14:solidFill>
          </w14:textFill>
        </w:rPr>
        <w:t>分项表》</w:t>
      </w:r>
      <w:r>
        <w:rPr>
          <w:rFonts w:hint="eastAsia" w:ascii="宋体" w:hAnsi="宋体" w:eastAsia="宋体" w:cs="宋体"/>
          <w:b/>
          <w:color w:val="000000" w:themeColor="text1"/>
          <w:sz w:val="15"/>
          <w:szCs w:val="15"/>
          <w:highlight w:val="none"/>
          <w:u w:val="none"/>
          <w:lang w:eastAsia="zh-CN"/>
          <w14:textFill>
            <w14:solidFill>
              <w14:schemeClr w14:val="tx1"/>
            </w14:solidFill>
          </w14:textFill>
        </w:rPr>
        <w:t>、</w:t>
      </w:r>
      <w:r>
        <w:rPr>
          <w:rFonts w:hint="eastAsia" w:ascii="宋体" w:hAnsi="宋体" w:eastAsia="宋体" w:cs="宋体"/>
          <w:b/>
          <w:color w:val="000000" w:themeColor="text1"/>
          <w:sz w:val="15"/>
          <w:szCs w:val="15"/>
          <w:highlight w:val="none"/>
          <w:u w:val="none"/>
          <w14:textFill>
            <w14:solidFill>
              <w14:schemeClr w14:val="tx1"/>
            </w14:solidFill>
          </w14:textFill>
        </w:rPr>
        <w:t>《工程勘察分项表》</w:t>
      </w:r>
      <w:r>
        <w:rPr>
          <w:rFonts w:hint="eastAsia" w:ascii="宋体" w:hAnsi="宋体" w:eastAsia="宋体" w:cs="宋体"/>
          <w:b/>
          <w:color w:val="000000" w:themeColor="text1"/>
          <w:sz w:val="15"/>
          <w:szCs w:val="15"/>
          <w:highlight w:val="none"/>
          <w:u w:val="none"/>
          <w:lang w:eastAsia="zh-CN"/>
          <w14:textFill>
            <w14:solidFill>
              <w14:schemeClr w14:val="tx1"/>
            </w14:solidFill>
          </w14:textFill>
        </w:rPr>
        <w:t>（</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如有</w:t>
      </w:r>
      <w:r>
        <w:rPr>
          <w:rFonts w:hint="eastAsia" w:ascii="宋体" w:hAnsi="宋体" w:eastAsia="宋体" w:cs="宋体"/>
          <w:b/>
          <w:color w:val="000000" w:themeColor="text1"/>
          <w:sz w:val="15"/>
          <w:szCs w:val="15"/>
          <w:highlight w:val="none"/>
          <w:u w:val="none"/>
          <w:lang w:eastAsia="zh-CN"/>
          <w14:textFill>
            <w14:solidFill>
              <w14:schemeClr w14:val="tx1"/>
            </w14:solidFill>
          </w14:textFill>
        </w:rPr>
        <w:t>）</w:t>
      </w:r>
      <w:r>
        <w:rPr>
          <w:rFonts w:hint="eastAsia" w:ascii="宋体" w:hAnsi="宋体" w:eastAsia="宋体" w:cs="宋体"/>
          <w:b/>
          <w:color w:val="000000" w:themeColor="text1"/>
          <w:sz w:val="15"/>
          <w:szCs w:val="15"/>
          <w:highlight w:val="none"/>
          <w:u w:val="none"/>
          <w14:textFill>
            <w14:solidFill>
              <w14:schemeClr w14:val="tx1"/>
            </w14:solidFill>
          </w14:textFill>
        </w:rPr>
        <w:t>进行报价，除填写投标报价外，投标人不得修改</w:t>
      </w:r>
      <w:r>
        <w:rPr>
          <w:rFonts w:hint="eastAsia" w:ascii="宋体" w:hAnsi="宋体" w:eastAsia="宋体" w:cs="宋体"/>
          <w:b/>
          <w:color w:val="000000" w:themeColor="text1"/>
          <w:sz w:val="15"/>
          <w:szCs w:val="15"/>
          <w:highlight w:val="none"/>
          <w:u w:val="none"/>
          <w:lang w:val="en-US" w:eastAsia="zh-CN"/>
          <w14:textFill>
            <w14:solidFill>
              <w14:schemeClr w14:val="tx1"/>
            </w14:solidFill>
          </w14:textFill>
        </w:rPr>
        <w:t>其他</w:t>
      </w:r>
      <w:r>
        <w:rPr>
          <w:rFonts w:hint="eastAsia" w:ascii="宋体" w:hAnsi="宋体" w:eastAsia="宋体" w:cs="宋体"/>
          <w:b/>
          <w:color w:val="000000" w:themeColor="text1"/>
          <w:sz w:val="15"/>
          <w:szCs w:val="15"/>
          <w:highlight w:val="none"/>
          <w:u w:val="none"/>
          <w14:textFill>
            <w14:solidFill>
              <w14:schemeClr w14:val="tx1"/>
            </w14:solidFill>
          </w14:textFill>
        </w:rPr>
        <w:t>内容。</w:t>
      </w:r>
    </w:p>
  </w:footnote>
  <w:footnote w:id="111">
    <w:p w14:paraId="0B17A72B">
      <w:pPr>
        <w:pStyle w:val="32"/>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kern w:val="2"/>
          <w:sz w:val="15"/>
          <w:szCs w:val="15"/>
          <w:highlight w:val="none"/>
          <w:lang w:eastAsia="zh-CN"/>
          <w14:textFill>
            <w14:solidFill>
              <w14:schemeClr w14:val="tx1"/>
            </w14:solidFill>
          </w14:textFill>
        </w:rPr>
      </w:pPr>
      <w:r>
        <w:rPr>
          <w:rFonts w:hint="eastAsia" w:ascii="宋体" w:hAnsi="宋体" w:eastAsia="宋体" w:cs="宋体"/>
          <w:color w:val="000000" w:themeColor="text1"/>
          <w:kern w:val="2"/>
          <w:sz w:val="15"/>
          <w:szCs w:val="15"/>
          <w:highlight w:val="none"/>
          <w14:textFill>
            <w14:solidFill>
              <w14:schemeClr w14:val="tx1"/>
            </w14:solidFill>
          </w14:textFill>
        </w:rPr>
        <w:footnoteRef/>
      </w:r>
      <w:r>
        <w:rPr>
          <w:rFonts w:hint="eastAsia" w:ascii="宋体" w:hAnsi="宋体" w:eastAsia="宋体" w:cs="宋体"/>
          <w:color w:val="000000" w:themeColor="text1"/>
          <w:kern w:val="2"/>
          <w:sz w:val="15"/>
          <w:szCs w:val="15"/>
          <w:highlight w:val="none"/>
          <w14:textFill>
            <w14:solidFill>
              <w14:schemeClr w14:val="tx1"/>
            </w14:solidFill>
          </w14:textFill>
        </w:rPr>
        <w:t>根据招标文件的要求和投标人认为需要提供的资料</w:t>
      </w:r>
      <w:r>
        <w:rPr>
          <w:rFonts w:hint="eastAsia" w:ascii="宋体" w:hAnsi="宋体" w:eastAsia="宋体" w:cs="宋体"/>
          <w:color w:val="000000" w:themeColor="text1"/>
          <w:sz w:val="15"/>
          <w:szCs w:val="15"/>
          <w:highlight w:val="none"/>
          <w14:textFill>
            <w14:solidFill>
              <w14:schemeClr w14:val="tx1"/>
            </w14:solidFill>
          </w14:textFill>
        </w:rPr>
        <w:t>，在此处自行列编</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112">
    <w:p w14:paraId="7380029F">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投标人针对每一项信用子要素需分别单独编制情况表。</w:t>
      </w:r>
    </w:p>
  </w:footnote>
  <w:footnote w:id="113">
    <w:p w14:paraId="48FAAE5A">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此处由投标人根据招标文件第四章</w:t>
      </w:r>
      <w:r>
        <w:rPr>
          <w:rFonts w:hint="eastAsia" w:ascii="宋体" w:hAnsi="宋体" w:eastAsia="宋体" w:cs="宋体"/>
          <w:b/>
          <w:bCs/>
          <w:color w:val="000000" w:themeColor="text1"/>
          <w:kern w:val="1"/>
          <w:sz w:val="15"/>
          <w:szCs w:val="15"/>
          <w:highlight w:val="none"/>
          <w14:textFill>
            <w14:solidFill>
              <w14:schemeClr w14:val="tx1"/>
            </w14:solidFill>
          </w14:textFill>
        </w:rPr>
        <w:t>定标</w:t>
      </w:r>
      <w:r>
        <w:rPr>
          <w:rFonts w:hint="eastAsia" w:ascii="宋体" w:hAnsi="宋体" w:eastAsia="宋体" w:cs="宋体"/>
          <w:b/>
          <w:bCs/>
          <w:color w:val="000000" w:themeColor="text1"/>
          <w:kern w:val="1"/>
          <w:sz w:val="15"/>
          <w:szCs w:val="15"/>
          <w:highlight w:val="none"/>
          <w:lang w:val="en-US" w:eastAsia="zh-CN"/>
          <w14:textFill>
            <w14:solidFill>
              <w14:schemeClr w14:val="tx1"/>
            </w14:solidFill>
          </w14:textFill>
        </w:rPr>
        <w:t>方案</w:t>
      </w:r>
      <w:r>
        <w:rPr>
          <w:rFonts w:hint="eastAsia" w:ascii="宋体" w:hAnsi="宋体" w:eastAsia="宋体" w:cs="宋体"/>
          <w:b/>
          <w:color w:val="000000" w:themeColor="text1"/>
          <w:sz w:val="15"/>
          <w:szCs w:val="15"/>
          <w:highlight w:val="none"/>
          <w14:textFill>
            <w14:solidFill>
              <w14:schemeClr w14:val="tx1"/>
            </w14:solidFill>
          </w14:textFill>
        </w:rPr>
        <w:t>规定的定标要素中的信用要素填入相应的子要素。</w:t>
      </w:r>
    </w:p>
  </w:footnote>
  <w:footnote w:id="114">
    <w:p w14:paraId="0293C5C9">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投标人针对每一项子要素需分别单独编制情况表。</w:t>
      </w:r>
    </w:p>
  </w:footnote>
  <w:footnote w:id="115">
    <w:p w14:paraId="3CBD189E">
      <w:pPr>
        <w:pStyle w:val="32"/>
        <w:keepNext w:val="0"/>
        <w:keepLines w:val="0"/>
        <w:pageBreakBefore w:val="0"/>
        <w:widowControl w:val="0"/>
        <w:kinsoku/>
        <w:wordWrap/>
        <w:overflowPunct/>
        <w:topLinePunct w:val="0"/>
        <w:bidi w:val="0"/>
        <w:spacing w:line="200" w:lineRule="exact"/>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此处由投标人根据招标文件第四章</w:t>
      </w:r>
      <w:r>
        <w:rPr>
          <w:rFonts w:hint="eastAsia" w:ascii="宋体" w:hAnsi="宋体" w:eastAsia="宋体" w:cs="宋体"/>
          <w:b/>
          <w:bCs/>
          <w:color w:val="000000" w:themeColor="text1"/>
          <w:kern w:val="1"/>
          <w:sz w:val="15"/>
          <w:szCs w:val="15"/>
          <w:highlight w:val="none"/>
          <w14:textFill>
            <w14:solidFill>
              <w14:schemeClr w14:val="tx1"/>
            </w14:solidFill>
          </w14:textFill>
        </w:rPr>
        <w:t>定标</w:t>
      </w:r>
      <w:r>
        <w:rPr>
          <w:rFonts w:hint="eastAsia" w:ascii="宋体" w:hAnsi="宋体" w:eastAsia="宋体" w:cs="宋体"/>
          <w:b/>
          <w:bCs/>
          <w:color w:val="000000" w:themeColor="text1"/>
          <w:kern w:val="1"/>
          <w:sz w:val="15"/>
          <w:szCs w:val="15"/>
          <w:highlight w:val="none"/>
          <w:lang w:val="en-US" w:eastAsia="zh-CN"/>
          <w14:textFill>
            <w14:solidFill>
              <w14:schemeClr w14:val="tx1"/>
            </w14:solidFill>
          </w14:textFill>
        </w:rPr>
        <w:t>方案</w:t>
      </w:r>
      <w:r>
        <w:rPr>
          <w:rFonts w:hint="eastAsia" w:ascii="宋体" w:hAnsi="宋体" w:eastAsia="宋体" w:cs="宋体"/>
          <w:b/>
          <w:color w:val="000000" w:themeColor="text1"/>
          <w:sz w:val="15"/>
          <w:szCs w:val="15"/>
          <w:highlight w:val="none"/>
          <w14:textFill>
            <w14:solidFill>
              <w14:schemeClr w14:val="tx1"/>
            </w14:solidFill>
          </w14:textFill>
        </w:rPr>
        <w:t>规定的定标要素中的实力要素填入相应的子要素。</w:t>
      </w:r>
    </w:p>
  </w:footnote>
  <w:footnote w:id="116">
    <w:p w14:paraId="530E52BD">
      <w:pPr>
        <w:pStyle w:val="32"/>
        <w:keepNext w:val="0"/>
        <w:keepLines w:val="0"/>
        <w:pageBreakBefore w:val="0"/>
        <w:widowControl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技术文件采用暗标形式递交，均不得盖章或体现投标人名称、具体人名或可以认为是投标人承担过的工程项目名称或其他可以判定投标人的标识或文字。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8567"/>
    <w:multiLevelType w:val="singleLevel"/>
    <w:tmpl w:val="B16A8567"/>
    <w:lvl w:ilvl="0" w:tentative="0">
      <w:start w:val="2"/>
      <w:numFmt w:val="chineseCounting"/>
      <w:suff w:val="nothing"/>
      <w:lvlText w:val="%1、"/>
      <w:lvlJc w:val="left"/>
      <w:rPr>
        <w:rFonts w:hint="eastAsia"/>
      </w:rPr>
    </w:lvl>
  </w:abstractNum>
  <w:abstractNum w:abstractNumId="1">
    <w:nsid w:val="6B0F5AB8"/>
    <w:multiLevelType w:val="multilevel"/>
    <w:tmpl w:val="6B0F5AB8"/>
    <w:lvl w:ilvl="0" w:tentative="0">
      <w:start w:val="1"/>
      <w:numFmt w:val="decimal"/>
      <w:lvlText w:val="%1."/>
      <w:lvlJc w:val="left"/>
      <w:pPr>
        <w:tabs>
          <w:tab w:val="left" w:pos="0"/>
        </w:tabs>
        <w:ind w:left="0" w:firstLine="0"/>
      </w:pPr>
      <w:rPr>
        <w:rFonts w:hint="eastAsia"/>
        <w:sz w:val="28"/>
        <w:szCs w:val="28"/>
      </w:rPr>
    </w:lvl>
    <w:lvl w:ilvl="1" w:tentative="0">
      <w:start w:val="1"/>
      <w:numFmt w:val="decimal"/>
      <w:lvlText w:val="%1.%2."/>
      <w:lvlJc w:val="left"/>
      <w:pPr>
        <w:tabs>
          <w:tab w:val="left" w:pos="625"/>
        </w:tabs>
        <w:ind w:left="58" w:firstLine="510"/>
      </w:pPr>
      <w:rPr>
        <w:rFonts w:hint="eastAsia"/>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9"/>
  <w:displayHorizontalDrawingGridEvery w:val="0"/>
  <w:displayVerticalDrawingGridEvery w:val="2"/>
  <w:characterSpacingControl w:val="compressPunctuation"/>
  <w:footnotePr>
    <w:numFmt w:val="decimalEnclosedCircleChinese"/>
    <w:numRestart w:val="eachPage"/>
    <w:footnote w:id="234"/>
    <w:footnote w:id="23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DMwNDkzNjhmMjEwYjhlYmZjOTAyZjBlZjY1NjMifQ=="/>
  </w:docVars>
  <w:rsids>
    <w:rsidRoot w:val="00ED672C"/>
    <w:rsid w:val="00000196"/>
    <w:rsid w:val="00000426"/>
    <w:rsid w:val="00000D6B"/>
    <w:rsid w:val="00002343"/>
    <w:rsid w:val="00003481"/>
    <w:rsid w:val="000039BD"/>
    <w:rsid w:val="000040A7"/>
    <w:rsid w:val="00004109"/>
    <w:rsid w:val="000041F9"/>
    <w:rsid w:val="00004895"/>
    <w:rsid w:val="00004953"/>
    <w:rsid w:val="000059FE"/>
    <w:rsid w:val="00005CCF"/>
    <w:rsid w:val="0000610B"/>
    <w:rsid w:val="0000616E"/>
    <w:rsid w:val="000064F7"/>
    <w:rsid w:val="0000769A"/>
    <w:rsid w:val="0001016B"/>
    <w:rsid w:val="00010C3C"/>
    <w:rsid w:val="000111C1"/>
    <w:rsid w:val="00011343"/>
    <w:rsid w:val="00011C34"/>
    <w:rsid w:val="00012ED7"/>
    <w:rsid w:val="000131B6"/>
    <w:rsid w:val="0001329E"/>
    <w:rsid w:val="000134BC"/>
    <w:rsid w:val="00013979"/>
    <w:rsid w:val="00014710"/>
    <w:rsid w:val="00014B30"/>
    <w:rsid w:val="00014B87"/>
    <w:rsid w:val="0001521A"/>
    <w:rsid w:val="00015299"/>
    <w:rsid w:val="00015645"/>
    <w:rsid w:val="000156F4"/>
    <w:rsid w:val="000159D9"/>
    <w:rsid w:val="00016655"/>
    <w:rsid w:val="0001677F"/>
    <w:rsid w:val="0001786C"/>
    <w:rsid w:val="00017B6C"/>
    <w:rsid w:val="00017C4B"/>
    <w:rsid w:val="00017C62"/>
    <w:rsid w:val="00017E20"/>
    <w:rsid w:val="00017E2E"/>
    <w:rsid w:val="00020204"/>
    <w:rsid w:val="0002144B"/>
    <w:rsid w:val="0002176A"/>
    <w:rsid w:val="00022BF2"/>
    <w:rsid w:val="00022F07"/>
    <w:rsid w:val="000233C4"/>
    <w:rsid w:val="0002438F"/>
    <w:rsid w:val="0002444A"/>
    <w:rsid w:val="000248F2"/>
    <w:rsid w:val="00025004"/>
    <w:rsid w:val="000255D4"/>
    <w:rsid w:val="00025705"/>
    <w:rsid w:val="00026345"/>
    <w:rsid w:val="0002674E"/>
    <w:rsid w:val="00026873"/>
    <w:rsid w:val="00027594"/>
    <w:rsid w:val="000276AC"/>
    <w:rsid w:val="00027DC1"/>
    <w:rsid w:val="00031473"/>
    <w:rsid w:val="000318F5"/>
    <w:rsid w:val="00032835"/>
    <w:rsid w:val="00032872"/>
    <w:rsid w:val="00032E25"/>
    <w:rsid w:val="00033317"/>
    <w:rsid w:val="00033930"/>
    <w:rsid w:val="00033E58"/>
    <w:rsid w:val="000341DE"/>
    <w:rsid w:val="000345CC"/>
    <w:rsid w:val="00034A7C"/>
    <w:rsid w:val="000350EC"/>
    <w:rsid w:val="0003559E"/>
    <w:rsid w:val="000358C9"/>
    <w:rsid w:val="00035A87"/>
    <w:rsid w:val="00036FB8"/>
    <w:rsid w:val="00037159"/>
    <w:rsid w:val="0003723B"/>
    <w:rsid w:val="0003773C"/>
    <w:rsid w:val="00037B2A"/>
    <w:rsid w:val="000413D0"/>
    <w:rsid w:val="00041810"/>
    <w:rsid w:val="00041851"/>
    <w:rsid w:val="0004282A"/>
    <w:rsid w:val="00043185"/>
    <w:rsid w:val="00043F39"/>
    <w:rsid w:val="000443B5"/>
    <w:rsid w:val="00044AE3"/>
    <w:rsid w:val="000454A4"/>
    <w:rsid w:val="0004580D"/>
    <w:rsid w:val="00045AA0"/>
    <w:rsid w:val="00046889"/>
    <w:rsid w:val="00047113"/>
    <w:rsid w:val="00047366"/>
    <w:rsid w:val="00047761"/>
    <w:rsid w:val="00047EE1"/>
    <w:rsid w:val="00050674"/>
    <w:rsid w:val="00050917"/>
    <w:rsid w:val="00052CBC"/>
    <w:rsid w:val="000538AD"/>
    <w:rsid w:val="000539BA"/>
    <w:rsid w:val="000543EE"/>
    <w:rsid w:val="00055583"/>
    <w:rsid w:val="00055CDC"/>
    <w:rsid w:val="00055D47"/>
    <w:rsid w:val="000561F4"/>
    <w:rsid w:val="000562B1"/>
    <w:rsid w:val="000567BE"/>
    <w:rsid w:val="00056CC3"/>
    <w:rsid w:val="0006003E"/>
    <w:rsid w:val="00061012"/>
    <w:rsid w:val="0006187B"/>
    <w:rsid w:val="000618D4"/>
    <w:rsid w:val="00061B00"/>
    <w:rsid w:val="00061BBD"/>
    <w:rsid w:val="000621AF"/>
    <w:rsid w:val="00062412"/>
    <w:rsid w:val="000630C6"/>
    <w:rsid w:val="00064D83"/>
    <w:rsid w:val="00065126"/>
    <w:rsid w:val="00065744"/>
    <w:rsid w:val="00065785"/>
    <w:rsid w:val="000657ED"/>
    <w:rsid w:val="000660F3"/>
    <w:rsid w:val="00066872"/>
    <w:rsid w:val="000675C9"/>
    <w:rsid w:val="0006768D"/>
    <w:rsid w:val="00072291"/>
    <w:rsid w:val="0007377B"/>
    <w:rsid w:val="00074058"/>
    <w:rsid w:val="000742EF"/>
    <w:rsid w:val="00074667"/>
    <w:rsid w:val="000748B9"/>
    <w:rsid w:val="00074FDC"/>
    <w:rsid w:val="0007549A"/>
    <w:rsid w:val="00075821"/>
    <w:rsid w:val="00075923"/>
    <w:rsid w:val="000759E3"/>
    <w:rsid w:val="00075AC7"/>
    <w:rsid w:val="00076F2E"/>
    <w:rsid w:val="000778D6"/>
    <w:rsid w:val="00077B5E"/>
    <w:rsid w:val="00080186"/>
    <w:rsid w:val="00081BD4"/>
    <w:rsid w:val="00081D74"/>
    <w:rsid w:val="000827AD"/>
    <w:rsid w:val="00082BD1"/>
    <w:rsid w:val="000840DE"/>
    <w:rsid w:val="00084735"/>
    <w:rsid w:val="00085870"/>
    <w:rsid w:val="00086053"/>
    <w:rsid w:val="00086103"/>
    <w:rsid w:val="00086149"/>
    <w:rsid w:val="00086197"/>
    <w:rsid w:val="00087124"/>
    <w:rsid w:val="0008713A"/>
    <w:rsid w:val="00087CBD"/>
    <w:rsid w:val="00090519"/>
    <w:rsid w:val="00090E60"/>
    <w:rsid w:val="0009165E"/>
    <w:rsid w:val="00092276"/>
    <w:rsid w:val="0009284B"/>
    <w:rsid w:val="000929C2"/>
    <w:rsid w:val="00095A01"/>
    <w:rsid w:val="00095FD0"/>
    <w:rsid w:val="00096E6B"/>
    <w:rsid w:val="000971A9"/>
    <w:rsid w:val="000975B0"/>
    <w:rsid w:val="00097D77"/>
    <w:rsid w:val="000A0034"/>
    <w:rsid w:val="000A018F"/>
    <w:rsid w:val="000A0663"/>
    <w:rsid w:val="000A06E5"/>
    <w:rsid w:val="000A0A75"/>
    <w:rsid w:val="000A1852"/>
    <w:rsid w:val="000A1C6E"/>
    <w:rsid w:val="000A1F33"/>
    <w:rsid w:val="000A23F3"/>
    <w:rsid w:val="000A2FA0"/>
    <w:rsid w:val="000A3604"/>
    <w:rsid w:val="000A3A24"/>
    <w:rsid w:val="000A3EBD"/>
    <w:rsid w:val="000A4AFD"/>
    <w:rsid w:val="000A5D59"/>
    <w:rsid w:val="000A642B"/>
    <w:rsid w:val="000A64CA"/>
    <w:rsid w:val="000A6ACE"/>
    <w:rsid w:val="000A706C"/>
    <w:rsid w:val="000A7D6D"/>
    <w:rsid w:val="000B00E1"/>
    <w:rsid w:val="000B05BD"/>
    <w:rsid w:val="000B075A"/>
    <w:rsid w:val="000B1028"/>
    <w:rsid w:val="000B106A"/>
    <w:rsid w:val="000B139E"/>
    <w:rsid w:val="000B1B42"/>
    <w:rsid w:val="000B1BEF"/>
    <w:rsid w:val="000B25B3"/>
    <w:rsid w:val="000B2C1F"/>
    <w:rsid w:val="000B2C43"/>
    <w:rsid w:val="000B3556"/>
    <w:rsid w:val="000B37FF"/>
    <w:rsid w:val="000B3AFB"/>
    <w:rsid w:val="000B4412"/>
    <w:rsid w:val="000B4473"/>
    <w:rsid w:val="000B4FAF"/>
    <w:rsid w:val="000B54F7"/>
    <w:rsid w:val="000B7300"/>
    <w:rsid w:val="000B7893"/>
    <w:rsid w:val="000C1DE7"/>
    <w:rsid w:val="000C27BB"/>
    <w:rsid w:val="000C2CFB"/>
    <w:rsid w:val="000C36E7"/>
    <w:rsid w:val="000C380E"/>
    <w:rsid w:val="000C3ABC"/>
    <w:rsid w:val="000C4046"/>
    <w:rsid w:val="000C5199"/>
    <w:rsid w:val="000C52E3"/>
    <w:rsid w:val="000C585C"/>
    <w:rsid w:val="000C5928"/>
    <w:rsid w:val="000C5934"/>
    <w:rsid w:val="000C5B9B"/>
    <w:rsid w:val="000C6059"/>
    <w:rsid w:val="000C662F"/>
    <w:rsid w:val="000C76FD"/>
    <w:rsid w:val="000D000E"/>
    <w:rsid w:val="000D0064"/>
    <w:rsid w:val="000D0529"/>
    <w:rsid w:val="000D09D0"/>
    <w:rsid w:val="000D0E79"/>
    <w:rsid w:val="000D117B"/>
    <w:rsid w:val="000D189A"/>
    <w:rsid w:val="000D239C"/>
    <w:rsid w:val="000D2922"/>
    <w:rsid w:val="000D296E"/>
    <w:rsid w:val="000D2DAE"/>
    <w:rsid w:val="000D34D7"/>
    <w:rsid w:val="000D396E"/>
    <w:rsid w:val="000D3AF6"/>
    <w:rsid w:val="000D3B44"/>
    <w:rsid w:val="000D3D56"/>
    <w:rsid w:val="000D3DDB"/>
    <w:rsid w:val="000D4041"/>
    <w:rsid w:val="000D4553"/>
    <w:rsid w:val="000D4EB4"/>
    <w:rsid w:val="000D4EC4"/>
    <w:rsid w:val="000D53F7"/>
    <w:rsid w:val="000D5701"/>
    <w:rsid w:val="000D5A8B"/>
    <w:rsid w:val="000D5C9F"/>
    <w:rsid w:val="000D67B4"/>
    <w:rsid w:val="000D6D60"/>
    <w:rsid w:val="000D741F"/>
    <w:rsid w:val="000D7758"/>
    <w:rsid w:val="000D78F3"/>
    <w:rsid w:val="000E2042"/>
    <w:rsid w:val="000E30BF"/>
    <w:rsid w:val="000E36B5"/>
    <w:rsid w:val="000E38E0"/>
    <w:rsid w:val="000E3B38"/>
    <w:rsid w:val="000E405C"/>
    <w:rsid w:val="000E4D1C"/>
    <w:rsid w:val="000E51E5"/>
    <w:rsid w:val="000E7BFF"/>
    <w:rsid w:val="000F000D"/>
    <w:rsid w:val="000F0501"/>
    <w:rsid w:val="000F07C0"/>
    <w:rsid w:val="000F1AA7"/>
    <w:rsid w:val="000F2081"/>
    <w:rsid w:val="000F2EDE"/>
    <w:rsid w:val="000F33D1"/>
    <w:rsid w:val="000F3583"/>
    <w:rsid w:val="000F37D4"/>
    <w:rsid w:val="000F3B6E"/>
    <w:rsid w:val="000F3C0F"/>
    <w:rsid w:val="000F3D98"/>
    <w:rsid w:val="000F42E0"/>
    <w:rsid w:val="000F493E"/>
    <w:rsid w:val="000F4ECD"/>
    <w:rsid w:val="000F4F10"/>
    <w:rsid w:val="000F519E"/>
    <w:rsid w:val="000F53BD"/>
    <w:rsid w:val="000F6984"/>
    <w:rsid w:val="000F6B75"/>
    <w:rsid w:val="000F760B"/>
    <w:rsid w:val="000F7DF3"/>
    <w:rsid w:val="001002E7"/>
    <w:rsid w:val="0010078E"/>
    <w:rsid w:val="00100D58"/>
    <w:rsid w:val="00100E69"/>
    <w:rsid w:val="00101052"/>
    <w:rsid w:val="0010184A"/>
    <w:rsid w:val="00101CA2"/>
    <w:rsid w:val="00101E4F"/>
    <w:rsid w:val="00102846"/>
    <w:rsid w:val="00104543"/>
    <w:rsid w:val="00104C8D"/>
    <w:rsid w:val="001052EE"/>
    <w:rsid w:val="001057CA"/>
    <w:rsid w:val="00105974"/>
    <w:rsid w:val="00105986"/>
    <w:rsid w:val="00105FCB"/>
    <w:rsid w:val="00107699"/>
    <w:rsid w:val="00107B1D"/>
    <w:rsid w:val="0011077E"/>
    <w:rsid w:val="00110EF0"/>
    <w:rsid w:val="00111628"/>
    <w:rsid w:val="00112129"/>
    <w:rsid w:val="00113412"/>
    <w:rsid w:val="00113E86"/>
    <w:rsid w:val="0011407E"/>
    <w:rsid w:val="001143E4"/>
    <w:rsid w:val="001147A5"/>
    <w:rsid w:val="00114E30"/>
    <w:rsid w:val="001162A7"/>
    <w:rsid w:val="0011664E"/>
    <w:rsid w:val="00116D1D"/>
    <w:rsid w:val="00116F7A"/>
    <w:rsid w:val="00117283"/>
    <w:rsid w:val="001179AD"/>
    <w:rsid w:val="00117A01"/>
    <w:rsid w:val="00120EA1"/>
    <w:rsid w:val="001211A2"/>
    <w:rsid w:val="00121533"/>
    <w:rsid w:val="00121751"/>
    <w:rsid w:val="00121854"/>
    <w:rsid w:val="001218BF"/>
    <w:rsid w:val="00121906"/>
    <w:rsid w:val="00121928"/>
    <w:rsid w:val="00121B5D"/>
    <w:rsid w:val="0012339D"/>
    <w:rsid w:val="00124D57"/>
    <w:rsid w:val="001263F3"/>
    <w:rsid w:val="00126E28"/>
    <w:rsid w:val="00127060"/>
    <w:rsid w:val="00127211"/>
    <w:rsid w:val="0012793E"/>
    <w:rsid w:val="00127E91"/>
    <w:rsid w:val="00130819"/>
    <w:rsid w:val="00130F8F"/>
    <w:rsid w:val="00131C01"/>
    <w:rsid w:val="001321F1"/>
    <w:rsid w:val="001323FB"/>
    <w:rsid w:val="00132803"/>
    <w:rsid w:val="00133053"/>
    <w:rsid w:val="00134CB7"/>
    <w:rsid w:val="00135174"/>
    <w:rsid w:val="0013529D"/>
    <w:rsid w:val="001354AF"/>
    <w:rsid w:val="001357D3"/>
    <w:rsid w:val="00136378"/>
    <w:rsid w:val="001365A9"/>
    <w:rsid w:val="00136A5A"/>
    <w:rsid w:val="00136F41"/>
    <w:rsid w:val="00137910"/>
    <w:rsid w:val="0013795B"/>
    <w:rsid w:val="00137D53"/>
    <w:rsid w:val="00140246"/>
    <w:rsid w:val="00140402"/>
    <w:rsid w:val="001410F8"/>
    <w:rsid w:val="001414E9"/>
    <w:rsid w:val="0014179F"/>
    <w:rsid w:val="00141D85"/>
    <w:rsid w:val="00141EA0"/>
    <w:rsid w:val="00142313"/>
    <w:rsid w:val="001425F4"/>
    <w:rsid w:val="00143E76"/>
    <w:rsid w:val="00143EA1"/>
    <w:rsid w:val="001452D5"/>
    <w:rsid w:val="00145315"/>
    <w:rsid w:val="001455FA"/>
    <w:rsid w:val="00145ACE"/>
    <w:rsid w:val="00145FF5"/>
    <w:rsid w:val="0014662C"/>
    <w:rsid w:val="00147E52"/>
    <w:rsid w:val="00150BE4"/>
    <w:rsid w:val="00150EE6"/>
    <w:rsid w:val="001516F4"/>
    <w:rsid w:val="00151C42"/>
    <w:rsid w:val="00151EB7"/>
    <w:rsid w:val="001524D3"/>
    <w:rsid w:val="00152C64"/>
    <w:rsid w:val="001530F2"/>
    <w:rsid w:val="00153162"/>
    <w:rsid w:val="00153376"/>
    <w:rsid w:val="00153B40"/>
    <w:rsid w:val="00153DDC"/>
    <w:rsid w:val="00154E24"/>
    <w:rsid w:val="00155FB7"/>
    <w:rsid w:val="00156215"/>
    <w:rsid w:val="0015649B"/>
    <w:rsid w:val="00157025"/>
    <w:rsid w:val="0015794C"/>
    <w:rsid w:val="0016020F"/>
    <w:rsid w:val="00160783"/>
    <w:rsid w:val="001608C7"/>
    <w:rsid w:val="00161032"/>
    <w:rsid w:val="00161DC3"/>
    <w:rsid w:val="00162434"/>
    <w:rsid w:val="001625EE"/>
    <w:rsid w:val="001642FA"/>
    <w:rsid w:val="0016476A"/>
    <w:rsid w:val="00164802"/>
    <w:rsid w:val="001652B9"/>
    <w:rsid w:val="001656E3"/>
    <w:rsid w:val="00167713"/>
    <w:rsid w:val="00167E1D"/>
    <w:rsid w:val="00170CCA"/>
    <w:rsid w:val="0017150A"/>
    <w:rsid w:val="001715E6"/>
    <w:rsid w:val="001727FB"/>
    <w:rsid w:val="001735C5"/>
    <w:rsid w:val="00173C00"/>
    <w:rsid w:val="00173E07"/>
    <w:rsid w:val="0017401C"/>
    <w:rsid w:val="00174240"/>
    <w:rsid w:val="0017470F"/>
    <w:rsid w:val="00174D1C"/>
    <w:rsid w:val="00174DB8"/>
    <w:rsid w:val="001750EE"/>
    <w:rsid w:val="0017531A"/>
    <w:rsid w:val="001757D5"/>
    <w:rsid w:val="00175AE2"/>
    <w:rsid w:val="00176144"/>
    <w:rsid w:val="001763B2"/>
    <w:rsid w:val="001764BC"/>
    <w:rsid w:val="001774AD"/>
    <w:rsid w:val="00177635"/>
    <w:rsid w:val="00177D91"/>
    <w:rsid w:val="001800D0"/>
    <w:rsid w:val="0018018E"/>
    <w:rsid w:val="001806CA"/>
    <w:rsid w:val="00181B69"/>
    <w:rsid w:val="001827A2"/>
    <w:rsid w:val="001829D6"/>
    <w:rsid w:val="00182B63"/>
    <w:rsid w:val="00182BF3"/>
    <w:rsid w:val="00183274"/>
    <w:rsid w:val="001833B3"/>
    <w:rsid w:val="00183C09"/>
    <w:rsid w:val="00183D31"/>
    <w:rsid w:val="00183FDF"/>
    <w:rsid w:val="0018408B"/>
    <w:rsid w:val="001840E5"/>
    <w:rsid w:val="00184CD2"/>
    <w:rsid w:val="00184DD2"/>
    <w:rsid w:val="001850D0"/>
    <w:rsid w:val="001853D5"/>
    <w:rsid w:val="00185EFA"/>
    <w:rsid w:val="001868DD"/>
    <w:rsid w:val="00187584"/>
    <w:rsid w:val="00187934"/>
    <w:rsid w:val="00187AAA"/>
    <w:rsid w:val="0019049B"/>
    <w:rsid w:val="00190620"/>
    <w:rsid w:val="00190BBD"/>
    <w:rsid w:val="00191017"/>
    <w:rsid w:val="0019126B"/>
    <w:rsid w:val="001916CB"/>
    <w:rsid w:val="00191755"/>
    <w:rsid w:val="001920F6"/>
    <w:rsid w:val="00192A52"/>
    <w:rsid w:val="00195509"/>
    <w:rsid w:val="00195D60"/>
    <w:rsid w:val="001965DB"/>
    <w:rsid w:val="00196ECD"/>
    <w:rsid w:val="00196ED7"/>
    <w:rsid w:val="001972CA"/>
    <w:rsid w:val="0019731A"/>
    <w:rsid w:val="00197CD5"/>
    <w:rsid w:val="001A02E6"/>
    <w:rsid w:val="001A11A3"/>
    <w:rsid w:val="001A1559"/>
    <w:rsid w:val="001A33EA"/>
    <w:rsid w:val="001A3A24"/>
    <w:rsid w:val="001A3BFC"/>
    <w:rsid w:val="001A4DB5"/>
    <w:rsid w:val="001A5FD8"/>
    <w:rsid w:val="001A61F3"/>
    <w:rsid w:val="001A6804"/>
    <w:rsid w:val="001A6B01"/>
    <w:rsid w:val="001B171E"/>
    <w:rsid w:val="001B1770"/>
    <w:rsid w:val="001B242A"/>
    <w:rsid w:val="001B2561"/>
    <w:rsid w:val="001B3993"/>
    <w:rsid w:val="001B520C"/>
    <w:rsid w:val="001B536A"/>
    <w:rsid w:val="001B53F3"/>
    <w:rsid w:val="001B540F"/>
    <w:rsid w:val="001B5531"/>
    <w:rsid w:val="001B56AC"/>
    <w:rsid w:val="001B5B48"/>
    <w:rsid w:val="001B64F1"/>
    <w:rsid w:val="001B6989"/>
    <w:rsid w:val="001B6DDA"/>
    <w:rsid w:val="001B7ED2"/>
    <w:rsid w:val="001C016E"/>
    <w:rsid w:val="001C11EE"/>
    <w:rsid w:val="001C340E"/>
    <w:rsid w:val="001C369D"/>
    <w:rsid w:val="001C46CE"/>
    <w:rsid w:val="001C5590"/>
    <w:rsid w:val="001C5672"/>
    <w:rsid w:val="001C5B53"/>
    <w:rsid w:val="001C6C36"/>
    <w:rsid w:val="001C6E66"/>
    <w:rsid w:val="001D059C"/>
    <w:rsid w:val="001D0DD8"/>
    <w:rsid w:val="001D0EC3"/>
    <w:rsid w:val="001D1841"/>
    <w:rsid w:val="001D1923"/>
    <w:rsid w:val="001D1A4A"/>
    <w:rsid w:val="001D20FC"/>
    <w:rsid w:val="001D21BF"/>
    <w:rsid w:val="001D2419"/>
    <w:rsid w:val="001D28C4"/>
    <w:rsid w:val="001D2977"/>
    <w:rsid w:val="001D3464"/>
    <w:rsid w:val="001D4401"/>
    <w:rsid w:val="001D46CF"/>
    <w:rsid w:val="001D48C2"/>
    <w:rsid w:val="001D4C3F"/>
    <w:rsid w:val="001D509E"/>
    <w:rsid w:val="001D6302"/>
    <w:rsid w:val="001D7CA8"/>
    <w:rsid w:val="001E01A9"/>
    <w:rsid w:val="001E053F"/>
    <w:rsid w:val="001E10CA"/>
    <w:rsid w:val="001E1D33"/>
    <w:rsid w:val="001E24D6"/>
    <w:rsid w:val="001E285D"/>
    <w:rsid w:val="001E2CE6"/>
    <w:rsid w:val="001E3C9E"/>
    <w:rsid w:val="001E4443"/>
    <w:rsid w:val="001E4D2C"/>
    <w:rsid w:val="001E517D"/>
    <w:rsid w:val="001E5FD1"/>
    <w:rsid w:val="001E6276"/>
    <w:rsid w:val="001E63AA"/>
    <w:rsid w:val="001E654B"/>
    <w:rsid w:val="001E6B6A"/>
    <w:rsid w:val="001E6F6F"/>
    <w:rsid w:val="001E7B62"/>
    <w:rsid w:val="001E7C7D"/>
    <w:rsid w:val="001E7C9A"/>
    <w:rsid w:val="001F07A9"/>
    <w:rsid w:val="001F07F0"/>
    <w:rsid w:val="001F193E"/>
    <w:rsid w:val="001F3064"/>
    <w:rsid w:val="001F3896"/>
    <w:rsid w:val="001F3C49"/>
    <w:rsid w:val="001F4F03"/>
    <w:rsid w:val="001F6B3C"/>
    <w:rsid w:val="001F7A19"/>
    <w:rsid w:val="001F7B46"/>
    <w:rsid w:val="00200238"/>
    <w:rsid w:val="002003CE"/>
    <w:rsid w:val="00200DE9"/>
    <w:rsid w:val="00202189"/>
    <w:rsid w:val="00202AC8"/>
    <w:rsid w:val="00203FC6"/>
    <w:rsid w:val="002049EE"/>
    <w:rsid w:val="00204C5A"/>
    <w:rsid w:val="002057D4"/>
    <w:rsid w:val="00205C53"/>
    <w:rsid w:val="00205F2B"/>
    <w:rsid w:val="00206502"/>
    <w:rsid w:val="00207127"/>
    <w:rsid w:val="00207240"/>
    <w:rsid w:val="00207636"/>
    <w:rsid w:val="002076AF"/>
    <w:rsid w:val="0020778D"/>
    <w:rsid w:val="00207B9D"/>
    <w:rsid w:val="00210977"/>
    <w:rsid w:val="00210A03"/>
    <w:rsid w:val="00210ECC"/>
    <w:rsid w:val="0021133D"/>
    <w:rsid w:val="00211597"/>
    <w:rsid w:val="00211A64"/>
    <w:rsid w:val="00211B8C"/>
    <w:rsid w:val="00211EE6"/>
    <w:rsid w:val="002124FE"/>
    <w:rsid w:val="00212DEC"/>
    <w:rsid w:val="00212EDC"/>
    <w:rsid w:val="0021329E"/>
    <w:rsid w:val="002133C6"/>
    <w:rsid w:val="002139BA"/>
    <w:rsid w:val="00213BA4"/>
    <w:rsid w:val="002145D9"/>
    <w:rsid w:val="00214B5E"/>
    <w:rsid w:val="00214C85"/>
    <w:rsid w:val="0021515B"/>
    <w:rsid w:val="002152DD"/>
    <w:rsid w:val="0021552C"/>
    <w:rsid w:val="00216214"/>
    <w:rsid w:val="0021644C"/>
    <w:rsid w:val="00216477"/>
    <w:rsid w:val="0021660B"/>
    <w:rsid w:val="002178B3"/>
    <w:rsid w:val="002204FF"/>
    <w:rsid w:val="00220520"/>
    <w:rsid w:val="00220545"/>
    <w:rsid w:val="00220FD4"/>
    <w:rsid w:val="00221AAB"/>
    <w:rsid w:val="002221BF"/>
    <w:rsid w:val="00222203"/>
    <w:rsid w:val="00222E7C"/>
    <w:rsid w:val="00223226"/>
    <w:rsid w:val="00223587"/>
    <w:rsid w:val="00224366"/>
    <w:rsid w:val="00224ACC"/>
    <w:rsid w:val="00224D3D"/>
    <w:rsid w:val="00226432"/>
    <w:rsid w:val="0022715F"/>
    <w:rsid w:val="00227510"/>
    <w:rsid w:val="00227967"/>
    <w:rsid w:val="00227E5F"/>
    <w:rsid w:val="00230073"/>
    <w:rsid w:val="002303FE"/>
    <w:rsid w:val="0023092E"/>
    <w:rsid w:val="00230DBE"/>
    <w:rsid w:val="00231188"/>
    <w:rsid w:val="0023123F"/>
    <w:rsid w:val="0023171A"/>
    <w:rsid w:val="00231F49"/>
    <w:rsid w:val="0023287D"/>
    <w:rsid w:val="00232C44"/>
    <w:rsid w:val="00232EE5"/>
    <w:rsid w:val="00232FDB"/>
    <w:rsid w:val="002340E8"/>
    <w:rsid w:val="00234E02"/>
    <w:rsid w:val="0023526A"/>
    <w:rsid w:val="00235A13"/>
    <w:rsid w:val="00235BEF"/>
    <w:rsid w:val="00235DF2"/>
    <w:rsid w:val="002364B9"/>
    <w:rsid w:val="002366BA"/>
    <w:rsid w:val="0023695C"/>
    <w:rsid w:val="00236A1E"/>
    <w:rsid w:val="002375AD"/>
    <w:rsid w:val="0024048F"/>
    <w:rsid w:val="002413CE"/>
    <w:rsid w:val="002417AB"/>
    <w:rsid w:val="00241992"/>
    <w:rsid w:val="00242924"/>
    <w:rsid w:val="002437F7"/>
    <w:rsid w:val="00243D47"/>
    <w:rsid w:val="002441D2"/>
    <w:rsid w:val="00244D18"/>
    <w:rsid w:val="002451C5"/>
    <w:rsid w:val="002453C7"/>
    <w:rsid w:val="00245514"/>
    <w:rsid w:val="00245916"/>
    <w:rsid w:val="002469DF"/>
    <w:rsid w:val="00246C0F"/>
    <w:rsid w:val="00246E15"/>
    <w:rsid w:val="0024728A"/>
    <w:rsid w:val="002477B4"/>
    <w:rsid w:val="00247BEC"/>
    <w:rsid w:val="00247DEF"/>
    <w:rsid w:val="00250D67"/>
    <w:rsid w:val="00250F32"/>
    <w:rsid w:val="00250FDB"/>
    <w:rsid w:val="00251710"/>
    <w:rsid w:val="00251A5E"/>
    <w:rsid w:val="002523EB"/>
    <w:rsid w:val="00252A68"/>
    <w:rsid w:val="00253292"/>
    <w:rsid w:val="00253A8F"/>
    <w:rsid w:val="00253F6E"/>
    <w:rsid w:val="00253F81"/>
    <w:rsid w:val="00254040"/>
    <w:rsid w:val="00254631"/>
    <w:rsid w:val="00254632"/>
    <w:rsid w:val="00254718"/>
    <w:rsid w:val="00254A77"/>
    <w:rsid w:val="002562BF"/>
    <w:rsid w:val="002563D3"/>
    <w:rsid w:val="00256B73"/>
    <w:rsid w:val="00256B81"/>
    <w:rsid w:val="00256DE2"/>
    <w:rsid w:val="00256E7D"/>
    <w:rsid w:val="002579CD"/>
    <w:rsid w:val="00257C87"/>
    <w:rsid w:val="002601AE"/>
    <w:rsid w:val="00260AD4"/>
    <w:rsid w:val="00260DE4"/>
    <w:rsid w:val="00261146"/>
    <w:rsid w:val="00261218"/>
    <w:rsid w:val="0026266D"/>
    <w:rsid w:val="00262C5E"/>
    <w:rsid w:val="00263696"/>
    <w:rsid w:val="002637C4"/>
    <w:rsid w:val="00263A24"/>
    <w:rsid w:val="00263E4C"/>
    <w:rsid w:val="00264582"/>
    <w:rsid w:val="00264AD1"/>
    <w:rsid w:val="00265126"/>
    <w:rsid w:val="002662C0"/>
    <w:rsid w:val="002664C9"/>
    <w:rsid w:val="00266548"/>
    <w:rsid w:val="00267389"/>
    <w:rsid w:val="002677AA"/>
    <w:rsid w:val="00267958"/>
    <w:rsid w:val="00267AD0"/>
    <w:rsid w:val="00267B7C"/>
    <w:rsid w:val="0027039E"/>
    <w:rsid w:val="00270AD5"/>
    <w:rsid w:val="002713DD"/>
    <w:rsid w:val="00271C8E"/>
    <w:rsid w:val="00272144"/>
    <w:rsid w:val="00272285"/>
    <w:rsid w:val="00272553"/>
    <w:rsid w:val="00272C53"/>
    <w:rsid w:val="00272DED"/>
    <w:rsid w:val="00272E2C"/>
    <w:rsid w:val="00272E2D"/>
    <w:rsid w:val="00273741"/>
    <w:rsid w:val="00273E43"/>
    <w:rsid w:val="00274596"/>
    <w:rsid w:val="002747B8"/>
    <w:rsid w:val="00274BCA"/>
    <w:rsid w:val="002758F7"/>
    <w:rsid w:val="00275F6D"/>
    <w:rsid w:val="00276845"/>
    <w:rsid w:val="00277129"/>
    <w:rsid w:val="002776AE"/>
    <w:rsid w:val="002777E1"/>
    <w:rsid w:val="00277E83"/>
    <w:rsid w:val="0028067D"/>
    <w:rsid w:val="002806E0"/>
    <w:rsid w:val="002807B1"/>
    <w:rsid w:val="00280880"/>
    <w:rsid w:val="00280A61"/>
    <w:rsid w:val="00280BD7"/>
    <w:rsid w:val="0028114E"/>
    <w:rsid w:val="0028160B"/>
    <w:rsid w:val="00281C6B"/>
    <w:rsid w:val="00282192"/>
    <w:rsid w:val="0028318A"/>
    <w:rsid w:val="002833D9"/>
    <w:rsid w:val="0028344C"/>
    <w:rsid w:val="00283679"/>
    <w:rsid w:val="00283700"/>
    <w:rsid w:val="0028392D"/>
    <w:rsid w:val="00283A3B"/>
    <w:rsid w:val="00283C5B"/>
    <w:rsid w:val="002840EF"/>
    <w:rsid w:val="0028468B"/>
    <w:rsid w:val="00285947"/>
    <w:rsid w:val="00285F36"/>
    <w:rsid w:val="00286585"/>
    <w:rsid w:val="0028697B"/>
    <w:rsid w:val="00287B6A"/>
    <w:rsid w:val="00290B3C"/>
    <w:rsid w:val="00290CBB"/>
    <w:rsid w:val="00291D19"/>
    <w:rsid w:val="00292EEE"/>
    <w:rsid w:val="002931CD"/>
    <w:rsid w:val="00293263"/>
    <w:rsid w:val="00293C33"/>
    <w:rsid w:val="00293F1F"/>
    <w:rsid w:val="0029416F"/>
    <w:rsid w:val="00294327"/>
    <w:rsid w:val="00295258"/>
    <w:rsid w:val="00295E3D"/>
    <w:rsid w:val="00296376"/>
    <w:rsid w:val="00297061"/>
    <w:rsid w:val="00297567"/>
    <w:rsid w:val="0029757F"/>
    <w:rsid w:val="00297943"/>
    <w:rsid w:val="00297D24"/>
    <w:rsid w:val="00297DA8"/>
    <w:rsid w:val="00297EF2"/>
    <w:rsid w:val="002A0270"/>
    <w:rsid w:val="002A0EC9"/>
    <w:rsid w:val="002A1147"/>
    <w:rsid w:val="002A1537"/>
    <w:rsid w:val="002A1AAC"/>
    <w:rsid w:val="002A247C"/>
    <w:rsid w:val="002A263A"/>
    <w:rsid w:val="002A32F9"/>
    <w:rsid w:val="002A344E"/>
    <w:rsid w:val="002A3958"/>
    <w:rsid w:val="002A604F"/>
    <w:rsid w:val="002A6061"/>
    <w:rsid w:val="002A699F"/>
    <w:rsid w:val="002A6AF2"/>
    <w:rsid w:val="002A73C5"/>
    <w:rsid w:val="002A7A09"/>
    <w:rsid w:val="002B045B"/>
    <w:rsid w:val="002B052F"/>
    <w:rsid w:val="002B06DF"/>
    <w:rsid w:val="002B0C60"/>
    <w:rsid w:val="002B0C61"/>
    <w:rsid w:val="002B1DDF"/>
    <w:rsid w:val="002B1FA0"/>
    <w:rsid w:val="002B2AF2"/>
    <w:rsid w:val="002B31C8"/>
    <w:rsid w:val="002B3426"/>
    <w:rsid w:val="002B3B53"/>
    <w:rsid w:val="002B4605"/>
    <w:rsid w:val="002B47AA"/>
    <w:rsid w:val="002B4AD2"/>
    <w:rsid w:val="002B608D"/>
    <w:rsid w:val="002B6218"/>
    <w:rsid w:val="002B663C"/>
    <w:rsid w:val="002B6A82"/>
    <w:rsid w:val="002B78C2"/>
    <w:rsid w:val="002B7C5D"/>
    <w:rsid w:val="002B7F8D"/>
    <w:rsid w:val="002C0319"/>
    <w:rsid w:val="002C032E"/>
    <w:rsid w:val="002C0544"/>
    <w:rsid w:val="002C0E32"/>
    <w:rsid w:val="002C0F22"/>
    <w:rsid w:val="002C3083"/>
    <w:rsid w:val="002C39DE"/>
    <w:rsid w:val="002C4013"/>
    <w:rsid w:val="002C4E40"/>
    <w:rsid w:val="002C5727"/>
    <w:rsid w:val="002C5B7F"/>
    <w:rsid w:val="002C6483"/>
    <w:rsid w:val="002C6E46"/>
    <w:rsid w:val="002C6FA5"/>
    <w:rsid w:val="002C7F9C"/>
    <w:rsid w:val="002D03E8"/>
    <w:rsid w:val="002D06CD"/>
    <w:rsid w:val="002D1542"/>
    <w:rsid w:val="002D1AD0"/>
    <w:rsid w:val="002D26C9"/>
    <w:rsid w:val="002D3DE2"/>
    <w:rsid w:val="002D5092"/>
    <w:rsid w:val="002D5368"/>
    <w:rsid w:val="002D5CE0"/>
    <w:rsid w:val="002D6576"/>
    <w:rsid w:val="002D66E2"/>
    <w:rsid w:val="002D68D4"/>
    <w:rsid w:val="002D6D3C"/>
    <w:rsid w:val="002D70EB"/>
    <w:rsid w:val="002D7620"/>
    <w:rsid w:val="002D7812"/>
    <w:rsid w:val="002D7997"/>
    <w:rsid w:val="002D7D53"/>
    <w:rsid w:val="002E0113"/>
    <w:rsid w:val="002E069D"/>
    <w:rsid w:val="002E10CA"/>
    <w:rsid w:val="002E1BEE"/>
    <w:rsid w:val="002E21FD"/>
    <w:rsid w:val="002E27E0"/>
    <w:rsid w:val="002E2F45"/>
    <w:rsid w:val="002E36BA"/>
    <w:rsid w:val="002E3A83"/>
    <w:rsid w:val="002E3D15"/>
    <w:rsid w:val="002E4185"/>
    <w:rsid w:val="002E576E"/>
    <w:rsid w:val="002E5F82"/>
    <w:rsid w:val="002E6469"/>
    <w:rsid w:val="002E6970"/>
    <w:rsid w:val="002E6AD9"/>
    <w:rsid w:val="002E6DC7"/>
    <w:rsid w:val="002E782E"/>
    <w:rsid w:val="002E7973"/>
    <w:rsid w:val="002E7992"/>
    <w:rsid w:val="002E7EC8"/>
    <w:rsid w:val="002E7F71"/>
    <w:rsid w:val="002F06D9"/>
    <w:rsid w:val="002F1482"/>
    <w:rsid w:val="002F1631"/>
    <w:rsid w:val="002F1B76"/>
    <w:rsid w:val="002F1DB1"/>
    <w:rsid w:val="002F1E00"/>
    <w:rsid w:val="002F2ADC"/>
    <w:rsid w:val="002F32D6"/>
    <w:rsid w:val="002F3C29"/>
    <w:rsid w:val="002F40DD"/>
    <w:rsid w:val="002F4537"/>
    <w:rsid w:val="002F54C8"/>
    <w:rsid w:val="002F559D"/>
    <w:rsid w:val="002F5CB8"/>
    <w:rsid w:val="002F647B"/>
    <w:rsid w:val="002F7027"/>
    <w:rsid w:val="002F70ED"/>
    <w:rsid w:val="002F79B4"/>
    <w:rsid w:val="003006E2"/>
    <w:rsid w:val="0030295D"/>
    <w:rsid w:val="00302A7F"/>
    <w:rsid w:val="00302D90"/>
    <w:rsid w:val="003035D3"/>
    <w:rsid w:val="00303B11"/>
    <w:rsid w:val="00303E8D"/>
    <w:rsid w:val="003049EA"/>
    <w:rsid w:val="00306B14"/>
    <w:rsid w:val="00307436"/>
    <w:rsid w:val="00307597"/>
    <w:rsid w:val="003076CB"/>
    <w:rsid w:val="00307C69"/>
    <w:rsid w:val="00307CC7"/>
    <w:rsid w:val="003101D2"/>
    <w:rsid w:val="00310297"/>
    <w:rsid w:val="00310C15"/>
    <w:rsid w:val="00311307"/>
    <w:rsid w:val="00311461"/>
    <w:rsid w:val="00311D92"/>
    <w:rsid w:val="00311FF0"/>
    <w:rsid w:val="003130EE"/>
    <w:rsid w:val="003136E5"/>
    <w:rsid w:val="00313EE4"/>
    <w:rsid w:val="003144FE"/>
    <w:rsid w:val="0031469B"/>
    <w:rsid w:val="00314F83"/>
    <w:rsid w:val="003151AB"/>
    <w:rsid w:val="00315346"/>
    <w:rsid w:val="00315472"/>
    <w:rsid w:val="00317677"/>
    <w:rsid w:val="00317E0C"/>
    <w:rsid w:val="00317F5E"/>
    <w:rsid w:val="00317F9D"/>
    <w:rsid w:val="003203E8"/>
    <w:rsid w:val="00321324"/>
    <w:rsid w:val="003227C1"/>
    <w:rsid w:val="0032325F"/>
    <w:rsid w:val="0032362A"/>
    <w:rsid w:val="00323B89"/>
    <w:rsid w:val="003246DD"/>
    <w:rsid w:val="00324911"/>
    <w:rsid w:val="00324987"/>
    <w:rsid w:val="00324B70"/>
    <w:rsid w:val="0032514B"/>
    <w:rsid w:val="003254B8"/>
    <w:rsid w:val="003257D4"/>
    <w:rsid w:val="0032651F"/>
    <w:rsid w:val="00326A3A"/>
    <w:rsid w:val="00330604"/>
    <w:rsid w:val="00330611"/>
    <w:rsid w:val="00331338"/>
    <w:rsid w:val="00331433"/>
    <w:rsid w:val="00332224"/>
    <w:rsid w:val="00332CD1"/>
    <w:rsid w:val="0033367A"/>
    <w:rsid w:val="00333844"/>
    <w:rsid w:val="003339A7"/>
    <w:rsid w:val="00333C6B"/>
    <w:rsid w:val="00334F1C"/>
    <w:rsid w:val="00335213"/>
    <w:rsid w:val="00335AD5"/>
    <w:rsid w:val="0033643B"/>
    <w:rsid w:val="0033667D"/>
    <w:rsid w:val="00336E4D"/>
    <w:rsid w:val="0033775B"/>
    <w:rsid w:val="00340086"/>
    <w:rsid w:val="0034150F"/>
    <w:rsid w:val="0034249F"/>
    <w:rsid w:val="00342B23"/>
    <w:rsid w:val="003438FA"/>
    <w:rsid w:val="00343C57"/>
    <w:rsid w:val="00344157"/>
    <w:rsid w:val="003446F5"/>
    <w:rsid w:val="00344A9E"/>
    <w:rsid w:val="00344EB3"/>
    <w:rsid w:val="00345685"/>
    <w:rsid w:val="00345BC3"/>
    <w:rsid w:val="003460E0"/>
    <w:rsid w:val="00346B44"/>
    <w:rsid w:val="00347A2B"/>
    <w:rsid w:val="00347B0D"/>
    <w:rsid w:val="003501D3"/>
    <w:rsid w:val="0035027C"/>
    <w:rsid w:val="00350B42"/>
    <w:rsid w:val="0035192D"/>
    <w:rsid w:val="003528C7"/>
    <w:rsid w:val="0035299F"/>
    <w:rsid w:val="00352A86"/>
    <w:rsid w:val="00352F04"/>
    <w:rsid w:val="00352FDA"/>
    <w:rsid w:val="003534B6"/>
    <w:rsid w:val="00353E97"/>
    <w:rsid w:val="00355176"/>
    <w:rsid w:val="003551D4"/>
    <w:rsid w:val="0035605D"/>
    <w:rsid w:val="00357270"/>
    <w:rsid w:val="00357983"/>
    <w:rsid w:val="00357A5A"/>
    <w:rsid w:val="00357AD8"/>
    <w:rsid w:val="003605C4"/>
    <w:rsid w:val="00360D2D"/>
    <w:rsid w:val="00361292"/>
    <w:rsid w:val="00361AE0"/>
    <w:rsid w:val="00363441"/>
    <w:rsid w:val="00363621"/>
    <w:rsid w:val="00363783"/>
    <w:rsid w:val="00363A28"/>
    <w:rsid w:val="00364759"/>
    <w:rsid w:val="00364C31"/>
    <w:rsid w:val="003656B6"/>
    <w:rsid w:val="003656B8"/>
    <w:rsid w:val="003658AD"/>
    <w:rsid w:val="00365D93"/>
    <w:rsid w:val="00365E4B"/>
    <w:rsid w:val="00365EF0"/>
    <w:rsid w:val="00366182"/>
    <w:rsid w:val="003661CD"/>
    <w:rsid w:val="003663A1"/>
    <w:rsid w:val="00366AB4"/>
    <w:rsid w:val="003675DE"/>
    <w:rsid w:val="003676D0"/>
    <w:rsid w:val="00367EA0"/>
    <w:rsid w:val="00371271"/>
    <w:rsid w:val="003714C4"/>
    <w:rsid w:val="00371884"/>
    <w:rsid w:val="00371BE8"/>
    <w:rsid w:val="00371F1E"/>
    <w:rsid w:val="00372AC0"/>
    <w:rsid w:val="00372BC5"/>
    <w:rsid w:val="00372C65"/>
    <w:rsid w:val="00372ED0"/>
    <w:rsid w:val="003739F8"/>
    <w:rsid w:val="00373B4F"/>
    <w:rsid w:val="00373F90"/>
    <w:rsid w:val="00373FD9"/>
    <w:rsid w:val="003744AF"/>
    <w:rsid w:val="00374E4B"/>
    <w:rsid w:val="00374FF5"/>
    <w:rsid w:val="003764CA"/>
    <w:rsid w:val="003770EE"/>
    <w:rsid w:val="00377402"/>
    <w:rsid w:val="003778B8"/>
    <w:rsid w:val="003808D4"/>
    <w:rsid w:val="0038102D"/>
    <w:rsid w:val="003811B5"/>
    <w:rsid w:val="0038133D"/>
    <w:rsid w:val="003827BC"/>
    <w:rsid w:val="00383FE6"/>
    <w:rsid w:val="00384314"/>
    <w:rsid w:val="00384B76"/>
    <w:rsid w:val="00385412"/>
    <w:rsid w:val="0038690B"/>
    <w:rsid w:val="00386F33"/>
    <w:rsid w:val="0038704C"/>
    <w:rsid w:val="00387711"/>
    <w:rsid w:val="00387736"/>
    <w:rsid w:val="00387CF5"/>
    <w:rsid w:val="00390492"/>
    <w:rsid w:val="00390556"/>
    <w:rsid w:val="00390C3A"/>
    <w:rsid w:val="0039148A"/>
    <w:rsid w:val="0039183A"/>
    <w:rsid w:val="00391A47"/>
    <w:rsid w:val="00392274"/>
    <w:rsid w:val="003922B7"/>
    <w:rsid w:val="0039340C"/>
    <w:rsid w:val="00393A77"/>
    <w:rsid w:val="00393B7D"/>
    <w:rsid w:val="00393CD0"/>
    <w:rsid w:val="003945A5"/>
    <w:rsid w:val="0039496A"/>
    <w:rsid w:val="00395835"/>
    <w:rsid w:val="00395A3B"/>
    <w:rsid w:val="00395ED0"/>
    <w:rsid w:val="003976B6"/>
    <w:rsid w:val="00397771"/>
    <w:rsid w:val="003A1594"/>
    <w:rsid w:val="003A2182"/>
    <w:rsid w:val="003A3180"/>
    <w:rsid w:val="003A3FC4"/>
    <w:rsid w:val="003A5E1F"/>
    <w:rsid w:val="003A6563"/>
    <w:rsid w:val="003A682B"/>
    <w:rsid w:val="003B0AFB"/>
    <w:rsid w:val="003B0E92"/>
    <w:rsid w:val="003B1773"/>
    <w:rsid w:val="003B28F1"/>
    <w:rsid w:val="003B3EBA"/>
    <w:rsid w:val="003B3EF1"/>
    <w:rsid w:val="003B480D"/>
    <w:rsid w:val="003B53B1"/>
    <w:rsid w:val="003B5EE8"/>
    <w:rsid w:val="003B5EF7"/>
    <w:rsid w:val="003B6484"/>
    <w:rsid w:val="003B6806"/>
    <w:rsid w:val="003B70F2"/>
    <w:rsid w:val="003B7118"/>
    <w:rsid w:val="003B7ED2"/>
    <w:rsid w:val="003C04D0"/>
    <w:rsid w:val="003C1313"/>
    <w:rsid w:val="003C13AE"/>
    <w:rsid w:val="003C17E1"/>
    <w:rsid w:val="003C29E2"/>
    <w:rsid w:val="003C2BAA"/>
    <w:rsid w:val="003C32E0"/>
    <w:rsid w:val="003C358A"/>
    <w:rsid w:val="003C4210"/>
    <w:rsid w:val="003C4826"/>
    <w:rsid w:val="003C525A"/>
    <w:rsid w:val="003C5386"/>
    <w:rsid w:val="003C5442"/>
    <w:rsid w:val="003C5976"/>
    <w:rsid w:val="003C5B7D"/>
    <w:rsid w:val="003C5C8C"/>
    <w:rsid w:val="003C5D9D"/>
    <w:rsid w:val="003C65B2"/>
    <w:rsid w:val="003C678D"/>
    <w:rsid w:val="003C7DBA"/>
    <w:rsid w:val="003D02E3"/>
    <w:rsid w:val="003D1BC1"/>
    <w:rsid w:val="003D1EC5"/>
    <w:rsid w:val="003D3D86"/>
    <w:rsid w:val="003D44B0"/>
    <w:rsid w:val="003D4B5B"/>
    <w:rsid w:val="003D5040"/>
    <w:rsid w:val="003D633D"/>
    <w:rsid w:val="003D63BA"/>
    <w:rsid w:val="003D6DD2"/>
    <w:rsid w:val="003D6E87"/>
    <w:rsid w:val="003D6ED6"/>
    <w:rsid w:val="003D770B"/>
    <w:rsid w:val="003D7DF7"/>
    <w:rsid w:val="003E0016"/>
    <w:rsid w:val="003E031C"/>
    <w:rsid w:val="003E0434"/>
    <w:rsid w:val="003E1744"/>
    <w:rsid w:val="003E1EB5"/>
    <w:rsid w:val="003E2175"/>
    <w:rsid w:val="003E24D7"/>
    <w:rsid w:val="003E2C7E"/>
    <w:rsid w:val="003E2DAD"/>
    <w:rsid w:val="003E3B8E"/>
    <w:rsid w:val="003E3C7E"/>
    <w:rsid w:val="003E459A"/>
    <w:rsid w:val="003E4CAA"/>
    <w:rsid w:val="003E6225"/>
    <w:rsid w:val="003E6452"/>
    <w:rsid w:val="003E72E8"/>
    <w:rsid w:val="003E7BBF"/>
    <w:rsid w:val="003F019C"/>
    <w:rsid w:val="003F035A"/>
    <w:rsid w:val="003F0553"/>
    <w:rsid w:val="003F0A3E"/>
    <w:rsid w:val="003F0D0C"/>
    <w:rsid w:val="003F118A"/>
    <w:rsid w:val="003F11F3"/>
    <w:rsid w:val="003F2641"/>
    <w:rsid w:val="003F2B05"/>
    <w:rsid w:val="003F315D"/>
    <w:rsid w:val="003F3230"/>
    <w:rsid w:val="003F4EDB"/>
    <w:rsid w:val="003F636C"/>
    <w:rsid w:val="003F64F4"/>
    <w:rsid w:val="003F68D1"/>
    <w:rsid w:val="003F70F4"/>
    <w:rsid w:val="003F7164"/>
    <w:rsid w:val="003F7A0B"/>
    <w:rsid w:val="004009CA"/>
    <w:rsid w:val="00400E15"/>
    <w:rsid w:val="0040157D"/>
    <w:rsid w:val="00401C77"/>
    <w:rsid w:val="00401C96"/>
    <w:rsid w:val="00401ED9"/>
    <w:rsid w:val="004023BC"/>
    <w:rsid w:val="00402705"/>
    <w:rsid w:val="00402A5A"/>
    <w:rsid w:val="00402E87"/>
    <w:rsid w:val="00403F31"/>
    <w:rsid w:val="004042EF"/>
    <w:rsid w:val="0040505A"/>
    <w:rsid w:val="004052B3"/>
    <w:rsid w:val="004057CE"/>
    <w:rsid w:val="00405839"/>
    <w:rsid w:val="00405ACE"/>
    <w:rsid w:val="00405E98"/>
    <w:rsid w:val="00407D3F"/>
    <w:rsid w:val="00413094"/>
    <w:rsid w:val="004133D9"/>
    <w:rsid w:val="00413902"/>
    <w:rsid w:val="00414137"/>
    <w:rsid w:val="004141FB"/>
    <w:rsid w:val="00414AF9"/>
    <w:rsid w:val="00414E9C"/>
    <w:rsid w:val="00415278"/>
    <w:rsid w:val="004154E5"/>
    <w:rsid w:val="004158FA"/>
    <w:rsid w:val="004177F6"/>
    <w:rsid w:val="004179A2"/>
    <w:rsid w:val="00417A86"/>
    <w:rsid w:val="00420305"/>
    <w:rsid w:val="00420703"/>
    <w:rsid w:val="004208C2"/>
    <w:rsid w:val="00420BFC"/>
    <w:rsid w:val="00420D24"/>
    <w:rsid w:val="00421C22"/>
    <w:rsid w:val="00421FF6"/>
    <w:rsid w:val="00422EBE"/>
    <w:rsid w:val="0042323A"/>
    <w:rsid w:val="004234FD"/>
    <w:rsid w:val="004236A3"/>
    <w:rsid w:val="0042476A"/>
    <w:rsid w:val="00424833"/>
    <w:rsid w:val="004269C7"/>
    <w:rsid w:val="004275C4"/>
    <w:rsid w:val="00430018"/>
    <w:rsid w:val="00430290"/>
    <w:rsid w:val="00430CA0"/>
    <w:rsid w:val="00430E2F"/>
    <w:rsid w:val="00431646"/>
    <w:rsid w:val="004321D9"/>
    <w:rsid w:val="00432B81"/>
    <w:rsid w:val="004338A8"/>
    <w:rsid w:val="00434CFC"/>
    <w:rsid w:val="00434D43"/>
    <w:rsid w:val="00434D8F"/>
    <w:rsid w:val="00434DE8"/>
    <w:rsid w:val="00435CC9"/>
    <w:rsid w:val="004369E1"/>
    <w:rsid w:val="0043720E"/>
    <w:rsid w:val="004374A2"/>
    <w:rsid w:val="0044062A"/>
    <w:rsid w:val="00441252"/>
    <w:rsid w:val="004412C6"/>
    <w:rsid w:val="00441B3B"/>
    <w:rsid w:val="00442610"/>
    <w:rsid w:val="0044372A"/>
    <w:rsid w:val="00443D6D"/>
    <w:rsid w:val="00444133"/>
    <w:rsid w:val="0044419C"/>
    <w:rsid w:val="00444789"/>
    <w:rsid w:val="00444916"/>
    <w:rsid w:val="004450F5"/>
    <w:rsid w:val="00445218"/>
    <w:rsid w:val="004453B7"/>
    <w:rsid w:val="00445F5F"/>
    <w:rsid w:val="004465BC"/>
    <w:rsid w:val="00446C10"/>
    <w:rsid w:val="00447234"/>
    <w:rsid w:val="00447C10"/>
    <w:rsid w:val="00450D86"/>
    <w:rsid w:val="004513B8"/>
    <w:rsid w:val="00451434"/>
    <w:rsid w:val="00451D0B"/>
    <w:rsid w:val="004522FB"/>
    <w:rsid w:val="0045314F"/>
    <w:rsid w:val="00453D1A"/>
    <w:rsid w:val="004546FA"/>
    <w:rsid w:val="00454C28"/>
    <w:rsid w:val="00456639"/>
    <w:rsid w:val="0045707C"/>
    <w:rsid w:val="0045712E"/>
    <w:rsid w:val="0045762F"/>
    <w:rsid w:val="004576D6"/>
    <w:rsid w:val="00457732"/>
    <w:rsid w:val="00457B29"/>
    <w:rsid w:val="004602C8"/>
    <w:rsid w:val="00460944"/>
    <w:rsid w:val="00460EDA"/>
    <w:rsid w:val="00462784"/>
    <w:rsid w:val="00462C5B"/>
    <w:rsid w:val="00462D0D"/>
    <w:rsid w:val="00462E8F"/>
    <w:rsid w:val="00463633"/>
    <w:rsid w:val="00463BAC"/>
    <w:rsid w:val="00463E2D"/>
    <w:rsid w:val="00464626"/>
    <w:rsid w:val="004648C4"/>
    <w:rsid w:val="00464A0C"/>
    <w:rsid w:val="00464EFC"/>
    <w:rsid w:val="004651E9"/>
    <w:rsid w:val="00465206"/>
    <w:rsid w:val="00465447"/>
    <w:rsid w:val="00465A85"/>
    <w:rsid w:val="0046627C"/>
    <w:rsid w:val="004666D9"/>
    <w:rsid w:val="00466755"/>
    <w:rsid w:val="0046682D"/>
    <w:rsid w:val="004674DA"/>
    <w:rsid w:val="00467C41"/>
    <w:rsid w:val="00470159"/>
    <w:rsid w:val="0047059A"/>
    <w:rsid w:val="00471AB4"/>
    <w:rsid w:val="00471BB6"/>
    <w:rsid w:val="00471BD6"/>
    <w:rsid w:val="00474C84"/>
    <w:rsid w:val="00475A61"/>
    <w:rsid w:val="00475D88"/>
    <w:rsid w:val="00475FA1"/>
    <w:rsid w:val="00476267"/>
    <w:rsid w:val="0047708B"/>
    <w:rsid w:val="00477109"/>
    <w:rsid w:val="004775DD"/>
    <w:rsid w:val="00477A7B"/>
    <w:rsid w:val="00477C55"/>
    <w:rsid w:val="00480270"/>
    <w:rsid w:val="00480592"/>
    <w:rsid w:val="00480BA9"/>
    <w:rsid w:val="00480E3F"/>
    <w:rsid w:val="00480F0D"/>
    <w:rsid w:val="004811F8"/>
    <w:rsid w:val="00481E2A"/>
    <w:rsid w:val="004821DB"/>
    <w:rsid w:val="00482A79"/>
    <w:rsid w:val="00482B38"/>
    <w:rsid w:val="00482CA6"/>
    <w:rsid w:val="004833DE"/>
    <w:rsid w:val="00483671"/>
    <w:rsid w:val="00483A63"/>
    <w:rsid w:val="004844E9"/>
    <w:rsid w:val="004848AB"/>
    <w:rsid w:val="0048526B"/>
    <w:rsid w:val="00486340"/>
    <w:rsid w:val="00486D51"/>
    <w:rsid w:val="00486F15"/>
    <w:rsid w:val="0048788C"/>
    <w:rsid w:val="004878E0"/>
    <w:rsid w:val="004878EF"/>
    <w:rsid w:val="00491880"/>
    <w:rsid w:val="00492823"/>
    <w:rsid w:val="00494DE7"/>
    <w:rsid w:val="00494FDE"/>
    <w:rsid w:val="00495130"/>
    <w:rsid w:val="004965FC"/>
    <w:rsid w:val="00496A6C"/>
    <w:rsid w:val="0049727C"/>
    <w:rsid w:val="00497470"/>
    <w:rsid w:val="00497EBE"/>
    <w:rsid w:val="00497FF7"/>
    <w:rsid w:val="004A0314"/>
    <w:rsid w:val="004A0857"/>
    <w:rsid w:val="004A124F"/>
    <w:rsid w:val="004A12B3"/>
    <w:rsid w:val="004A1854"/>
    <w:rsid w:val="004A1867"/>
    <w:rsid w:val="004A196A"/>
    <w:rsid w:val="004A1CBE"/>
    <w:rsid w:val="004A3EC4"/>
    <w:rsid w:val="004A4706"/>
    <w:rsid w:val="004A4CC1"/>
    <w:rsid w:val="004A5172"/>
    <w:rsid w:val="004A61AB"/>
    <w:rsid w:val="004A761E"/>
    <w:rsid w:val="004A765F"/>
    <w:rsid w:val="004A77D0"/>
    <w:rsid w:val="004A798F"/>
    <w:rsid w:val="004A7A48"/>
    <w:rsid w:val="004A7BD5"/>
    <w:rsid w:val="004B03A5"/>
    <w:rsid w:val="004B0B56"/>
    <w:rsid w:val="004B0FD4"/>
    <w:rsid w:val="004B2115"/>
    <w:rsid w:val="004B2218"/>
    <w:rsid w:val="004B2E0A"/>
    <w:rsid w:val="004B3C51"/>
    <w:rsid w:val="004B4F95"/>
    <w:rsid w:val="004B4F9C"/>
    <w:rsid w:val="004B51A7"/>
    <w:rsid w:val="004B590B"/>
    <w:rsid w:val="004B5C38"/>
    <w:rsid w:val="004B5FA0"/>
    <w:rsid w:val="004B6254"/>
    <w:rsid w:val="004B650B"/>
    <w:rsid w:val="004B72C4"/>
    <w:rsid w:val="004B75C9"/>
    <w:rsid w:val="004C006E"/>
    <w:rsid w:val="004C0E40"/>
    <w:rsid w:val="004C14BC"/>
    <w:rsid w:val="004C26A2"/>
    <w:rsid w:val="004C366F"/>
    <w:rsid w:val="004C46A3"/>
    <w:rsid w:val="004C497A"/>
    <w:rsid w:val="004C4C3C"/>
    <w:rsid w:val="004C670D"/>
    <w:rsid w:val="004C6E99"/>
    <w:rsid w:val="004D0206"/>
    <w:rsid w:val="004D03BA"/>
    <w:rsid w:val="004D0815"/>
    <w:rsid w:val="004D0D96"/>
    <w:rsid w:val="004D1434"/>
    <w:rsid w:val="004D16C0"/>
    <w:rsid w:val="004D17BD"/>
    <w:rsid w:val="004D1C3B"/>
    <w:rsid w:val="004D25D5"/>
    <w:rsid w:val="004D2E33"/>
    <w:rsid w:val="004D3053"/>
    <w:rsid w:val="004D32A2"/>
    <w:rsid w:val="004D4367"/>
    <w:rsid w:val="004D5360"/>
    <w:rsid w:val="004D5BD6"/>
    <w:rsid w:val="004D5EA0"/>
    <w:rsid w:val="004D5FE2"/>
    <w:rsid w:val="004D620A"/>
    <w:rsid w:val="004D6217"/>
    <w:rsid w:val="004D635D"/>
    <w:rsid w:val="004D67DD"/>
    <w:rsid w:val="004D6D20"/>
    <w:rsid w:val="004D6FF8"/>
    <w:rsid w:val="004E0191"/>
    <w:rsid w:val="004E0F71"/>
    <w:rsid w:val="004E122C"/>
    <w:rsid w:val="004E1FB8"/>
    <w:rsid w:val="004E301A"/>
    <w:rsid w:val="004E3328"/>
    <w:rsid w:val="004E35BA"/>
    <w:rsid w:val="004E3AE0"/>
    <w:rsid w:val="004E3E2B"/>
    <w:rsid w:val="004E40F7"/>
    <w:rsid w:val="004E4790"/>
    <w:rsid w:val="004E518B"/>
    <w:rsid w:val="004E6CBA"/>
    <w:rsid w:val="004E6FC9"/>
    <w:rsid w:val="004E7006"/>
    <w:rsid w:val="004E7085"/>
    <w:rsid w:val="004E7BC5"/>
    <w:rsid w:val="004E7D33"/>
    <w:rsid w:val="004F027E"/>
    <w:rsid w:val="004F0B70"/>
    <w:rsid w:val="004F112B"/>
    <w:rsid w:val="004F1604"/>
    <w:rsid w:val="004F18E9"/>
    <w:rsid w:val="004F1EF8"/>
    <w:rsid w:val="004F28E7"/>
    <w:rsid w:val="004F2D9E"/>
    <w:rsid w:val="004F35DB"/>
    <w:rsid w:val="004F3D27"/>
    <w:rsid w:val="004F4B94"/>
    <w:rsid w:val="004F4D4F"/>
    <w:rsid w:val="004F4F72"/>
    <w:rsid w:val="004F66DA"/>
    <w:rsid w:val="004F6923"/>
    <w:rsid w:val="004F6C59"/>
    <w:rsid w:val="005003D9"/>
    <w:rsid w:val="0050160E"/>
    <w:rsid w:val="00501B65"/>
    <w:rsid w:val="00501D5B"/>
    <w:rsid w:val="00501F18"/>
    <w:rsid w:val="005031BD"/>
    <w:rsid w:val="00503756"/>
    <w:rsid w:val="00503CBE"/>
    <w:rsid w:val="00503DB7"/>
    <w:rsid w:val="005041E9"/>
    <w:rsid w:val="0050501A"/>
    <w:rsid w:val="00505A7E"/>
    <w:rsid w:val="00506827"/>
    <w:rsid w:val="00506B78"/>
    <w:rsid w:val="00506C06"/>
    <w:rsid w:val="00506C94"/>
    <w:rsid w:val="005102C7"/>
    <w:rsid w:val="00510CFC"/>
    <w:rsid w:val="005112D9"/>
    <w:rsid w:val="005128A0"/>
    <w:rsid w:val="0051337B"/>
    <w:rsid w:val="00513C3D"/>
    <w:rsid w:val="00514054"/>
    <w:rsid w:val="00514578"/>
    <w:rsid w:val="00515727"/>
    <w:rsid w:val="00515B4C"/>
    <w:rsid w:val="005162CC"/>
    <w:rsid w:val="00516CE8"/>
    <w:rsid w:val="005179EF"/>
    <w:rsid w:val="00520170"/>
    <w:rsid w:val="00520342"/>
    <w:rsid w:val="00520B66"/>
    <w:rsid w:val="00520FFC"/>
    <w:rsid w:val="00521662"/>
    <w:rsid w:val="0052168E"/>
    <w:rsid w:val="005224DF"/>
    <w:rsid w:val="00522696"/>
    <w:rsid w:val="0052281D"/>
    <w:rsid w:val="00523058"/>
    <w:rsid w:val="00523ED6"/>
    <w:rsid w:val="00523EE4"/>
    <w:rsid w:val="00525A69"/>
    <w:rsid w:val="00526112"/>
    <w:rsid w:val="00526178"/>
    <w:rsid w:val="005262D0"/>
    <w:rsid w:val="00526AD9"/>
    <w:rsid w:val="005270AB"/>
    <w:rsid w:val="00527409"/>
    <w:rsid w:val="0052743C"/>
    <w:rsid w:val="0053014D"/>
    <w:rsid w:val="0053035E"/>
    <w:rsid w:val="005305E5"/>
    <w:rsid w:val="00530811"/>
    <w:rsid w:val="005314CF"/>
    <w:rsid w:val="00531B7B"/>
    <w:rsid w:val="005324D8"/>
    <w:rsid w:val="00532749"/>
    <w:rsid w:val="00532AEB"/>
    <w:rsid w:val="00532BA2"/>
    <w:rsid w:val="00532CA4"/>
    <w:rsid w:val="00532D81"/>
    <w:rsid w:val="0053424F"/>
    <w:rsid w:val="005345AE"/>
    <w:rsid w:val="00534643"/>
    <w:rsid w:val="00534C69"/>
    <w:rsid w:val="00535119"/>
    <w:rsid w:val="00535C6E"/>
    <w:rsid w:val="00536535"/>
    <w:rsid w:val="005369BB"/>
    <w:rsid w:val="00536B18"/>
    <w:rsid w:val="00536DC9"/>
    <w:rsid w:val="00537A5E"/>
    <w:rsid w:val="005403BC"/>
    <w:rsid w:val="00540A3B"/>
    <w:rsid w:val="00540BCB"/>
    <w:rsid w:val="00540ED5"/>
    <w:rsid w:val="00541596"/>
    <w:rsid w:val="00542FDD"/>
    <w:rsid w:val="005431A9"/>
    <w:rsid w:val="00543C15"/>
    <w:rsid w:val="005446B1"/>
    <w:rsid w:val="00544D25"/>
    <w:rsid w:val="00545EF8"/>
    <w:rsid w:val="005461D3"/>
    <w:rsid w:val="00546EEE"/>
    <w:rsid w:val="005473A4"/>
    <w:rsid w:val="00547A5F"/>
    <w:rsid w:val="005504A0"/>
    <w:rsid w:val="005508BF"/>
    <w:rsid w:val="00550E4D"/>
    <w:rsid w:val="00550F44"/>
    <w:rsid w:val="00551775"/>
    <w:rsid w:val="005524E2"/>
    <w:rsid w:val="00552A77"/>
    <w:rsid w:val="00553528"/>
    <w:rsid w:val="00553F57"/>
    <w:rsid w:val="00556218"/>
    <w:rsid w:val="0055720F"/>
    <w:rsid w:val="005576FE"/>
    <w:rsid w:val="00557A96"/>
    <w:rsid w:val="00557B60"/>
    <w:rsid w:val="00557E2D"/>
    <w:rsid w:val="00560BCC"/>
    <w:rsid w:val="00560BD5"/>
    <w:rsid w:val="00560CC0"/>
    <w:rsid w:val="00561B1B"/>
    <w:rsid w:val="00561E7E"/>
    <w:rsid w:val="00562060"/>
    <w:rsid w:val="0056223F"/>
    <w:rsid w:val="0056237C"/>
    <w:rsid w:val="00562F9F"/>
    <w:rsid w:val="00564968"/>
    <w:rsid w:val="00564B02"/>
    <w:rsid w:val="005650B1"/>
    <w:rsid w:val="00566643"/>
    <w:rsid w:val="005666CF"/>
    <w:rsid w:val="005666F3"/>
    <w:rsid w:val="00570795"/>
    <w:rsid w:val="00571075"/>
    <w:rsid w:val="0057138F"/>
    <w:rsid w:val="0057150F"/>
    <w:rsid w:val="00571FDA"/>
    <w:rsid w:val="00572020"/>
    <w:rsid w:val="00573CA5"/>
    <w:rsid w:val="00573ECD"/>
    <w:rsid w:val="0057429F"/>
    <w:rsid w:val="005747C0"/>
    <w:rsid w:val="0057510D"/>
    <w:rsid w:val="0057516C"/>
    <w:rsid w:val="00575994"/>
    <w:rsid w:val="00575CDF"/>
    <w:rsid w:val="00575DC6"/>
    <w:rsid w:val="00575DFD"/>
    <w:rsid w:val="0057637C"/>
    <w:rsid w:val="00576454"/>
    <w:rsid w:val="00576967"/>
    <w:rsid w:val="00576A6D"/>
    <w:rsid w:val="00577213"/>
    <w:rsid w:val="00577BA7"/>
    <w:rsid w:val="005806A9"/>
    <w:rsid w:val="00580878"/>
    <w:rsid w:val="00580C53"/>
    <w:rsid w:val="00581144"/>
    <w:rsid w:val="00581ADB"/>
    <w:rsid w:val="005828CC"/>
    <w:rsid w:val="00582EDD"/>
    <w:rsid w:val="00582F77"/>
    <w:rsid w:val="00583176"/>
    <w:rsid w:val="00583205"/>
    <w:rsid w:val="005842A2"/>
    <w:rsid w:val="00584D4D"/>
    <w:rsid w:val="00585250"/>
    <w:rsid w:val="00585AFF"/>
    <w:rsid w:val="005865F3"/>
    <w:rsid w:val="00587064"/>
    <w:rsid w:val="0058781D"/>
    <w:rsid w:val="00587A4C"/>
    <w:rsid w:val="00587BDF"/>
    <w:rsid w:val="00587DEA"/>
    <w:rsid w:val="005901ED"/>
    <w:rsid w:val="0059033F"/>
    <w:rsid w:val="00590343"/>
    <w:rsid w:val="00590811"/>
    <w:rsid w:val="00590A68"/>
    <w:rsid w:val="00590E32"/>
    <w:rsid w:val="005915C5"/>
    <w:rsid w:val="00591B6A"/>
    <w:rsid w:val="00593616"/>
    <w:rsid w:val="00593694"/>
    <w:rsid w:val="00593E97"/>
    <w:rsid w:val="00594638"/>
    <w:rsid w:val="00594651"/>
    <w:rsid w:val="00594C03"/>
    <w:rsid w:val="00595921"/>
    <w:rsid w:val="00596E4A"/>
    <w:rsid w:val="00596F1B"/>
    <w:rsid w:val="00597B1A"/>
    <w:rsid w:val="00597E7E"/>
    <w:rsid w:val="005A063A"/>
    <w:rsid w:val="005A083C"/>
    <w:rsid w:val="005A0AA3"/>
    <w:rsid w:val="005A27A3"/>
    <w:rsid w:val="005A2CCC"/>
    <w:rsid w:val="005A3880"/>
    <w:rsid w:val="005A3F90"/>
    <w:rsid w:val="005A4266"/>
    <w:rsid w:val="005A436E"/>
    <w:rsid w:val="005A5464"/>
    <w:rsid w:val="005A558C"/>
    <w:rsid w:val="005A5B87"/>
    <w:rsid w:val="005A6918"/>
    <w:rsid w:val="005A6E2D"/>
    <w:rsid w:val="005A75DF"/>
    <w:rsid w:val="005A7C3D"/>
    <w:rsid w:val="005A7F45"/>
    <w:rsid w:val="005B1299"/>
    <w:rsid w:val="005B20A3"/>
    <w:rsid w:val="005B2E14"/>
    <w:rsid w:val="005B2F5D"/>
    <w:rsid w:val="005B3659"/>
    <w:rsid w:val="005B3889"/>
    <w:rsid w:val="005B42F0"/>
    <w:rsid w:val="005B42FF"/>
    <w:rsid w:val="005B505F"/>
    <w:rsid w:val="005B51AE"/>
    <w:rsid w:val="005B5DE0"/>
    <w:rsid w:val="005B641E"/>
    <w:rsid w:val="005B6D17"/>
    <w:rsid w:val="005B73EE"/>
    <w:rsid w:val="005C054C"/>
    <w:rsid w:val="005C0AF1"/>
    <w:rsid w:val="005C1C25"/>
    <w:rsid w:val="005C1C76"/>
    <w:rsid w:val="005C1F15"/>
    <w:rsid w:val="005C2386"/>
    <w:rsid w:val="005C2447"/>
    <w:rsid w:val="005C27D6"/>
    <w:rsid w:val="005C3A0E"/>
    <w:rsid w:val="005C3D2C"/>
    <w:rsid w:val="005C4816"/>
    <w:rsid w:val="005C4FB6"/>
    <w:rsid w:val="005C554D"/>
    <w:rsid w:val="005C55D4"/>
    <w:rsid w:val="005C6D2C"/>
    <w:rsid w:val="005C794E"/>
    <w:rsid w:val="005C7E03"/>
    <w:rsid w:val="005C7E63"/>
    <w:rsid w:val="005D0A01"/>
    <w:rsid w:val="005D0ED7"/>
    <w:rsid w:val="005D13A1"/>
    <w:rsid w:val="005D1647"/>
    <w:rsid w:val="005D20D7"/>
    <w:rsid w:val="005D22BD"/>
    <w:rsid w:val="005D2C2A"/>
    <w:rsid w:val="005D2D20"/>
    <w:rsid w:val="005D344F"/>
    <w:rsid w:val="005D43F1"/>
    <w:rsid w:val="005D44B1"/>
    <w:rsid w:val="005D4C55"/>
    <w:rsid w:val="005D50AE"/>
    <w:rsid w:val="005D5C56"/>
    <w:rsid w:val="005D62AE"/>
    <w:rsid w:val="005D675A"/>
    <w:rsid w:val="005D7FD3"/>
    <w:rsid w:val="005E0450"/>
    <w:rsid w:val="005E0DC2"/>
    <w:rsid w:val="005E1E04"/>
    <w:rsid w:val="005E217B"/>
    <w:rsid w:val="005E22BC"/>
    <w:rsid w:val="005E2645"/>
    <w:rsid w:val="005E340F"/>
    <w:rsid w:val="005E3791"/>
    <w:rsid w:val="005E49A6"/>
    <w:rsid w:val="005E4D1F"/>
    <w:rsid w:val="005E4E25"/>
    <w:rsid w:val="005E5C75"/>
    <w:rsid w:val="005E619B"/>
    <w:rsid w:val="005E66B4"/>
    <w:rsid w:val="005E6B2E"/>
    <w:rsid w:val="005E6E4E"/>
    <w:rsid w:val="005E76AE"/>
    <w:rsid w:val="005E7AFA"/>
    <w:rsid w:val="005E7B7C"/>
    <w:rsid w:val="005E7CC3"/>
    <w:rsid w:val="005E7F3D"/>
    <w:rsid w:val="005F01C2"/>
    <w:rsid w:val="005F06C9"/>
    <w:rsid w:val="005F08BD"/>
    <w:rsid w:val="005F1026"/>
    <w:rsid w:val="005F1152"/>
    <w:rsid w:val="005F12FC"/>
    <w:rsid w:val="005F16FB"/>
    <w:rsid w:val="005F1B33"/>
    <w:rsid w:val="005F24F5"/>
    <w:rsid w:val="005F3829"/>
    <w:rsid w:val="005F3D9F"/>
    <w:rsid w:val="005F3DAD"/>
    <w:rsid w:val="005F4908"/>
    <w:rsid w:val="005F49DD"/>
    <w:rsid w:val="005F5B2F"/>
    <w:rsid w:val="005F5EE3"/>
    <w:rsid w:val="005F63A7"/>
    <w:rsid w:val="005F671F"/>
    <w:rsid w:val="005F79C6"/>
    <w:rsid w:val="005F7CC9"/>
    <w:rsid w:val="005F7DCE"/>
    <w:rsid w:val="00600246"/>
    <w:rsid w:val="00600FCE"/>
    <w:rsid w:val="0060130D"/>
    <w:rsid w:val="00601490"/>
    <w:rsid w:val="006024A7"/>
    <w:rsid w:val="00602D61"/>
    <w:rsid w:val="00602D77"/>
    <w:rsid w:val="00603188"/>
    <w:rsid w:val="00603374"/>
    <w:rsid w:val="00603420"/>
    <w:rsid w:val="0060514C"/>
    <w:rsid w:val="0060523C"/>
    <w:rsid w:val="00605786"/>
    <w:rsid w:val="0060579D"/>
    <w:rsid w:val="0060669F"/>
    <w:rsid w:val="0060672E"/>
    <w:rsid w:val="00606B60"/>
    <w:rsid w:val="00607813"/>
    <w:rsid w:val="00607C5F"/>
    <w:rsid w:val="00607E77"/>
    <w:rsid w:val="00610280"/>
    <w:rsid w:val="00610820"/>
    <w:rsid w:val="00610A9B"/>
    <w:rsid w:val="00610B80"/>
    <w:rsid w:val="00610E47"/>
    <w:rsid w:val="006110C1"/>
    <w:rsid w:val="00611445"/>
    <w:rsid w:val="0061204A"/>
    <w:rsid w:val="0061229C"/>
    <w:rsid w:val="00612DE2"/>
    <w:rsid w:val="006131F9"/>
    <w:rsid w:val="0061330B"/>
    <w:rsid w:val="00613637"/>
    <w:rsid w:val="00614FE5"/>
    <w:rsid w:val="006153CC"/>
    <w:rsid w:val="00615A34"/>
    <w:rsid w:val="00615F7B"/>
    <w:rsid w:val="006160A7"/>
    <w:rsid w:val="00616AC4"/>
    <w:rsid w:val="00617794"/>
    <w:rsid w:val="0062087B"/>
    <w:rsid w:val="00621208"/>
    <w:rsid w:val="006212DA"/>
    <w:rsid w:val="00621474"/>
    <w:rsid w:val="00621BD8"/>
    <w:rsid w:val="00621D24"/>
    <w:rsid w:val="00622009"/>
    <w:rsid w:val="006221EB"/>
    <w:rsid w:val="0062282B"/>
    <w:rsid w:val="006232B1"/>
    <w:rsid w:val="0062432C"/>
    <w:rsid w:val="00625770"/>
    <w:rsid w:val="0062579D"/>
    <w:rsid w:val="006259FA"/>
    <w:rsid w:val="00625C75"/>
    <w:rsid w:val="00626651"/>
    <w:rsid w:val="006266A3"/>
    <w:rsid w:val="0062740A"/>
    <w:rsid w:val="00627695"/>
    <w:rsid w:val="0062794E"/>
    <w:rsid w:val="00630E4A"/>
    <w:rsid w:val="00630F05"/>
    <w:rsid w:val="006310F4"/>
    <w:rsid w:val="006310FA"/>
    <w:rsid w:val="00631530"/>
    <w:rsid w:val="00631A90"/>
    <w:rsid w:val="00632D23"/>
    <w:rsid w:val="006335C1"/>
    <w:rsid w:val="00633603"/>
    <w:rsid w:val="00633B41"/>
    <w:rsid w:val="00633D8B"/>
    <w:rsid w:val="00633F8F"/>
    <w:rsid w:val="006345C3"/>
    <w:rsid w:val="00634BF2"/>
    <w:rsid w:val="00635264"/>
    <w:rsid w:val="00635384"/>
    <w:rsid w:val="00636093"/>
    <w:rsid w:val="006368B7"/>
    <w:rsid w:val="00636CA2"/>
    <w:rsid w:val="0064035B"/>
    <w:rsid w:val="006412B9"/>
    <w:rsid w:val="00641A05"/>
    <w:rsid w:val="00641ECB"/>
    <w:rsid w:val="00641F92"/>
    <w:rsid w:val="00642863"/>
    <w:rsid w:val="00642939"/>
    <w:rsid w:val="00643B7D"/>
    <w:rsid w:val="00644ECA"/>
    <w:rsid w:val="006458CC"/>
    <w:rsid w:val="0064668A"/>
    <w:rsid w:val="00646B40"/>
    <w:rsid w:val="00646C7D"/>
    <w:rsid w:val="00646DA5"/>
    <w:rsid w:val="00650E45"/>
    <w:rsid w:val="00650EA4"/>
    <w:rsid w:val="006521E7"/>
    <w:rsid w:val="006527D6"/>
    <w:rsid w:val="00653061"/>
    <w:rsid w:val="0065308E"/>
    <w:rsid w:val="00653190"/>
    <w:rsid w:val="00653F04"/>
    <w:rsid w:val="006540AD"/>
    <w:rsid w:val="00654184"/>
    <w:rsid w:val="0065450C"/>
    <w:rsid w:val="006547F2"/>
    <w:rsid w:val="00655624"/>
    <w:rsid w:val="00655C18"/>
    <w:rsid w:val="006563B3"/>
    <w:rsid w:val="006578A7"/>
    <w:rsid w:val="00657E27"/>
    <w:rsid w:val="006602BD"/>
    <w:rsid w:val="006609DB"/>
    <w:rsid w:val="00660CB3"/>
    <w:rsid w:val="006611C9"/>
    <w:rsid w:val="00661364"/>
    <w:rsid w:val="00661CAF"/>
    <w:rsid w:val="00661E8B"/>
    <w:rsid w:val="006631CC"/>
    <w:rsid w:val="00663867"/>
    <w:rsid w:val="00663C22"/>
    <w:rsid w:val="00663FF9"/>
    <w:rsid w:val="0066410B"/>
    <w:rsid w:val="00665213"/>
    <w:rsid w:val="00666096"/>
    <w:rsid w:val="006661D2"/>
    <w:rsid w:val="006663D1"/>
    <w:rsid w:val="00666478"/>
    <w:rsid w:val="00666B17"/>
    <w:rsid w:val="006670F7"/>
    <w:rsid w:val="00667303"/>
    <w:rsid w:val="006675D9"/>
    <w:rsid w:val="00667B75"/>
    <w:rsid w:val="0067057C"/>
    <w:rsid w:val="00670597"/>
    <w:rsid w:val="00670B26"/>
    <w:rsid w:val="00670D42"/>
    <w:rsid w:val="00673F03"/>
    <w:rsid w:val="00674004"/>
    <w:rsid w:val="006740E9"/>
    <w:rsid w:val="0067508A"/>
    <w:rsid w:val="00675D01"/>
    <w:rsid w:val="006767AE"/>
    <w:rsid w:val="0067705D"/>
    <w:rsid w:val="006771ED"/>
    <w:rsid w:val="00677905"/>
    <w:rsid w:val="00677AE0"/>
    <w:rsid w:val="00680FDC"/>
    <w:rsid w:val="006811FE"/>
    <w:rsid w:val="00681684"/>
    <w:rsid w:val="00681A2C"/>
    <w:rsid w:val="00681BBE"/>
    <w:rsid w:val="00682042"/>
    <w:rsid w:val="006824B3"/>
    <w:rsid w:val="00682D3D"/>
    <w:rsid w:val="006830B3"/>
    <w:rsid w:val="0068311F"/>
    <w:rsid w:val="00683157"/>
    <w:rsid w:val="00684156"/>
    <w:rsid w:val="00684D67"/>
    <w:rsid w:val="00685454"/>
    <w:rsid w:val="00685758"/>
    <w:rsid w:val="00685C31"/>
    <w:rsid w:val="0068656F"/>
    <w:rsid w:val="00687324"/>
    <w:rsid w:val="0069000F"/>
    <w:rsid w:val="00690506"/>
    <w:rsid w:val="0069143B"/>
    <w:rsid w:val="00691C4D"/>
    <w:rsid w:val="0069204E"/>
    <w:rsid w:val="0069252A"/>
    <w:rsid w:val="00692E5F"/>
    <w:rsid w:val="0069368C"/>
    <w:rsid w:val="00693761"/>
    <w:rsid w:val="00693BB9"/>
    <w:rsid w:val="00693DF2"/>
    <w:rsid w:val="006942A8"/>
    <w:rsid w:val="0069455A"/>
    <w:rsid w:val="00694862"/>
    <w:rsid w:val="00694A28"/>
    <w:rsid w:val="00695FE0"/>
    <w:rsid w:val="00696389"/>
    <w:rsid w:val="0069705F"/>
    <w:rsid w:val="00697662"/>
    <w:rsid w:val="006A06A7"/>
    <w:rsid w:val="006A1145"/>
    <w:rsid w:val="006A188C"/>
    <w:rsid w:val="006A1908"/>
    <w:rsid w:val="006A248C"/>
    <w:rsid w:val="006A2519"/>
    <w:rsid w:val="006A2896"/>
    <w:rsid w:val="006A2B07"/>
    <w:rsid w:val="006A2D30"/>
    <w:rsid w:val="006A2FAC"/>
    <w:rsid w:val="006A34FE"/>
    <w:rsid w:val="006A3C56"/>
    <w:rsid w:val="006A411E"/>
    <w:rsid w:val="006A46D7"/>
    <w:rsid w:val="006A6111"/>
    <w:rsid w:val="006A7EE6"/>
    <w:rsid w:val="006B03DB"/>
    <w:rsid w:val="006B0FE8"/>
    <w:rsid w:val="006B1381"/>
    <w:rsid w:val="006B1DF4"/>
    <w:rsid w:val="006B2ACF"/>
    <w:rsid w:val="006B3FDC"/>
    <w:rsid w:val="006B421A"/>
    <w:rsid w:val="006B4735"/>
    <w:rsid w:val="006B4BCC"/>
    <w:rsid w:val="006B4EF7"/>
    <w:rsid w:val="006B5338"/>
    <w:rsid w:val="006B61F0"/>
    <w:rsid w:val="006B6404"/>
    <w:rsid w:val="006B6407"/>
    <w:rsid w:val="006B67E3"/>
    <w:rsid w:val="006B6B4A"/>
    <w:rsid w:val="006B6BB9"/>
    <w:rsid w:val="006B6C40"/>
    <w:rsid w:val="006B6CC7"/>
    <w:rsid w:val="006B6D67"/>
    <w:rsid w:val="006B7C97"/>
    <w:rsid w:val="006C0A8F"/>
    <w:rsid w:val="006C1FE9"/>
    <w:rsid w:val="006C2EE5"/>
    <w:rsid w:val="006C32F8"/>
    <w:rsid w:val="006C33C8"/>
    <w:rsid w:val="006C374A"/>
    <w:rsid w:val="006C3EC5"/>
    <w:rsid w:val="006C4349"/>
    <w:rsid w:val="006C4A95"/>
    <w:rsid w:val="006C5283"/>
    <w:rsid w:val="006C621A"/>
    <w:rsid w:val="006C64F3"/>
    <w:rsid w:val="006C695E"/>
    <w:rsid w:val="006C6CDB"/>
    <w:rsid w:val="006C73FE"/>
    <w:rsid w:val="006C76AA"/>
    <w:rsid w:val="006D03B8"/>
    <w:rsid w:val="006D062C"/>
    <w:rsid w:val="006D082A"/>
    <w:rsid w:val="006D0A60"/>
    <w:rsid w:val="006D0BDB"/>
    <w:rsid w:val="006D0CE9"/>
    <w:rsid w:val="006D0F7C"/>
    <w:rsid w:val="006D11BD"/>
    <w:rsid w:val="006D2367"/>
    <w:rsid w:val="006D26AE"/>
    <w:rsid w:val="006D338C"/>
    <w:rsid w:val="006D4586"/>
    <w:rsid w:val="006D4891"/>
    <w:rsid w:val="006D5EA0"/>
    <w:rsid w:val="006D622E"/>
    <w:rsid w:val="006D65A8"/>
    <w:rsid w:val="006D6777"/>
    <w:rsid w:val="006D6C52"/>
    <w:rsid w:val="006D6FDC"/>
    <w:rsid w:val="006D704E"/>
    <w:rsid w:val="006D7075"/>
    <w:rsid w:val="006D72AE"/>
    <w:rsid w:val="006D7D61"/>
    <w:rsid w:val="006E0767"/>
    <w:rsid w:val="006E1AED"/>
    <w:rsid w:val="006E1BBB"/>
    <w:rsid w:val="006E23FC"/>
    <w:rsid w:val="006E29F1"/>
    <w:rsid w:val="006E2A7A"/>
    <w:rsid w:val="006E2AE0"/>
    <w:rsid w:val="006E3ABA"/>
    <w:rsid w:val="006E45FE"/>
    <w:rsid w:val="006E698E"/>
    <w:rsid w:val="006E6C58"/>
    <w:rsid w:val="006E6DA6"/>
    <w:rsid w:val="006E7076"/>
    <w:rsid w:val="006E70A9"/>
    <w:rsid w:val="006E741D"/>
    <w:rsid w:val="006F0011"/>
    <w:rsid w:val="006F0758"/>
    <w:rsid w:val="006F229F"/>
    <w:rsid w:val="006F255F"/>
    <w:rsid w:val="006F271E"/>
    <w:rsid w:val="006F2759"/>
    <w:rsid w:val="006F4637"/>
    <w:rsid w:val="006F5131"/>
    <w:rsid w:val="006F6946"/>
    <w:rsid w:val="006F7086"/>
    <w:rsid w:val="006F7635"/>
    <w:rsid w:val="006F767D"/>
    <w:rsid w:val="006F7C70"/>
    <w:rsid w:val="006F7CB6"/>
    <w:rsid w:val="00700279"/>
    <w:rsid w:val="007002B5"/>
    <w:rsid w:val="007002BA"/>
    <w:rsid w:val="00700717"/>
    <w:rsid w:val="007007DD"/>
    <w:rsid w:val="0070082D"/>
    <w:rsid w:val="00700B48"/>
    <w:rsid w:val="007012F7"/>
    <w:rsid w:val="007014D1"/>
    <w:rsid w:val="007020DE"/>
    <w:rsid w:val="00702870"/>
    <w:rsid w:val="0070288D"/>
    <w:rsid w:val="007029A2"/>
    <w:rsid w:val="00702DAE"/>
    <w:rsid w:val="00702FE4"/>
    <w:rsid w:val="00703955"/>
    <w:rsid w:val="00703F5F"/>
    <w:rsid w:val="00704586"/>
    <w:rsid w:val="007049E9"/>
    <w:rsid w:val="007063BC"/>
    <w:rsid w:val="00706721"/>
    <w:rsid w:val="00706AA1"/>
    <w:rsid w:val="0070703C"/>
    <w:rsid w:val="00707273"/>
    <w:rsid w:val="0070757A"/>
    <w:rsid w:val="007077C8"/>
    <w:rsid w:val="00707AF3"/>
    <w:rsid w:val="0071083A"/>
    <w:rsid w:val="00710EA7"/>
    <w:rsid w:val="0071192F"/>
    <w:rsid w:val="00711D0C"/>
    <w:rsid w:val="007138E3"/>
    <w:rsid w:val="007141BB"/>
    <w:rsid w:val="00714CB7"/>
    <w:rsid w:val="00715CA5"/>
    <w:rsid w:val="007168F5"/>
    <w:rsid w:val="00716BDC"/>
    <w:rsid w:val="00717E98"/>
    <w:rsid w:val="00720013"/>
    <w:rsid w:val="00720A5E"/>
    <w:rsid w:val="007213B3"/>
    <w:rsid w:val="00721658"/>
    <w:rsid w:val="00721811"/>
    <w:rsid w:val="0072205E"/>
    <w:rsid w:val="00722B9E"/>
    <w:rsid w:val="00723DBA"/>
    <w:rsid w:val="00724253"/>
    <w:rsid w:val="00724A63"/>
    <w:rsid w:val="00724D93"/>
    <w:rsid w:val="00724DB7"/>
    <w:rsid w:val="00726DF9"/>
    <w:rsid w:val="00726E4B"/>
    <w:rsid w:val="007274F9"/>
    <w:rsid w:val="007275DE"/>
    <w:rsid w:val="007300DB"/>
    <w:rsid w:val="00730253"/>
    <w:rsid w:val="0073062A"/>
    <w:rsid w:val="00730929"/>
    <w:rsid w:val="00730B0A"/>
    <w:rsid w:val="00730D20"/>
    <w:rsid w:val="00731680"/>
    <w:rsid w:val="00731B13"/>
    <w:rsid w:val="00732EDB"/>
    <w:rsid w:val="007335F9"/>
    <w:rsid w:val="007343A7"/>
    <w:rsid w:val="007345E5"/>
    <w:rsid w:val="0073509A"/>
    <w:rsid w:val="007354B2"/>
    <w:rsid w:val="00735783"/>
    <w:rsid w:val="007357BE"/>
    <w:rsid w:val="00735C4F"/>
    <w:rsid w:val="0073680C"/>
    <w:rsid w:val="00736D1C"/>
    <w:rsid w:val="0073725B"/>
    <w:rsid w:val="00737698"/>
    <w:rsid w:val="007402C8"/>
    <w:rsid w:val="00741127"/>
    <w:rsid w:val="0074153A"/>
    <w:rsid w:val="00741CEF"/>
    <w:rsid w:val="00743413"/>
    <w:rsid w:val="007443FF"/>
    <w:rsid w:val="00744B24"/>
    <w:rsid w:val="0074502D"/>
    <w:rsid w:val="0074583F"/>
    <w:rsid w:val="00745F2A"/>
    <w:rsid w:val="007463CC"/>
    <w:rsid w:val="007473EA"/>
    <w:rsid w:val="00750056"/>
    <w:rsid w:val="0075005A"/>
    <w:rsid w:val="00750583"/>
    <w:rsid w:val="0075264E"/>
    <w:rsid w:val="00752726"/>
    <w:rsid w:val="007530D8"/>
    <w:rsid w:val="00753E03"/>
    <w:rsid w:val="00754292"/>
    <w:rsid w:val="00754986"/>
    <w:rsid w:val="00754C64"/>
    <w:rsid w:val="00755385"/>
    <w:rsid w:val="0075648A"/>
    <w:rsid w:val="007567D1"/>
    <w:rsid w:val="00757204"/>
    <w:rsid w:val="007600B6"/>
    <w:rsid w:val="00761360"/>
    <w:rsid w:val="007615C1"/>
    <w:rsid w:val="007616ED"/>
    <w:rsid w:val="007648D7"/>
    <w:rsid w:val="00765375"/>
    <w:rsid w:val="0076562E"/>
    <w:rsid w:val="0076578E"/>
    <w:rsid w:val="00765953"/>
    <w:rsid w:val="0076599C"/>
    <w:rsid w:val="00765B36"/>
    <w:rsid w:val="00765D48"/>
    <w:rsid w:val="00766582"/>
    <w:rsid w:val="00766EA2"/>
    <w:rsid w:val="0076767B"/>
    <w:rsid w:val="00770260"/>
    <w:rsid w:val="00770586"/>
    <w:rsid w:val="007708F8"/>
    <w:rsid w:val="00770C5E"/>
    <w:rsid w:val="007716CD"/>
    <w:rsid w:val="00772A2D"/>
    <w:rsid w:val="00772AF1"/>
    <w:rsid w:val="00772D5D"/>
    <w:rsid w:val="00772EF4"/>
    <w:rsid w:val="00772FFD"/>
    <w:rsid w:val="00773405"/>
    <w:rsid w:val="007734A6"/>
    <w:rsid w:val="007737DF"/>
    <w:rsid w:val="00773DD5"/>
    <w:rsid w:val="0077511D"/>
    <w:rsid w:val="00776003"/>
    <w:rsid w:val="0077695D"/>
    <w:rsid w:val="00776EEF"/>
    <w:rsid w:val="007773DF"/>
    <w:rsid w:val="00777F45"/>
    <w:rsid w:val="00780953"/>
    <w:rsid w:val="00780E5B"/>
    <w:rsid w:val="00781857"/>
    <w:rsid w:val="00781899"/>
    <w:rsid w:val="0078307D"/>
    <w:rsid w:val="0078354B"/>
    <w:rsid w:val="0078399C"/>
    <w:rsid w:val="00783EE9"/>
    <w:rsid w:val="0078532B"/>
    <w:rsid w:val="00785664"/>
    <w:rsid w:val="007860EC"/>
    <w:rsid w:val="00786828"/>
    <w:rsid w:val="00786BFC"/>
    <w:rsid w:val="00786EC8"/>
    <w:rsid w:val="007870B3"/>
    <w:rsid w:val="007878E3"/>
    <w:rsid w:val="00787C54"/>
    <w:rsid w:val="007906DF"/>
    <w:rsid w:val="007907DA"/>
    <w:rsid w:val="00790BEA"/>
    <w:rsid w:val="007912DA"/>
    <w:rsid w:val="007915EC"/>
    <w:rsid w:val="00791D6E"/>
    <w:rsid w:val="00792319"/>
    <w:rsid w:val="00792820"/>
    <w:rsid w:val="00793036"/>
    <w:rsid w:val="00793745"/>
    <w:rsid w:val="00793842"/>
    <w:rsid w:val="00793BCE"/>
    <w:rsid w:val="0079419D"/>
    <w:rsid w:val="007955C8"/>
    <w:rsid w:val="00795880"/>
    <w:rsid w:val="00796215"/>
    <w:rsid w:val="0079661C"/>
    <w:rsid w:val="00796D1A"/>
    <w:rsid w:val="007970BE"/>
    <w:rsid w:val="00797BEE"/>
    <w:rsid w:val="007A0004"/>
    <w:rsid w:val="007A015D"/>
    <w:rsid w:val="007A01D7"/>
    <w:rsid w:val="007A02C7"/>
    <w:rsid w:val="007A047C"/>
    <w:rsid w:val="007A081D"/>
    <w:rsid w:val="007A0C96"/>
    <w:rsid w:val="007A13F3"/>
    <w:rsid w:val="007A141A"/>
    <w:rsid w:val="007A1F75"/>
    <w:rsid w:val="007A212C"/>
    <w:rsid w:val="007A269D"/>
    <w:rsid w:val="007A290C"/>
    <w:rsid w:val="007A2B25"/>
    <w:rsid w:val="007A3C86"/>
    <w:rsid w:val="007A4620"/>
    <w:rsid w:val="007A5227"/>
    <w:rsid w:val="007A7030"/>
    <w:rsid w:val="007A74EF"/>
    <w:rsid w:val="007A7C88"/>
    <w:rsid w:val="007B0503"/>
    <w:rsid w:val="007B06A5"/>
    <w:rsid w:val="007B0EE5"/>
    <w:rsid w:val="007B104B"/>
    <w:rsid w:val="007B1E80"/>
    <w:rsid w:val="007B1EDF"/>
    <w:rsid w:val="007B2196"/>
    <w:rsid w:val="007B25C4"/>
    <w:rsid w:val="007B2B5C"/>
    <w:rsid w:val="007B2E0E"/>
    <w:rsid w:val="007B3929"/>
    <w:rsid w:val="007B3BCC"/>
    <w:rsid w:val="007B3CE8"/>
    <w:rsid w:val="007B42D7"/>
    <w:rsid w:val="007B4C47"/>
    <w:rsid w:val="007B4C57"/>
    <w:rsid w:val="007B5123"/>
    <w:rsid w:val="007B56CF"/>
    <w:rsid w:val="007B7441"/>
    <w:rsid w:val="007C0679"/>
    <w:rsid w:val="007C07AD"/>
    <w:rsid w:val="007C0820"/>
    <w:rsid w:val="007C1C3F"/>
    <w:rsid w:val="007C2583"/>
    <w:rsid w:val="007C2B49"/>
    <w:rsid w:val="007C2DE3"/>
    <w:rsid w:val="007C30F1"/>
    <w:rsid w:val="007C337D"/>
    <w:rsid w:val="007C3EAD"/>
    <w:rsid w:val="007C4234"/>
    <w:rsid w:val="007C4510"/>
    <w:rsid w:val="007C4551"/>
    <w:rsid w:val="007C480B"/>
    <w:rsid w:val="007C4A25"/>
    <w:rsid w:val="007C4FF7"/>
    <w:rsid w:val="007C59C0"/>
    <w:rsid w:val="007C5A01"/>
    <w:rsid w:val="007C5A51"/>
    <w:rsid w:val="007C696F"/>
    <w:rsid w:val="007C6F4A"/>
    <w:rsid w:val="007D004A"/>
    <w:rsid w:val="007D05BD"/>
    <w:rsid w:val="007D076E"/>
    <w:rsid w:val="007D0E29"/>
    <w:rsid w:val="007D1188"/>
    <w:rsid w:val="007D12B9"/>
    <w:rsid w:val="007D3AC4"/>
    <w:rsid w:val="007D3C39"/>
    <w:rsid w:val="007D3D9B"/>
    <w:rsid w:val="007D5B74"/>
    <w:rsid w:val="007D5BB6"/>
    <w:rsid w:val="007D6538"/>
    <w:rsid w:val="007D6560"/>
    <w:rsid w:val="007D6A46"/>
    <w:rsid w:val="007D6C70"/>
    <w:rsid w:val="007D7127"/>
    <w:rsid w:val="007D7CE5"/>
    <w:rsid w:val="007E03D8"/>
    <w:rsid w:val="007E0BB6"/>
    <w:rsid w:val="007E0EF3"/>
    <w:rsid w:val="007E11CB"/>
    <w:rsid w:val="007E2E0C"/>
    <w:rsid w:val="007E3763"/>
    <w:rsid w:val="007E3C04"/>
    <w:rsid w:val="007E3E43"/>
    <w:rsid w:val="007E3E47"/>
    <w:rsid w:val="007E58A3"/>
    <w:rsid w:val="007E5FD4"/>
    <w:rsid w:val="007E62A1"/>
    <w:rsid w:val="007E67B9"/>
    <w:rsid w:val="007E6C22"/>
    <w:rsid w:val="007E6F18"/>
    <w:rsid w:val="007F13E7"/>
    <w:rsid w:val="007F1BDA"/>
    <w:rsid w:val="007F1FFD"/>
    <w:rsid w:val="007F279D"/>
    <w:rsid w:val="007F27DE"/>
    <w:rsid w:val="007F2DAD"/>
    <w:rsid w:val="007F2DFE"/>
    <w:rsid w:val="007F3405"/>
    <w:rsid w:val="007F34C9"/>
    <w:rsid w:val="007F3533"/>
    <w:rsid w:val="007F3870"/>
    <w:rsid w:val="007F3934"/>
    <w:rsid w:val="007F4173"/>
    <w:rsid w:val="007F4348"/>
    <w:rsid w:val="007F4753"/>
    <w:rsid w:val="007F47FB"/>
    <w:rsid w:val="007F48C3"/>
    <w:rsid w:val="007F5381"/>
    <w:rsid w:val="007F5AA7"/>
    <w:rsid w:val="007F5EF2"/>
    <w:rsid w:val="007F65DC"/>
    <w:rsid w:val="007F69AB"/>
    <w:rsid w:val="007F6CF7"/>
    <w:rsid w:val="007F6F90"/>
    <w:rsid w:val="007F7F36"/>
    <w:rsid w:val="007F7FAA"/>
    <w:rsid w:val="00800BA8"/>
    <w:rsid w:val="00801200"/>
    <w:rsid w:val="00801C62"/>
    <w:rsid w:val="00801D29"/>
    <w:rsid w:val="0080223D"/>
    <w:rsid w:val="0080253D"/>
    <w:rsid w:val="00802EFB"/>
    <w:rsid w:val="00802FC1"/>
    <w:rsid w:val="00805A50"/>
    <w:rsid w:val="00806617"/>
    <w:rsid w:val="00806F6D"/>
    <w:rsid w:val="00807D5C"/>
    <w:rsid w:val="00807E17"/>
    <w:rsid w:val="008104F6"/>
    <w:rsid w:val="00811570"/>
    <w:rsid w:val="00811622"/>
    <w:rsid w:val="008117E4"/>
    <w:rsid w:val="00811B7C"/>
    <w:rsid w:val="00813111"/>
    <w:rsid w:val="0081369F"/>
    <w:rsid w:val="00813909"/>
    <w:rsid w:val="00814A6A"/>
    <w:rsid w:val="0081566B"/>
    <w:rsid w:val="00815A88"/>
    <w:rsid w:val="00815F29"/>
    <w:rsid w:val="00816719"/>
    <w:rsid w:val="00816E2E"/>
    <w:rsid w:val="00817659"/>
    <w:rsid w:val="00820E47"/>
    <w:rsid w:val="00820E7A"/>
    <w:rsid w:val="00820F7B"/>
    <w:rsid w:val="00821022"/>
    <w:rsid w:val="00821129"/>
    <w:rsid w:val="0082119E"/>
    <w:rsid w:val="00821810"/>
    <w:rsid w:val="0082194F"/>
    <w:rsid w:val="00821993"/>
    <w:rsid w:val="00821B02"/>
    <w:rsid w:val="008229B0"/>
    <w:rsid w:val="008234A1"/>
    <w:rsid w:val="008245BB"/>
    <w:rsid w:val="008255EC"/>
    <w:rsid w:val="00825947"/>
    <w:rsid w:val="00825ADC"/>
    <w:rsid w:val="00826313"/>
    <w:rsid w:val="00826A0C"/>
    <w:rsid w:val="00826A84"/>
    <w:rsid w:val="00826C0D"/>
    <w:rsid w:val="008274C0"/>
    <w:rsid w:val="008276CE"/>
    <w:rsid w:val="0082789A"/>
    <w:rsid w:val="00827992"/>
    <w:rsid w:val="00827D25"/>
    <w:rsid w:val="008301B0"/>
    <w:rsid w:val="008312A0"/>
    <w:rsid w:val="0083147A"/>
    <w:rsid w:val="008316D2"/>
    <w:rsid w:val="00831C6E"/>
    <w:rsid w:val="00832494"/>
    <w:rsid w:val="00832C79"/>
    <w:rsid w:val="008338C1"/>
    <w:rsid w:val="008340FE"/>
    <w:rsid w:val="008342BB"/>
    <w:rsid w:val="008347E9"/>
    <w:rsid w:val="008357C8"/>
    <w:rsid w:val="00835ACC"/>
    <w:rsid w:val="00835F53"/>
    <w:rsid w:val="00836468"/>
    <w:rsid w:val="008405D8"/>
    <w:rsid w:val="00840939"/>
    <w:rsid w:val="008415D6"/>
    <w:rsid w:val="00841796"/>
    <w:rsid w:val="00843219"/>
    <w:rsid w:val="0084485E"/>
    <w:rsid w:val="00845BF7"/>
    <w:rsid w:val="00845FED"/>
    <w:rsid w:val="008463FD"/>
    <w:rsid w:val="008465E9"/>
    <w:rsid w:val="00846BEF"/>
    <w:rsid w:val="00851185"/>
    <w:rsid w:val="0085280D"/>
    <w:rsid w:val="0085298A"/>
    <w:rsid w:val="00853324"/>
    <w:rsid w:val="008536C5"/>
    <w:rsid w:val="00853977"/>
    <w:rsid w:val="00854275"/>
    <w:rsid w:val="008551BC"/>
    <w:rsid w:val="00855C04"/>
    <w:rsid w:val="00856491"/>
    <w:rsid w:val="008565D2"/>
    <w:rsid w:val="00857351"/>
    <w:rsid w:val="008573BB"/>
    <w:rsid w:val="00857566"/>
    <w:rsid w:val="00857636"/>
    <w:rsid w:val="00860538"/>
    <w:rsid w:val="008608AD"/>
    <w:rsid w:val="00861DBD"/>
    <w:rsid w:val="00861F00"/>
    <w:rsid w:val="00862628"/>
    <w:rsid w:val="008628FA"/>
    <w:rsid w:val="008629CF"/>
    <w:rsid w:val="00862B86"/>
    <w:rsid w:val="00863073"/>
    <w:rsid w:val="0086355B"/>
    <w:rsid w:val="0086415A"/>
    <w:rsid w:val="00864287"/>
    <w:rsid w:val="00864814"/>
    <w:rsid w:val="008648C9"/>
    <w:rsid w:val="008657F5"/>
    <w:rsid w:val="0086647B"/>
    <w:rsid w:val="00867B67"/>
    <w:rsid w:val="00867C9B"/>
    <w:rsid w:val="0087076B"/>
    <w:rsid w:val="00870BD9"/>
    <w:rsid w:val="008710D3"/>
    <w:rsid w:val="008718CF"/>
    <w:rsid w:val="008718D2"/>
    <w:rsid w:val="00871FB0"/>
    <w:rsid w:val="0087265D"/>
    <w:rsid w:val="00872F20"/>
    <w:rsid w:val="00873844"/>
    <w:rsid w:val="008738B8"/>
    <w:rsid w:val="00873BF8"/>
    <w:rsid w:val="00873FA6"/>
    <w:rsid w:val="00874878"/>
    <w:rsid w:val="008748B2"/>
    <w:rsid w:val="00874BD2"/>
    <w:rsid w:val="00874DF2"/>
    <w:rsid w:val="00875429"/>
    <w:rsid w:val="0087553C"/>
    <w:rsid w:val="008760DC"/>
    <w:rsid w:val="00876659"/>
    <w:rsid w:val="00876DD8"/>
    <w:rsid w:val="008771F0"/>
    <w:rsid w:val="00877847"/>
    <w:rsid w:val="00877F4D"/>
    <w:rsid w:val="008808D7"/>
    <w:rsid w:val="0088101C"/>
    <w:rsid w:val="00881236"/>
    <w:rsid w:val="00881964"/>
    <w:rsid w:val="00881FB3"/>
    <w:rsid w:val="00882B2C"/>
    <w:rsid w:val="00882DB6"/>
    <w:rsid w:val="0088384C"/>
    <w:rsid w:val="00883B9D"/>
    <w:rsid w:val="00884848"/>
    <w:rsid w:val="0088539D"/>
    <w:rsid w:val="00885A6F"/>
    <w:rsid w:val="00885C1F"/>
    <w:rsid w:val="00885C92"/>
    <w:rsid w:val="0088621B"/>
    <w:rsid w:val="0088639C"/>
    <w:rsid w:val="00886A8D"/>
    <w:rsid w:val="008870B2"/>
    <w:rsid w:val="00887959"/>
    <w:rsid w:val="00890B37"/>
    <w:rsid w:val="00890D86"/>
    <w:rsid w:val="00891064"/>
    <w:rsid w:val="008911DD"/>
    <w:rsid w:val="00891DC5"/>
    <w:rsid w:val="00892E70"/>
    <w:rsid w:val="008933CF"/>
    <w:rsid w:val="008937DA"/>
    <w:rsid w:val="008937EA"/>
    <w:rsid w:val="00893ABF"/>
    <w:rsid w:val="00894CA2"/>
    <w:rsid w:val="008951F8"/>
    <w:rsid w:val="0089559D"/>
    <w:rsid w:val="00895784"/>
    <w:rsid w:val="00895B22"/>
    <w:rsid w:val="00897CE4"/>
    <w:rsid w:val="008A0302"/>
    <w:rsid w:val="008A0D10"/>
    <w:rsid w:val="008A1212"/>
    <w:rsid w:val="008A15B4"/>
    <w:rsid w:val="008A21D2"/>
    <w:rsid w:val="008A2BCF"/>
    <w:rsid w:val="008A2EAA"/>
    <w:rsid w:val="008A3708"/>
    <w:rsid w:val="008A408F"/>
    <w:rsid w:val="008A435C"/>
    <w:rsid w:val="008A4B17"/>
    <w:rsid w:val="008A5103"/>
    <w:rsid w:val="008A5303"/>
    <w:rsid w:val="008A66A8"/>
    <w:rsid w:val="008A66AD"/>
    <w:rsid w:val="008A69E3"/>
    <w:rsid w:val="008A6A0D"/>
    <w:rsid w:val="008A6B3A"/>
    <w:rsid w:val="008A6DCE"/>
    <w:rsid w:val="008A6DF0"/>
    <w:rsid w:val="008A7339"/>
    <w:rsid w:val="008A7744"/>
    <w:rsid w:val="008A7C0E"/>
    <w:rsid w:val="008A7DA3"/>
    <w:rsid w:val="008B0026"/>
    <w:rsid w:val="008B035F"/>
    <w:rsid w:val="008B1762"/>
    <w:rsid w:val="008B1934"/>
    <w:rsid w:val="008B1F9B"/>
    <w:rsid w:val="008B222A"/>
    <w:rsid w:val="008B22F9"/>
    <w:rsid w:val="008B25A8"/>
    <w:rsid w:val="008B2BAD"/>
    <w:rsid w:val="008B3635"/>
    <w:rsid w:val="008B38A6"/>
    <w:rsid w:val="008B3DA5"/>
    <w:rsid w:val="008B40B2"/>
    <w:rsid w:val="008B40B4"/>
    <w:rsid w:val="008B4D34"/>
    <w:rsid w:val="008B4FA8"/>
    <w:rsid w:val="008B56DB"/>
    <w:rsid w:val="008B6087"/>
    <w:rsid w:val="008B6E8A"/>
    <w:rsid w:val="008B7489"/>
    <w:rsid w:val="008C11B1"/>
    <w:rsid w:val="008C15B4"/>
    <w:rsid w:val="008C1815"/>
    <w:rsid w:val="008C2E8F"/>
    <w:rsid w:val="008C3B9E"/>
    <w:rsid w:val="008C3D18"/>
    <w:rsid w:val="008C3FC5"/>
    <w:rsid w:val="008C402D"/>
    <w:rsid w:val="008C5FC8"/>
    <w:rsid w:val="008C7305"/>
    <w:rsid w:val="008D0C93"/>
    <w:rsid w:val="008D1119"/>
    <w:rsid w:val="008D15EC"/>
    <w:rsid w:val="008D1DB8"/>
    <w:rsid w:val="008D2C84"/>
    <w:rsid w:val="008D31B7"/>
    <w:rsid w:val="008D31DC"/>
    <w:rsid w:val="008D3458"/>
    <w:rsid w:val="008D3B14"/>
    <w:rsid w:val="008D3CE9"/>
    <w:rsid w:val="008D4ACE"/>
    <w:rsid w:val="008D4F0B"/>
    <w:rsid w:val="008D6973"/>
    <w:rsid w:val="008D737C"/>
    <w:rsid w:val="008D7B6D"/>
    <w:rsid w:val="008E0B62"/>
    <w:rsid w:val="008E10D0"/>
    <w:rsid w:val="008E26BE"/>
    <w:rsid w:val="008E27F0"/>
    <w:rsid w:val="008E2BD8"/>
    <w:rsid w:val="008E2C2F"/>
    <w:rsid w:val="008E2E8C"/>
    <w:rsid w:val="008E343F"/>
    <w:rsid w:val="008E3930"/>
    <w:rsid w:val="008E3965"/>
    <w:rsid w:val="008E3CED"/>
    <w:rsid w:val="008E43AB"/>
    <w:rsid w:val="008E5E2A"/>
    <w:rsid w:val="008E60F0"/>
    <w:rsid w:val="008E62A1"/>
    <w:rsid w:val="008E6D4A"/>
    <w:rsid w:val="008E6DBF"/>
    <w:rsid w:val="008E6F36"/>
    <w:rsid w:val="008E73D7"/>
    <w:rsid w:val="008E7F3F"/>
    <w:rsid w:val="008F0B0A"/>
    <w:rsid w:val="008F0EA1"/>
    <w:rsid w:val="008F32D9"/>
    <w:rsid w:val="008F4E7E"/>
    <w:rsid w:val="008F51E0"/>
    <w:rsid w:val="008F56B2"/>
    <w:rsid w:val="008F5DA4"/>
    <w:rsid w:val="008F6474"/>
    <w:rsid w:val="008F6BB5"/>
    <w:rsid w:val="008F77F3"/>
    <w:rsid w:val="00900A70"/>
    <w:rsid w:val="00901388"/>
    <w:rsid w:val="00901449"/>
    <w:rsid w:val="00901A49"/>
    <w:rsid w:val="00901B17"/>
    <w:rsid w:val="00901B18"/>
    <w:rsid w:val="00902297"/>
    <w:rsid w:val="009027B8"/>
    <w:rsid w:val="009027DF"/>
    <w:rsid w:val="00902862"/>
    <w:rsid w:val="00902A52"/>
    <w:rsid w:val="0090302F"/>
    <w:rsid w:val="0090307A"/>
    <w:rsid w:val="009038F7"/>
    <w:rsid w:val="0090413D"/>
    <w:rsid w:val="00904C44"/>
    <w:rsid w:val="009055CE"/>
    <w:rsid w:val="00905F5F"/>
    <w:rsid w:val="00906702"/>
    <w:rsid w:val="00906ECD"/>
    <w:rsid w:val="00907733"/>
    <w:rsid w:val="00907B05"/>
    <w:rsid w:val="0091014C"/>
    <w:rsid w:val="00911311"/>
    <w:rsid w:val="009114A2"/>
    <w:rsid w:val="00911DE2"/>
    <w:rsid w:val="00911E6A"/>
    <w:rsid w:val="00911E91"/>
    <w:rsid w:val="00912D74"/>
    <w:rsid w:val="0091337B"/>
    <w:rsid w:val="00913618"/>
    <w:rsid w:val="009137A3"/>
    <w:rsid w:val="0091451A"/>
    <w:rsid w:val="009147E9"/>
    <w:rsid w:val="00915FAB"/>
    <w:rsid w:val="009166ED"/>
    <w:rsid w:val="00916B82"/>
    <w:rsid w:val="00916D19"/>
    <w:rsid w:val="00916DE7"/>
    <w:rsid w:val="009171EB"/>
    <w:rsid w:val="009173D4"/>
    <w:rsid w:val="0091756D"/>
    <w:rsid w:val="00917C3D"/>
    <w:rsid w:val="0092011F"/>
    <w:rsid w:val="0092063F"/>
    <w:rsid w:val="00920D6C"/>
    <w:rsid w:val="00921224"/>
    <w:rsid w:val="00922461"/>
    <w:rsid w:val="009227E5"/>
    <w:rsid w:val="009232C1"/>
    <w:rsid w:val="009233DD"/>
    <w:rsid w:val="0092368D"/>
    <w:rsid w:val="00924B9A"/>
    <w:rsid w:val="00924D75"/>
    <w:rsid w:val="00925B35"/>
    <w:rsid w:val="00925D97"/>
    <w:rsid w:val="00926048"/>
    <w:rsid w:val="009263CF"/>
    <w:rsid w:val="00927072"/>
    <w:rsid w:val="009278F8"/>
    <w:rsid w:val="00927930"/>
    <w:rsid w:val="00927FAC"/>
    <w:rsid w:val="0093147C"/>
    <w:rsid w:val="00931698"/>
    <w:rsid w:val="00931789"/>
    <w:rsid w:val="00931818"/>
    <w:rsid w:val="00931F51"/>
    <w:rsid w:val="0093223A"/>
    <w:rsid w:val="00932B87"/>
    <w:rsid w:val="00932BFD"/>
    <w:rsid w:val="00932FD4"/>
    <w:rsid w:val="00933180"/>
    <w:rsid w:val="00933B1B"/>
    <w:rsid w:val="00934C24"/>
    <w:rsid w:val="00934D71"/>
    <w:rsid w:val="00934DB6"/>
    <w:rsid w:val="009352BE"/>
    <w:rsid w:val="00935E5D"/>
    <w:rsid w:val="0093609E"/>
    <w:rsid w:val="0093626C"/>
    <w:rsid w:val="00936612"/>
    <w:rsid w:val="00937DD4"/>
    <w:rsid w:val="0094099F"/>
    <w:rsid w:val="00940CBB"/>
    <w:rsid w:val="0094126E"/>
    <w:rsid w:val="00941271"/>
    <w:rsid w:val="00941479"/>
    <w:rsid w:val="009415BA"/>
    <w:rsid w:val="009419DB"/>
    <w:rsid w:val="009420D1"/>
    <w:rsid w:val="0094236C"/>
    <w:rsid w:val="009425FF"/>
    <w:rsid w:val="00942A1B"/>
    <w:rsid w:val="00942A78"/>
    <w:rsid w:val="009436F5"/>
    <w:rsid w:val="00943DEE"/>
    <w:rsid w:val="00944004"/>
    <w:rsid w:val="009441D3"/>
    <w:rsid w:val="009442DC"/>
    <w:rsid w:val="00944B4F"/>
    <w:rsid w:val="00945385"/>
    <w:rsid w:val="00945E42"/>
    <w:rsid w:val="00946268"/>
    <w:rsid w:val="00946E1D"/>
    <w:rsid w:val="0094761B"/>
    <w:rsid w:val="0094798B"/>
    <w:rsid w:val="009514BB"/>
    <w:rsid w:val="00951A3A"/>
    <w:rsid w:val="00951F16"/>
    <w:rsid w:val="009528E2"/>
    <w:rsid w:val="00952B12"/>
    <w:rsid w:val="00953780"/>
    <w:rsid w:val="0095391C"/>
    <w:rsid w:val="00953953"/>
    <w:rsid w:val="00953D53"/>
    <w:rsid w:val="00953F56"/>
    <w:rsid w:val="0095444A"/>
    <w:rsid w:val="00954B2F"/>
    <w:rsid w:val="00955105"/>
    <w:rsid w:val="0095572D"/>
    <w:rsid w:val="00955B65"/>
    <w:rsid w:val="00955B88"/>
    <w:rsid w:val="009568C1"/>
    <w:rsid w:val="00956C32"/>
    <w:rsid w:val="00956FBE"/>
    <w:rsid w:val="00957653"/>
    <w:rsid w:val="0096025E"/>
    <w:rsid w:val="00960A87"/>
    <w:rsid w:val="00960E35"/>
    <w:rsid w:val="009613C6"/>
    <w:rsid w:val="009617C7"/>
    <w:rsid w:val="00961DB4"/>
    <w:rsid w:val="00962D8C"/>
    <w:rsid w:val="00963F3E"/>
    <w:rsid w:val="009641A6"/>
    <w:rsid w:val="00965295"/>
    <w:rsid w:val="00965336"/>
    <w:rsid w:val="00965F61"/>
    <w:rsid w:val="009660B7"/>
    <w:rsid w:val="0096669A"/>
    <w:rsid w:val="0096683C"/>
    <w:rsid w:val="00966D77"/>
    <w:rsid w:val="00966F2E"/>
    <w:rsid w:val="009670DC"/>
    <w:rsid w:val="009670F1"/>
    <w:rsid w:val="00967EDF"/>
    <w:rsid w:val="009701C8"/>
    <w:rsid w:val="00970245"/>
    <w:rsid w:val="00970E4C"/>
    <w:rsid w:val="00971A47"/>
    <w:rsid w:val="0097226B"/>
    <w:rsid w:val="009726E6"/>
    <w:rsid w:val="00972B38"/>
    <w:rsid w:val="0097350C"/>
    <w:rsid w:val="00974F22"/>
    <w:rsid w:val="00974FEA"/>
    <w:rsid w:val="0097534B"/>
    <w:rsid w:val="009762F2"/>
    <w:rsid w:val="00976317"/>
    <w:rsid w:val="00976D7D"/>
    <w:rsid w:val="009770B0"/>
    <w:rsid w:val="00977226"/>
    <w:rsid w:val="00977692"/>
    <w:rsid w:val="00980114"/>
    <w:rsid w:val="0098040E"/>
    <w:rsid w:val="00980758"/>
    <w:rsid w:val="009808E2"/>
    <w:rsid w:val="00981D61"/>
    <w:rsid w:val="00981EA4"/>
    <w:rsid w:val="009821E7"/>
    <w:rsid w:val="009833F6"/>
    <w:rsid w:val="00984019"/>
    <w:rsid w:val="009845F8"/>
    <w:rsid w:val="00984B57"/>
    <w:rsid w:val="00984F0B"/>
    <w:rsid w:val="00985286"/>
    <w:rsid w:val="00985596"/>
    <w:rsid w:val="00985B76"/>
    <w:rsid w:val="00985E1C"/>
    <w:rsid w:val="00985E2D"/>
    <w:rsid w:val="0098601E"/>
    <w:rsid w:val="00986E8E"/>
    <w:rsid w:val="0098792C"/>
    <w:rsid w:val="009879B6"/>
    <w:rsid w:val="0099061C"/>
    <w:rsid w:val="00990E1A"/>
    <w:rsid w:val="00991508"/>
    <w:rsid w:val="00991928"/>
    <w:rsid w:val="009923D3"/>
    <w:rsid w:val="00993F2C"/>
    <w:rsid w:val="0099458F"/>
    <w:rsid w:val="00994C8D"/>
    <w:rsid w:val="00994E37"/>
    <w:rsid w:val="00995223"/>
    <w:rsid w:val="00995DF6"/>
    <w:rsid w:val="00995EA4"/>
    <w:rsid w:val="00996272"/>
    <w:rsid w:val="009962D5"/>
    <w:rsid w:val="009964EF"/>
    <w:rsid w:val="00996AD8"/>
    <w:rsid w:val="00996B08"/>
    <w:rsid w:val="00996C7F"/>
    <w:rsid w:val="0099775F"/>
    <w:rsid w:val="00997A45"/>
    <w:rsid w:val="00997B1E"/>
    <w:rsid w:val="009A006C"/>
    <w:rsid w:val="009A00DD"/>
    <w:rsid w:val="009A18F8"/>
    <w:rsid w:val="009A1E54"/>
    <w:rsid w:val="009A2F2C"/>
    <w:rsid w:val="009A2F67"/>
    <w:rsid w:val="009A3BAB"/>
    <w:rsid w:val="009A47E1"/>
    <w:rsid w:val="009A4F3F"/>
    <w:rsid w:val="009A50A6"/>
    <w:rsid w:val="009A5F28"/>
    <w:rsid w:val="009A6326"/>
    <w:rsid w:val="009A679D"/>
    <w:rsid w:val="009A69A5"/>
    <w:rsid w:val="009A7559"/>
    <w:rsid w:val="009A79F1"/>
    <w:rsid w:val="009A7B6E"/>
    <w:rsid w:val="009A7F9A"/>
    <w:rsid w:val="009B0AB8"/>
    <w:rsid w:val="009B0B60"/>
    <w:rsid w:val="009B0CA6"/>
    <w:rsid w:val="009B121F"/>
    <w:rsid w:val="009B17D0"/>
    <w:rsid w:val="009B253E"/>
    <w:rsid w:val="009B2643"/>
    <w:rsid w:val="009B27DE"/>
    <w:rsid w:val="009B2BE4"/>
    <w:rsid w:val="009B2F92"/>
    <w:rsid w:val="009B498B"/>
    <w:rsid w:val="009B4C24"/>
    <w:rsid w:val="009B50B7"/>
    <w:rsid w:val="009B51D1"/>
    <w:rsid w:val="009B539A"/>
    <w:rsid w:val="009B5B62"/>
    <w:rsid w:val="009B6130"/>
    <w:rsid w:val="009B6187"/>
    <w:rsid w:val="009B62C6"/>
    <w:rsid w:val="009B6DCF"/>
    <w:rsid w:val="009B7A26"/>
    <w:rsid w:val="009C02FD"/>
    <w:rsid w:val="009C0951"/>
    <w:rsid w:val="009C1027"/>
    <w:rsid w:val="009C1143"/>
    <w:rsid w:val="009C1584"/>
    <w:rsid w:val="009C19AE"/>
    <w:rsid w:val="009C1C7F"/>
    <w:rsid w:val="009C1D17"/>
    <w:rsid w:val="009C1EDF"/>
    <w:rsid w:val="009C360A"/>
    <w:rsid w:val="009C4400"/>
    <w:rsid w:val="009C46C5"/>
    <w:rsid w:val="009C492E"/>
    <w:rsid w:val="009C4FA1"/>
    <w:rsid w:val="009C5B7C"/>
    <w:rsid w:val="009C5F64"/>
    <w:rsid w:val="009C6AEC"/>
    <w:rsid w:val="009C6E2D"/>
    <w:rsid w:val="009C74D8"/>
    <w:rsid w:val="009C78BD"/>
    <w:rsid w:val="009C7E22"/>
    <w:rsid w:val="009D0B62"/>
    <w:rsid w:val="009D103F"/>
    <w:rsid w:val="009D194A"/>
    <w:rsid w:val="009D1D6F"/>
    <w:rsid w:val="009D210D"/>
    <w:rsid w:val="009D24B5"/>
    <w:rsid w:val="009D2780"/>
    <w:rsid w:val="009D2E84"/>
    <w:rsid w:val="009D3347"/>
    <w:rsid w:val="009D35EC"/>
    <w:rsid w:val="009D37CF"/>
    <w:rsid w:val="009D3A41"/>
    <w:rsid w:val="009D4540"/>
    <w:rsid w:val="009D4637"/>
    <w:rsid w:val="009D5686"/>
    <w:rsid w:val="009D575B"/>
    <w:rsid w:val="009D57B8"/>
    <w:rsid w:val="009D6162"/>
    <w:rsid w:val="009D663B"/>
    <w:rsid w:val="009D694D"/>
    <w:rsid w:val="009D790C"/>
    <w:rsid w:val="009E006A"/>
    <w:rsid w:val="009E0A68"/>
    <w:rsid w:val="009E0D7C"/>
    <w:rsid w:val="009E0DAD"/>
    <w:rsid w:val="009E1630"/>
    <w:rsid w:val="009E2231"/>
    <w:rsid w:val="009E32B6"/>
    <w:rsid w:val="009E4910"/>
    <w:rsid w:val="009E7584"/>
    <w:rsid w:val="009E7BD9"/>
    <w:rsid w:val="009F01F8"/>
    <w:rsid w:val="009F0DF1"/>
    <w:rsid w:val="009F1020"/>
    <w:rsid w:val="009F1FE5"/>
    <w:rsid w:val="009F27D6"/>
    <w:rsid w:val="009F2CE5"/>
    <w:rsid w:val="009F3047"/>
    <w:rsid w:val="009F349B"/>
    <w:rsid w:val="009F4775"/>
    <w:rsid w:val="009F4B8F"/>
    <w:rsid w:val="009F6D16"/>
    <w:rsid w:val="009F6FE8"/>
    <w:rsid w:val="009F750F"/>
    <w:rsid w:val="009F76BA"/>
    <w:rsid w:val="009F793E"/>
    <w:rsid w:val="00A0022C"/>
    <w:rsid w:val="00A00D3B"/>
    <w:rsid w:val="00A01D1A"/>
    <w:rsid w:val="00A0350B"/>
    <w:rsid w:val="00A03840"/>
    <w:rsid w:val="00A044C8"/>
    <w:rsid w:val="00A045ED"/>
    <w:rsid w:val="00A04F84"/>
    <w:rsid w:val="00A053C8"/>
    <w:rsid w:val="00A057EE"/>
    <w:rsid w:val="00A0593E"/>
    <w:rsid w:val="00A05E8E"/>
    <w:rsid w:val="00A060E5"/>
    <w:rsid w:val="00A06503"/>
    <w:rsid w:val="00A075B9"/>
    <w:rsid w:val="00A07632"/>
    <w:rsid w:val="00A10119"/>
    <w:rsid w:val="00A10925"/>
    <w:rsid w:val="00A10F09"/>
    <w:rsid w:val="00A11193"/>
    <w:rsid w:val="00A115D8"/>
    <w:rsid w:val="00A12EB4"/>
    <w:rsid w:val="00A134A0"/>
    <w:rsid w:val="00A13B77"/>
    <w:rsid w:val="00A13F53"/>
    <w:rsid w:val="00A14151"/>
    <w:rsid w:val="00A141E6"/>
    <w:rsid w:val="00A14C2A"/>
    <w:rsid w:val="00A1517D"/>
    <w:rsid w:val="00A153C2"/>
    <w:rsid w:val="00A1588A"/>
    <w:rsid w:val="00A15B1C"/>
    <w:rsid w:val="00A16991"/>
    <w:rsid w:val="00A16AC9"/>
    <w:rsid w:val="00A16CFC"/>
    <w:rsid w:val="00A178B9"/>
    <w:rsid w:val="00A17942"/>
    <w:rsid w:val="00A201E0"/>
    <w:rsid w:val="00A20262"/>
    <w:rsid w:val="00A20567"/>
    <w:rsid w:val="00A21AAC"/>
    <w:rsid w:val="00A22E14"/>
    <w:rsid w:val="00A23757"/>
    <w:rsid w:val="00A23CEA"/>
    <w:rsid w:val="00A240EE"/>
    <w:rsid w:val="00A24690"/>
    <w:rsid w:val="00A248B6"/>
    <w:rsid w:val="00A24D25"/>
    <w:rsid w:val="00A26248"/>
    <w:rsid w:val="00A266C1"/>
    <w:rsid w:val="00A2737E"/>
    <w:rsid w:val="00A273E6"/>
    <w:rsid w:val="00A27A22"/>
    <w:rsid w:val="00A3047E"/>
    <w:rsid w:val="00A30BD3"/>
    <w:rsid w:val="00A31543"/>
    <w:rsid w:val="00A31D40"/>
    <w:rsid w:val="00A31FB2"/>
    <w:rsid w:val="00A33D69"/>
    <w:rsid w:val="00A3499C"/>
    <w:rsid w:val="00A34D07"/>
    <w:rsid w:val="00A354AA"/>
    <w:rsid w:val="00A3580B"/>
    <w:rsid w:val="00A35EB5"/>
    <w:rsid w:val="00A36BB0"/>
    <w:rsid w:val="00A36C54"/>
    <w:rsid w:val="00A378D3"/>
    <w:rsid w:val="00A379E0"/>
    <w:rsid w:val="00A40F2D"/>
    <w:rsid w:val="00A41294"/>
    <w:rsid w:val="00A4151C"/>
    <w:rsid w:val="00A41619"/>
    <w:rsid w:val="00A41C6E"/>
    <w:rsid w:val="00A41E99"/>
    <w:rsid w:val="00A424E5"/>
    <w:rsid w:val="00A42DE6"/>
    <w:rsid w:val="00A432AD"/>
    <w:rsid w:val="00A43376"/>
    <w:rsid w:val="00A43D6B"/>
    <w:rsid w:val="00A43E27"/>
    <w:rsid w:val="00A43FE4"/>
    <w:rsid w:val="00A44314"/>
    <w:rsid w:val="00A4433D"/>
    <w:rsid w:val="00A446D7"/>
    <w:rsid w:val="00A44C3B"/>
    <w:rsid w:val="00A44EFF"/>
    <w:rsid w:val="00A44F76"/>
    <w:rsid w:val="00A45281"/>
    <w:rsid w:val="00A45CAC"/>
    <w:rsid w:val="00A465B7"/>
    <w:rsid w:val="00A47586"/>
    <w:rsid w:val="00A501A2"/>
    <w:rsid w:val="00A50443"/>
    <w:rsid w:val="00A50795"/>
    <w:rsid w:val="00A51109"/>
    <w:rsid w:val="00A512ED"/>
    <w:rsid w:val="00A51B88"/>
    <w:rsid w:val="00A53075"/>
    <w:rsid w:val="00A5340E"/>
    <w:rsid w:val="00A53752"/>
    <w:rsid w:val="00A53A2B"/>
    <w:rsid w:val="00A54C6F"/>
    <w:rsid w:val="00A56502"/>
    <w:rsid w:val="00A5650C"/>
    <w:rsid w:val="00A56559"/>
    <w:rsid w:val="00A56583"/>
    <w:rsid w:val="00A5681B"/>
    <w:rsid w:val="00A576C6"/>
    <w:rsid w:val="00A5778B"/>
    <w:rsid w:val="00A57A4D"/>
    <w:rsid w:val="00A57B04"/>
    <w:rsid w:val="00A606B3"/>
    <w:rsid w:val="00A60A7C"/>
    <w:rsid w:val="00A625F6"/>
    <w:rsid w:val="00A6265F"/>
    <w:rsid w:val="00A62695"/>
    <w:rsid w:val="00A657F1"/>
    <w:rsid w:val="00A65A4F"/>
    <w:rsid w:val="00A660E7"/>
    <w:rsid w:val="00A66131"/>
    <w:rsid w:val="00A66948"/>
    <w:rsid w:val="00A679C6"/>
    <w:rsid w:val="00A67EF2"/>
    <w:rsid w:val="00A705EE"/>
    <w:rsid w:val="00A70763"/>
    <w:rsid w:val="00A716DB"/>
    <w:rsid w:val="00A7257A"/>
    <w:rsid w:val="00A7268A"/>
    <w:rsid w:val="00A72794"/>
    <w:rsid w:val="00A72E02"/>
    <w:rsid w:val="00A72F21"/>
    <w:rsid w:val="00A734E5"/>
    <w:rsid w:val="00A7449F"/>
    <w:rsid w:val="00A749AC"/>
    <w:rsid w:val="00A74D14"/>
    <w:rsid w:val="00A74D94"/>
    <w:rsid w:val="00A753DE"/>
    <w:rsid w:val="00A754F5"/>
    <w:rsid w:val="00A756ED"/>
    <w:rsid w:val="00A75A04"/>
    <w:rsid w:val="00A769E6"/>
    <w:rsid w:val="00A76D42"/>
    <w:rsid w:val="00A76EA7"/>
    <w:rsid w:val="00A7735B"/>
    <w:rsid w:val="00A7757E"/>
    <w:rsid w:val="00A77617"/>
    <w:rsid w:val="00A7761F"/>
    <w:rsid w:val="00A77A3F"/>
    <w:rsid w:val="00A77B66"/>
    <w:rsid w:val="00A807DB"/>
    <w:rsid w:val="00A808E9"/>
    <w:rsid w:val="00A80C8D"/>
    <w:rsid w:val="00A818A8"/>
    <w:rsid w:val="00A81EB7"/>
    <w:rsid w:val="00A81F8B"/>
    <w:rsid w:val="00A822EE"/>
    <w:rsid w:val="00A827D8"/>
    <w:rsid w:val="00A82B25"/>
    <w:rsid w:val="00A83265"/>
    <w:rsid w:val="00A83362"/>
    <w:rsid w:val="00A84896"/>
    <w:rsid w:val="00A84A93"/>
    <w:rsid w:val="00A856BF"/>
    <w:rsid w:val="00A856DC"/>
    <w:rsid w:val="00A85D64"/>
    <w:rsid w:val="00A86A82"/>
    <w:rsid w:val="00A86D63"/>
    <w:rsid w:val="00A87090"/>
    <w:rsid w:val="00A87294"/>
    <w:rsid w:val="00A872DD"/>
    <w:rsid w:val="00A904F7"/>
    <w:rsid w:val="00A914ED"/>
    <w:rsid w:val="00A922BE"/>
    <w:rsid w:val="00A9263F"/>
    <w:rsid w:val="00A935A5"/>
    <w:rsid w:val="00A939D7"/>
    <w:rsid w:val="00A93C8B"/>
    <w:rsid w:val="00A944B7"/>
    <w:rsid w:val="00A94A70"/>
    <w:rsid w:val="00A94B44"/>
    <w:rsid w:val="00A94C49"/>
    <w:rsid w:val="00A94DF3"/>
    <w:rsid w:val="00A95FE5"/>
    <w:rsid w:val="00A97191"/>
    <w:rsid w:val="00A97719"/>
    <w:rsid w:val="00A97A0F"/>
    <w:rsid w:val="00AA08FA"/>
    <w:rsid w:val="00AA0B37"/>
    <w:rsid w:val="00AA0D09"/>
    <w:rsid w:val="00AA1159"/>
    <w:rsid w:val="00AA2B6C"/>
    <w:rsid w:val="00AA30C5"/>
    <w:rsid w:val="00AA33DA"/>
    <w:rsid w:val="00AA3E37"/>
    <w:rsid w:val="00AA490A"/>
    <w:rsid w:val="00AA4960"/>
    <w:rsid w:val="00AA4CE8"/>
    <w:rsid w:val="00AA5BAF"/>
    <w:rsid w:val="00AA7156"/>
    <w:rsid w:val="00AA768E"/>
    <w:rsid w:val="00AB06A1"/>
    <w:rsid w:val="00AB094D"/>
    <w:rsid w:val="00AB1182"/>
    <w:rsid w:val="00AB121A"/>
    <w:rsid w:val="00AB15D8"/>
    <w:rsid w:val="00AB185C"/>
    <w:rsid w:val="00AB23E2"/>
    <w:rsid w:val="00AB28F2"/>
    <w:rsid w:val="00AB29DF"/>
    <w:rsid w:val="00AB2B8B"/>
    <w:rsid w:val="00AB3205"/>
    <w:rsid w:val="00AB3459"/>
    <w:rsid w:val="00AB372D"/>
    <w:rsid w:val="00AB3FBF"/>
    <w:rsid w:val="00AB41DC"/>
    <w:rsid w:val="00AB51D4"/>
    <w:rsid w:val="00AB53F9"/>
    <w:rsid w:val="00AB57AD"/>
    <w:rsid w:val="00AB67FA"/>
    <w:rsid w:val="00AB6AED"/>
    <w:rsid w:val="00AB6DF1"/>
    <w:rsid w:val="00AC0E95"/>
    <w:rsid w:val="00AC0EE4"/>
    <w:rsid w:val="00AC211F"/>
    <w:rsid w:val="00AC2559"/>
    <w:rsid w:val="00AC25B3"/>
    <w:rsid w:val="00AC2725"/>
    <w:rsid w:val="00AC3312"/>
    <w:rsid w:val="00AC3CB0"/>
    <w:rsid w:val="00AC4162"/>
    <w:rsid w:val="00AC58FC"/>
    <w:rsid w:val="00AC67D7"/>
    <w:rsid w:val="00AC68A0"/>
    <w:rsid w:val="00AC712E"/>
    <w:rsid w:val="00AD0A27"/>
    <w:rsid w:val="00AD0FD9"/>
    <w:rsid w:val="00AD153A"/>
    <w:rsid w:val="00AD155B"/>
    <w:rsid w:val="00AD1599"/>
    <w:rsid w:val="00AD1A8D"/>
    <w:rsid w:val="00AD1D57"/>
    <w:rsid w:val="00AD20C5"/>
    <w:rsid w:val="00AD298C"/>
    <w:rsid w:val="00AD2CF8"/>
    <w:rsid w:val="00AD3578"/>
    <w:rsid w:val="00AD36C4"/>
    <w:rsid w:val="00AD3863"/>
    <w:rsid w:val="00AD3B3F"/>
    <w:rsid w:val="00AD4056"/>
    <w:rsid w:val="00AD4EAA"/>
    <w:rsid w:val="00AD4EC3"/>
    <w:rsid w:val="00AD51BE"/>
    <w:rsid w:val="00AD52E6"/>
    <w:rsid w:val="00AD75BC"/>
    <w:rsid w:val="00AD79B4"/>
    <w:rsid w:val="00AD7A44"/>
    <w:rsid w:val="00AE0D7E"/>
    <w:rsid w:val="00AE10F3"/>
    <w:rsid w:val="00AE15DD"/>
    <w:rsid w:val="00AE1F6E"/>
    <w:rsid w:val="00AE2303"/>
    <w:rsid w:val="00AE274C"/>
    <w:rsid w:val="00AE2B54"/>
    <w:rsid w:val="00AE2C37"/>
    <w:rsid w:val="00AE34D9"/>
    <w:rsid w:val="00AE4F61"/>
    <w:rsid w:val="00AE5612"/>
    <w:rsid w:val="00AE5B7E"/>
    <w:rsid w:val="00AE6AE3"/>
    <w:rsid w:val="00AE6D1B"/>
    <w:rsid w:val="00AE6F55"/>
    <w:rsid w:val="00AE7A05"/>
    <w:rsid w:val="00AF0013"/>
    <w:rsid w:val="00AF019A"/>
    <w:rsid w:val="00AF0321"/>
    <w:rsid w:val="00AF0CDB"/>
    <w:rsid w:val="00AF1AD7"/>
    <w:rsid w:val="00AF1D9D"/>
    <w:rsid w:val="00AF2034"/>
    <w:rsid w:val="00AF2ABC"/>
    <w:rsid w:val="00AF2CC5"/>
    <w:rsid w:val="00AF3180"/>
    <w:rsid w:val="00AF3A44"/>
    <w:rsid w:val="00AF3EF5"/>
    <w:rsid w:val="00AF47F0"/>
    <w:rsid w:val="00AF5585"/>
    <w:rsid w:val="00AF580D"/>
    <w:rsid w:val="00AF614E"/>
    <w:rsid w:val="00AF62FB"/>
    <w:rsid w:val="00AF6384"/>
    <w:rsid w:val="00AF7FE9"/>
    <w:rsid w:val="00B002BE"/>
    <w:rsid w:val="00B002DD"/>
    <w:rsid w:val="00B00B75"/>
    <w:rsid w:val="00B013AD"/>
    <w:rsid w:val="00B0174A"/>
    <w:rsid w:val="00B0198A"/>
    <w:rsid w:val="00B01BDE"/>
    <w:rsid w:val="00B01F99"/>
    <w:rsid w:val="00B02151"/>
    <w:rsid w:val="00B02206"/>
    <w:rsid w:val="00B02528"/>
    <w:rsid w:val="00B0443F"/>
    <w:rsid w:val="00B049A4"/>
    <w:rsid w:val="00B05C83"/>
    <w:rsid w:val="00B06170"/>
    <w:rsid w:val="00B0629F"/>
    <w:rsid w:val="00B0663F"/>
    <w:rsid w:val="00B076B6"/>
    <w:rsid w:val="00B0778E"/>
    <w:rsid w:val="00B07B1B"/>
    <w:rsid w:val="00B07D60"/>
    <w:rsid w:val="00B104C6"/>
    <w:rsid w:val="00B106DE"/>
    <w:rsid w:val="00B10A83"/>
    <w:rsid w:val="00B10C3A"/>
    <w:rsid w:val="00B116EA"/>
    <w:rsid w:val="00B11F95"/>
    <w:rsid w:val="00B1254A"/>
    <w:rsid w:val="00B126A8"/>
    <w:rsid w:val="00B12E2C"/>
    <w:rsid w:val="00B1360B"/>
    <w:rsid w:val="00B13762"/>
    <w:rsid w:val="00B13A22"/>
    <w:rsid w:val="00B13A8B"/>
    <w:rsid w:val="00B13BCD"/>
    <w:rsid w:val="00B141A4"/>
    <w:rsid w:val="00B1458A"/>
    <w:rsid w:val="00B14FCA"/>
    <w:rsid w:val="00B1547E"/>
    <w:rsid w:val="00B1568B"/>
    <w:rsid w:val="00B16307"/>
    <w:rsid w:val="00B169E5"/>
    <w:rsid w:val="00B170E0"/>
    <w:rsid w:val="00B176D3"/>
    <w:rsid w:val="00B17949"/>
    <w:rsid w:val="00B17A16"/>
    <w:rsid w:val="00B17D88"/>
    <w:rsid w:val="00B20509"/>
    <w:rsid w:val="00B22EAD"/>
    <w:rsid w:val="00B2304E"/>
    <w:rsid w:val="00B2413A"/>
    <w:rsid w:val="00B24329"/>
    <w:rsid w:val="00B245A1"/>
    <w:rsid w:val="00B24677"/>
    <w:rsid w:val="00B24A49"/>
    <w:rsid w:val="00B24C08"/>
    <w:rsid w:val="00B25569"/>
    <w:rsid w:val="00B258F6"/>
    <w:rsid w:val="00B27531"/>
    <w:rsid w:val="00B27E0E"/>
    <w:rsid w:val="00B308A3"/>
    <w:rsid w:val="00B30E8C"/>
    <w:rsid w:val="00B30FC2"/>
    <w:rsid w:val="00B31604"/>
    <w:rsid w:val="00B317BE"/>
    <w:rsid w:val="00B317C9"/>
    <w:rsid w:val="00B32092"/>
    <w:rsid w:val="00B32106"/>
    <w:rsid w:val="00B327B7"/>
    <w:rsid w:val="00B327BC"/>
    <w:rsid w:val="00B32E07"/>
    <w:rsid w:val="00B33AEF"/>
    <w:rsid w:val="00B34428"/>
    <w:rsid w:val="00B3473A"/>
    <w:rsid w:val="00B348D5"/>
    <w:rsid w:val="00B34962"/>
    <w:rsid w:val="00B34C8A"/>
    <w:rsid w:val="00B34D3B"/>
    <w:rsid w:val="00B34FC8"/>
    <w:rsid w:val="00B357F6"/>
    <w:rsid w:val="00B359E5"/>
    <w:rsid w:val="00B35A30"/>
    <w:rsid w:val="00B35D16"/>
    <w:rsid w:val="00B361F0"/>
    <w:rsid w:val="00B3664E"/>
    <w:rsid w:val="00B37409"/>
    <w:rsid w:val="00B40256"/>
    <w:rsid w:val="00B4027B"/>
    <w:rsid w:val="00B403A3"/>
    <w:rsid w:val="00B4090F"/>
    <w:rsid w:val="00B40EA8"/>
    <w:rsid w:val="00B4115A"/>
    <w:rsid w:val="00B41166"/>
    <w:rsid w:val="00B41CFC"/>
    <w:rsid w:val="00B420CF"/>
    <w:rsid w:val="00B4295A"/>
    <w:rsid w:val="00B43D50"/>
    <w:rsid w:val="00B4449C"/>
    <w:rsid w:val="00B45957"/>
    <w:rsid w:val="00B45F28"/>
    <w:rsid w:val="00B45F5B"/>
    <w:rsid w:val="00B472A6"/>
    <w:rsid w:val="00B47A6D"/>
    <w:rsid w:val="00B47F1F"/>
    <w:rsid w:val="00B503F2"/>
    <w:rsid w:val="00B508A2"/>
    <w:rsid w:val="00B50BB1"/>
    <w:rsid w:val="00B50FD7"/>
    <w:rsid w:val="00B52410"/>
    <w:rsid w:val="00B52795"/>
    <w:rsid w:val="00B52CC8"/>
    <w:rsid w:val="00B5342D"/>
    <w:rsid w:val="00B53B9C"/>
    <w:rsid w:val="00B54147"/>
    <w:rsid w:val="00B5454E"/>
    <w:rsid w:val="00B546D3"/>
    <w:rsid w:val="00B54BCA"/>
    <w:rsid w:val="00B54C35"/>
    <w:rsid w:val="00B54F04"/>
    <w:rsid w:val="00B55053"/>
    <w:rsid w:val="00B55240"/>
    <w:rsid w:val="00B555D7"/>
    <w:rsid w:val="00B56A5D"/>
    <w:rsid w:val="00B570AF"/>
    <w:rsid w:val="00B5788E"/>
    <w:rsid w:val="00B57EB7"/>
    <w:rsid w:val="00B6110E"/>
    <w:rsid w:val="00B6128C"/>
    <w:rsid w:val="00B61432"/>
    <w:rsid w:val="00B61ABF"/>
    <w:rsid w:val="00B630FB"/>
    <w:rsid w:val="00B63400"/>
    <w:rsid w:val="00B63C69"/>
    <w:rsid w:val="00B64341"/>
    <w:rsid w:val="00B648F5"/>
    <w:rsid w:val="00B65B9A"/>
    <w:rsid w:val="00B65E6E"/>
    <w:rsid w:val="00B65FB3"/>
    <w:rsid w:val="00B668A2"/>
    <w:rsid w:val="00B670B7"/>
    <w:rsid w:val="00B673A1"/>
    <w:rsid w:val="00B676A2"/>
    <w:rsid w:val="00B70355"/>
    <w:rsid w:val="00B70DCD"/>
    <w:rsid w:val="00B71382"/>
    <w:rsid w:val="00B71582"/>
    <w:rsid w:val="00B71C48"/>
    <w:rsid w:val="00B71DA7"/>
    <w:rsid w:val="00B71F45"/>
    <w:rsid w:val="00B7270B"/>
    <w:rsid w:val="00B72F70"/>
    <w:rsid w:val="00B74BFA"/>
    <w:rsid w:val="00B751AD"/>
    <w:rsid w:val="00B754A0"/>
    <w:rsid w:val="00B75671"/>
    <w:rsid w:val="00B759AC"/>
    <w:rsid w:val="00B75DEB"/>
    <w:rsid w:val="00B760B8"/>
    <w:rsid w:val="00B76EE9"/>
    <w:rsid w:val="00B775E6"/>
    <w:rsid w:val="00B77D5C"/>
    <w:rsid w:val="00B80C0E"/>
    <w:rsid w:val="00B80CDB"/>
    <w:rsid w:val="00B81646"/>
    <w:rsid w:val="00B816A8"/>
    <w:rsid w:val="00B8318D"/>
    <w:rsid w:val="00B83395"/>
    <w:rsid w:val="00B8381D"/>
    <w:rsid w:val="00B83F5E"/>
    <w:rsid w:val="00B84796"/>
    <w:rsid w:val="00B84D8A"/>
    <w:rsid w:val="00B85F16"/>
    <w:rsid w:val="00B86439"/>
    <w:rsid w:val="00B86C5F"/>
    <w:rsid w:val="00B90212"/>
    <w:rsid w:val="00B90BEC"/>
    <w:rsid w:val="00B90C29"/>
    <w:rsid w:val="00B90D1D"/>
    <w:rsid w:val="00B918E7"/>
    <w:rsid w:val="00B921D6"/>
    <w:rsid w:val="00B92EEC"/>
    <w:rsid w:val="00B93807"/>
    <w:rsid w:val="00B93C13"/>
    <w:rsid w:val="00B93D7F"/>
    <w:rsid w:val="00B93E60"/>
    <w:rsid w:val="00B9439A"/>
    <w:rsid w:val="00B94630"/>
    <w:rsid w:val="00B94C31"/>
    <w:rsid w:val="00B95470"/>
    <w:rsid w:val="00B96112"/>
    <w:rsid w:val="00B967F2"/>
    <w:rsid w:val="00B96DDD"/>
    <w:rsid w:val="00B970AA"/>
    <w:rsid w:val="00B97C1A"/>
    <w:rsid w:val="00BA0E89"/>
    <w:rsid w:val="00BA15A9"/>
    <w:rsid w:val="00BA15EA"/>
    <w:rsid w:val="00BA286D"/>
    <w:rsid w:val="00BA2E23"/>
    <w:rsid w:val="00BA308B"/>
    <w:rsid w:val="00BA35B8"/>
    <w:rsid w:val="00BA37E0"/>
    <w:rsid w:val="00BA38AA"/>
    <w:rsid w:val="00BA6D38"/>
    <w:rsid w:val="00BA785D"/>
    <w:rsid w:val="00BB150A"/>
    <w:rsid w:val="00BB19A0"/>
    <w:rsid w:val="00BB1A87"/>
    <w:rsid w:val="00BB2007"/>
    <w:rsid w:val="00BB2E09"/>
    <w:rsid w:val="00BB2F01"/>
    <w:rsid w:val="00BB320D"/>
    <w:rsid w:val="00BB3238"/>
    <w:rsid w:val="00BB3DAD"/>
    <w:rsid w:val="00BB3E7A"/>
    <w:rsid w:val="00BB40A3"/>
    <w:rsid w:val="00BB4666"/>
    <w:rsid w:val="00BB50F0"/>
    <w:rsid w:val="00BB57C9"/>
    <w:rsid w:val="00BB613F"/>
    <w:rsid w:val="00BB6B44"/>
    <w:rsid w:val="00BB6B8C"/>
    <w:rsid w:val="00BB7D8A"/>
    <w:rsid w:val="00BC03B6"/>
    <w:rsid w:val="00BC099E"/>
    <w:rsid w:val="00BC0B46"/>
    <w:rsid w:val="00BC1541"/>
    <w:rsid w:val="00BC1B3A"/>
    <w:rsid w:val="00BC20BF"/>
    <w:rsid w:val="00BC2168"/>
    <w:rsid w:val="00BC22FC"/>
    <w:rsid w:val="00BC2559"/>
    <w:rsid w:val="00BC2E6C"/>
    <w:rsid w:val="00BC2EF3"/>
    <w:rsid w:val="00BC3264"/>
    <w:rsid w:val="00BC3785"/>
    <w:rsid w:val="00BC3B21"/>
    <w:rsid w:val="00BC3BD9"/>
    <w:rsid w:val="00BC5055"/>
    <w:rsid w:val="00BC5AEB"/>
    <w:rsid w:val="00BC5CB6"/>
    <w:rsid w:val="00BC5D48"/>
    <w:rsid w:val="00BC5D70"/>
    <w:rsid w:val="00BC64D4"/>
    <w:rsid w:val="00BC662C"/>
    <w:rsid w:val="00BC769B"/>
    <w:rsid w:val="00BC7F4A"/>
    <w:rsid w:val="00BD0A2B"/>
    <w:rsid w:val="00BD0F51"/>
    <w:rsid w:val="00BD100E"/>
    <w:rsid w:val="00BD1040"/>
    <w:rsid w:val="00BD1777"/>
    <w:rsid w:val="00BD261B"/>
    <w:rsid w:val="00BD2752"/>
    <w:rsid w:val="00BD28F5"/>
    <w:rsid w:val="00BD2B7D"/>
    <w:rsid w:val="00BD2E4C"/>
    <w:rsid w:val="00BD2F47"/>
    <w:rsid w:val="00BD40F3"/>
    <w:rsid w:val="00BD424F"/>
    <w:rsid w:val="00BD4332"/>
    <w:rsid w:val="00BD4578"/>
    <w:rsid w:val="00BD4997"/>
    <w:rsid w:val="00BD4C81"/>
    <w:rsid w:val="00BD5075"/>
    <w:rsid w:val="00BD5A37"/>
    <w:rsid w:val="00BD66AA"/>
    <w:rsid w:val="00BD69B5"/>
    <w:rsid w:val="00BD6DB6"/>
    <w:rsid w:val="00BD70FC"/>
    <w:rsid w:val="00BD7495"/>
    <w:rsid w:val="00BD781A"/>
    <w:rsid w:val="00BD7AE5"/>
    <w:rsid w:val="00BD7D62"/>
    <w:rsid w:val="00BE0141"/>
    <w:rsid w:val="00BE08B3"/>
    <w:rsid w:val="00BE0E8A"/>
    <w:rsid w:val="00BE1613"/>
    <w:rsid w:val="00BE1C6B"/>
    <w:rsid w:val="00BE22F1"/>
    <w:rsid w:val="00BE26AB"/>
    <w:rsid w:val="00BE3A77"/>
    <w:rsid w:val="00BE3CAF"/>
    <w:rsid w:val="00BE4186"/>
    <w:rsid w:val="00BE4BFC"/>
    <w:rsid w:val="00BE4D56"/>
    <w:rsid w:val="00BE512E"/>
    <w:rsid w:val="00BE5DBD"/>
    <w:rsid w:val="00BE6464"/>
    <w:rsid w:val="00BE66E6"/>
    <w:rsid w:val="00BE6856"/>
    <w:rsid w:val="00BE6CBE"/>
    <w:rsid w:val="00BE73F3"/>
    <w:rsid w:val="00BE77F0"/>
    <w:rsid w:val="00BF11EA"/>
    <w:rsid w:val="00BF26D2"/>
    <w:rsid w:val="00BF3AA6"/>
    <w:rsid w:val="00BF3AC8"/>
    <w:rsid w:val="00BF3BAB"/>
    <w:rsid w:val="00BF43B7"/>
    <w:rsid w:val="00BF43F1"/>
    <w:rsid w:val="00BF44CC"/>
    <w:rsid w:val="00BF502C"/>
    <w:rsid w:val="00BF5BF8"/>
    <w:rsid w:val="00BF629B"/>
    <w:rsid w:val="00BF6AE5"/>
    <w:rsid w:val="00BF72E1"/>
    <w:rsid w:val="00BF7843"/>
    <w:rsid w:val="00BF7A0C"/>
    <w:rsid w:val="00C00207"/>
    <w:rsid w:val="00C00599"/>
    <w:rsid w:val="00C01103"/>
    <w:rsid w:val="00C01679"/>
    <w:rsid w:val="00C018C9"/>
    <w:rsid w:val="00C02A47"/>
    <w:rsid w:val="00C031AF"/>
    <w:rsid w:val="00C03306"/>
    <w:rsid w:val="00C03A03"/>
    <w:rsid w:val="00C049AD"/>
    <w:rsid w:val="00C05E6D"/>
    <w:rsid w:val="00C06207"/>
    <w:rsid w:val="00C06453"/>
    <w:rsid w:val="00C06871"/>
    <w:rsid w:val="00C06BA7"/>
    <w:rsid w:val="00C10054"/>
    <w:rsid w:val="00C11119"/>
    <w:rsid w:val="00C1152F"/>
    <w:rsid w:val="00C11B3A"/>
    <w:rsid w:val="00C11CB3"/>
    <w:rsid w:val="00C12018"/>
    <w:rsid w:val="00C13819"/>
    <w:rsid w:val="00C1439E"/>
    <w:rsid w:val="00C1516B"/>
    <w:rsid w:val="00C153B9"/>
    <w:rsid w:val="00C16240"/>
    <w:rsid w:val="00C16D4B"/>
    <w:rsid w:val="00C16DB6"/>
    <w:rsid w:val="00C17A5C"/>
    <w:rsid w:val="00C17E7F"/>
    <w:rsid w:val="00C20702"/>
    <w:rsid w:val="00C20DA1"/>
    <w:rsid w:val="00C217AA"/>
    <w:rsid w:val="00C2207E"/>
    <w:rsid w:val="00C22F26"/>
    <w:rsid w:val="00C23A68"/>
    <w:rsid w:val="00C23B6B"/>
    <w:rsid w:val="00C24EFB"/>
    <w:rsid w:val="00C24F94"/>
    <w:rsid w:val="00C252AA"/>
    <w:rsid w:val="00C25414"/>
    <w:rsid w:val="00C25BF7"/>
    <w:rsid w:val="00C263CC"/>
    <w:rsid w:val="00C264FB"/>
    <w:rsid w:val="00C266D8"/>
    <w:rsid w:val="00C27AD8"/>
    <w:rsid w:val="00C30017"/>
    <w:rsid w:val="00C30169"/>
    <w:rsid w:val="00C3094A"/>
    <w:rsid w:val="00C31373"/>
    <w:rsid w:val="00C3190B"/>
    <w:rsid w:val="00C31936"/>
    <w:rsid w:val="00C3300E"/>
    <w:rsid w:val="00C337EE"/>
    <w:rsid w:val="00C33CCE"/>
    <w:rsid w:val="00C33D4F"/>
    <w:rsid w:val="00C356E1"/>
    <w:rsid w:val="00C35D0E"/>
    <w:rsid w:val="00C35DD1"/>
    <w:rsid w:val="00C36582"/>
    <w:rsid w:val="00C37F65"/>
    <w:rsid w:val="00C40074"/>
    <w:rsid w:val="00C4011A"/>
    <w:rsid w:val="00C409A6"/>
    <w:rsid w:val="00C40DD7"/>
    <w:rsid w:val="00C41269"/>
    <w:rsid w:val="00C419F3"/>
    <w:rsid w:val="00C41CC0"/>
    <w:rsid w:val="00C43057"/>
    <w:rsid w:val="00C435E7"/>
    <w:rsid w:val="00C4364F"/>
    <w:rsid w:val="00C43783"/>
    <w:rsid w:val="00C43AB0"/>
    <w:rsid w:val="00C43F11"/>
    <w:rsid w:val="00C44AFF"/>
    <w:rsid w:val="00C45256"/>
    <w:rsid w:val="00C45742"/>
    <w:rsid w:val="00C45F48"/>
    <w:rsid w:val="00C46472"/>
    <w:rsid w:val="00C46DFD"/>
    <w:rsid w:val="00C46ED0"/>
    <w:rsid w:val="00C4709A"/>
    <w:rsid w:val="00C471E4"/>
    <w:rsid w:val="00C4741A"/>
    <w:rsid w:val="00C5038C"/>
    <w:rsid w:val="00C5040A"/>
    <w:rsid w:val="00C504DC"/>
    <w:rsid w:val="00C50B76"/>
    <w:rsid w:val="00C50B78"/>
    <w:rsid w:val="00C52575"/>
    <w:rsid w:val="00C53449"/>
    <w:rsid w:val="00C53DB0"/>
    <w:rsid w:val="00C54278"/>
    <w:rsid w:val="00C54669"/>
    <w:rsid w:val="00C5509F"/>
    <w:rsid w:val="00C559B9"/>
    <w:rsid w:val="00C55DF9"/>
    <w:rsid w:val="00C56934"/>
    <w:rsid w:val="00C5709D"/>
    <w:rsid w:val="00C573D9"/>
    <w:rsid w:val="00C57B2D"/>
    <w:rsid w:val="00C57ED9"/>
    <w:rsid w:val="00C6032F"/>
    <w:rsid w:val="00C6116D"/>
    <w:rsid w:val="00C615CD"/>
    <w:rsid w:val="00C618E4"/>
    <w:rsid w:val="00C618E5"/>
    <w:rsid w:val="00C61C8D"/>
    <w:rsid w:val="00C61D52"/>
    <w:rsid w:val="00C626E4"/>
    <w:rsid w:val="00C628E7"/>
    <w:rsid w:val="00C62B51"/>
    <w:rsid w:val="00C637D4"/>
    <w:rsid w:val="00C63A7A"/>
    <w:rsid w:val="00C6425A"/>
    <w:rsid w:val="00C6540A"/>
    <w:rsid w:val="00C65493"/>
    <w:rsid w:val="00C65F4E"/>
    <w:rsid w:val="00C66271"/>
    <w:rsid w:val="00C66282"/>
    <w:rsid w:val="00C66B0C"/>
    <w:rsid w:val="00C67715"/>
    <w:rsid w:val="00C67956"/>
    <w:rsid w:val="00C70307"/>
    <w:rsid w:val="00C71312"/>
    <w:rsid w:val="00C7161C"/>
    <w:rsid w:val="00C72025"/>
    <w:rsid w:val="00C72329"/>
    <w:rsid w:val="00C72655"/>
    <w:rsid w:val="00C72CBE"/>
    <w:rsid w:val="00C742A2"/>
    <w:rsid w:val="00C74AEC"/>
    <w:rsid w:val="00C7577D"/>
    <w:rsid w:val="00C76839"/>
    <w:rsid w:val="00C77A76"/>
    <w:rsid w:val="00C8094B"/>
    <w:rsid w:val="00C810BD"/>
    <w:rsid w:val="00C82659"/>
    <w:rsid w:val="00C8272C"/>
    <w:rsid w:val="00C82D57"/>
    <w:rsid w:val="00C8311D"/>
    <w:rsid w:val="00C833DC"/>
    <w:rsid w:val="00C83CA7"/>
    <w:rsid w:val="00C83D54"/>
    <w:rsid w:val="00C84035"/>
    <w:rsid w:val="00C840FF"/>
    <w:rsid w:val="00C8459A"/>
    <w:rsid w:val="00C8473C"/>
    <w:rsid w:val="00C8556E"/>
    <w:rsid w:val="00C86115"/>
    <w:rsid w:val="00C86853"/>
    <w:rsid w:val="00C86874"/>
    <w:rsid w:val="00C86A5C"/>
    <w:rsid w:val="00C8708F"/>
    <w:rsid w:val="00C87244"/>
    <w:rsid w:val="00C87C75"/>
    <w:rsid w:val="00C87FD7"/>
    <w:rsid w:val="00C9056C"/>
    <w:rsid w:val="00C907FC"/>
    <w:rsid w:val="00C90A85"/>
    <w:rsid w:val="00C912BF"/>
    <w:rsid w:val="00C91394"/>
    <w:rsid w:val="00C9268F"/>
    <w:rsid w:val="00C92CA3"/>
    <w:rsid w:val="00C93543"/>
    <w:rsid w:val="00C9403C"/>
    <w:rsid w:val="00C94321"/>
    <w:rsid w:val="00C94D0B"/>
    <w:rsid w:val="00C94EC6"/>
    <w:rsid w:val="00C951E7"/>
    <w:rsid w:val="00C95563"/>
    <w:rsid w:val="00C95568"/>
    <w:rsid w:val="00C95ACB"/>
    <w:rsid w:val="00C95F45"/>
    <w:rsid w:val="00C95FDA"/>
    <w:rsid w:val="00C967AA"/>
    <w:rsid w:val="00C96BB3"/>
    <w:rsid w:val="00C9739A"/>
    <w:rsid w:val="00C97749"/>
    <w:rsid w:val="00C97957"/>
    <w:rsid w:val="00CA0485"/>
    <w:rsid w:val="00CA0779"/>
    <w:rsid w:val="00CA07C7"/>
    <w:rsid w:val="00CA1074"/>
    <w:rsid w:val="00CA124A"/>
    <w:rsid w:val="00CA1328"/>
    <w:rsid w:val="00CA1911"/>
    <w:rsid w:val="00CA22AE"/>
    <w:rsid w:val="00CA2607"/>
    <w:rsid w:val="00CA28DE"/>
    <w:rsid w:val="00CA2D35"/>
    <w:rsid w:val="00CA3A58"/>
    <w:rsid w:val="00CA3ACC"/>
    <w:rsid w:val="00CA41FB"/>
    <w:rsid w:val="00CA4436"/>
    <w:rsid w:val="00CA44F5"/>
    <w:rsid w:val="00CA49E1"/>
    <w:rsid w:val="00CA60AE"/>
    <w:rsid w:val="00CA72D4"/>
    <w:rsid w:val="00CA7BE1"/>
    <w:rsid w:val="00CA7E05"/>
    <w:rsid w:val="00CB0917"/>
    <w:rsid w:val="00CB0D20"/>
    <w:rsid w:val="00CB130D"/>
    <w:rsid w:val="00CB1A16"/>
    <w:rsid w:val="00CB1E14"/>
    <w:rsid w:val="00CB20D8"/>
    <w:rsid w:val="00CB23AC"/>
    <w:rsid w:val="00CB242D"/>
    <w:rsid w:val="00CB254C"/>
    <w:rsid w:val="00CB28D3"/>
    <w:rsid w:val="00CB2C16"/>
    <w:rsid w:val="00CB304C"/>
    <w:rsid w:val="00CB3407"/>
    <w:rsid w:val="00CB344B"/>
    <w:rsid w:val="00CB3F6C"/>
    <w:rsid w:val="00CB4855"/>
    <w:rsid w:val="00CB5B66"/>
    <w:rsid w:val="00CB5F2A"/>
    <w:rsid w:val="00CB63CB"/>
    <w:rsid w:val="00CB687B"/>
    <w:rsid w:val="00CB6A42"/>
    <w:rsid w:val="00CB6C0B"/>
    <w:rsid w:val="00CB7084"/>
    <w:rsid w:val="00CB70D1"/>
    <w:rsid w:val="00CB77F0"/>
    <w:rsid w:val="00CB7C7E"/>
    <w:rsid w:val="00CC0FAD"/>
    <w:rsid w:val="00CC0FFE"/>
    <w:rsid w:val="00CC136C"/>
    <w:rsid w:val="00CC1385"/>
    <w:rsid w:val="00CC1532"/>
    <w:rsid w:val="00CC2161"/>
    <w:rsid w:val="00CC267B"/>
    <w:rsid w:val="00CC30CA"/>
    <w:rsid w:val="00CC3267"/>
    <w:rsid w:val="00CC3B03"/>
    <w:rsid w:val="00CC4CE7"/>
    <w:rsid w:val="00CC4FA7"/>
    <w:rsid w:val="00CC56FD"/>
    <w:rsid w:val="00CC64C5"/>
    <w:rsid w:val="00CC7098"/>
    <w:rsid w:val="00CC7F9D"/>
    <w:rsid w:val="00CD029D"/>
    <w:rsid w:val="00CD0427"/>
    <w:rsid w:val="00CD0F42"/>
    <w:rsid w:val="00CD18EA"/>
    <w:rsid w:val="00CD1A6B"/>
    <w:rsid w:val="00CD1C42"/>
    <w:rsid w:val="00CD2043"/>
    <w:rsid w:val="00CD2760"/>
    <w:rsid w:val="00CD29B8"/>
    <w:rsid w:val="00CD318E"/>
    <w:rsid w:val="00CD330C"/>
    <w:rsid w:val="00CD33CE"/>
    <w:rsid w:val="00CD37FE"/>
    <w:rsid w:val="00CD44F7"/>
    <w:rsid w:val="00CD46FF"/>
    <w:rsid w:val="00CD4F2E"/>
    <w:rsid w:val="00CD5B68"/>
    <w:rsid w:val="00CD65BF"/>
    <w:rsid w:val="00CD660F"/>
    <w:rsid w:val="00CD6A0F"/>
    <w:rsid w:val="00CD6C46"/>
    <w:rsid w:val="00CD7F39"/>
    <w:rsid w:val="00CE0107"/>
    <w:rsid w:val="00CE084F"/>
    <w:rsid w:val="00CE0E2D"/>
    <w:rsid w:val="00CE0E39"/>
    <w:rsid w:val="00CE2060"/>
    <w:rsid w:val="00CE26BA"/>
    <w:rsid w:val="00CE2D64"/>
    <w:rsid w:val="00CE30D5"/>
    <w:rsid w:val="00CE3BFC"/>
    <w:rsid w:val="00CE4387"/>
    <w:rsid w:val="00CE4492"/>
    <w:rsid w:val="00CE4621"/>
    <w:rsid w:val="00CE4796"/>
    <w:rsid w:val="00CE4B76"/>
    <w:rsid w:val="00CE4E43"/>
    <w:rsid w:val="00CE500A"/>
    <w:rsid w:val="00CE53C0"/>
    <w:rsid w:val="00CE59B6"/>
    <w:rsid w:val="00CE6763"/>
    <w:rsid w:val="00CE70B4"/>
    <w:rsid w:val="00CE7199"/>
    <w:rsid w:val="00CE7696"/>
    <w:rsid w:val="00CE7CDB"/>
    <w:rsid w:val="00CF0261"/>
    <w:rsid w:val="00CF0709"/>
    <w:rsid w:val="00CF0B9F"/>
    <w:rsid w:val="00CF1927"/>
    <w:rsid w:val="00CF1D30"/>
    <w:rsid w:val="00CF2202"/>
    <w:rsid w:val="00CF23EB"/>
    <w:rsid w:val="00CF2742"/>
    <w:rsid w:val="00CF2891"/>
    <w:rsid w:val="00CF2F59"/>
    <w:rsid w:val="00CF3F13"/>
    <w:rsid w:val="00CF40F3"/>
    <w:rsid w:val="00CF42D1"/>
    <w:rsid w:val="00CF4C56"/>
    <w:rsid w:val="00CF5286"/>
    <w:rsid w:val="00CF55D9"/>
    <w:rsid w:val="00CF5900"/>
    <w:rsid w:val="00CF5E36"/>
    <w:rsid w:val="00CF61B8"/>
    <w:rsid w:val="00CF6323"/>
    <w:rsid w:val="00CF6382"/>
    <w:rsid w:val="00CF7018"/>
    <w:rsid w:val="00D000C4"/>
    <w:rsid w:val="00D00B7E"/>
    <w:rsid w:val="00D01B22"/>
    <w:rsid w:val="00D01C46"/>
    <w:rsid w:val="00D028C6"/>
    <w:rsid w:val="00D034B8"/>
    <w:rsid w:val="00D03E40"/>
    <w:rsid w:val="00D050B5"/>
    <w:rsid w:val="00D056AF"/>
    <w:rsid w:val="00D06C68"/>
    <w:rsid w:val="00D07035"/>
    <w:rsid w:val="00D07833"/>
    <w:rsid w:val="00D0788E"/>
    <w:rsid w:val="00D07DFD"/>
    <w:rsid w:val="00D10317"/>
    <w:rsid w:val="00D10C35"/>
    <w:rsid w:val="00D11EBD"/>
    <w:rsid w:val="00D127A4"/>
    <w:rsid w:val="00D12CA1"/>
    <w:rsid w:val="00D12FAB"/>
    <w:rsid w:val="00D131E3"/>
    <w:rsid w:val="00D13412"/>
    <w:rsid w:val="00D138E5"/>
    <w:rsid w:val="00D1412B"/>
    <w:rsid w:val="00D141FF"/>
    <w:rsid w:val="00D150FB"/>
    <w:rsid w:val="00D1526D"/>
    <w:rsid w:val="00D157EA"/>
    <w:rsid w:val="00D16931"/>
    <w:rsid w:val="00D16E55"/>
    <w:rsid w:val="00D16F1A"/>
    <w:rsid w:val="00D17AD3"/>
    <w:rsid w:val="00D21BF9"/>
    <w:rsid w:val="00D21EF4"/>
    <w:rsid w:val="00D21F30"/>
    <w:rsid w:val="00D21FE9"/>
    <w:rsid w:val="00D22098"/>
    <w:rsid w:val="00D22478"/>
    <w:rsid w:val="00D22A59"/>
    <w:rsid w:val="00D22E0C"/>
    <w:rsid w:val="00D22EA9"/>
    <w:rsid w:val="00D2345E"/>
    <w:rsid w:val="00D236D8"/>
    <w:rsid w:val="00D23A58"/>
    <w:rsid w:val="00D23B28"/>
    <w:rsid w:val="00D23F72"/>
    <w:rsid w:val="00D23FBD"/>
    <w:rsid w:val="00D24957"/>
    <w:rsid w:val="00D24E98"/>
    <w:rsid w:val="00D2500F"/>
    <w:rsid w:val="00D258BB"/>
    <w:rsid w:val="00D25ACA"/>
    <w:rsid w:val="00D25B0D"/>
    <w:rsid w:val="00D26554"/>
    <w:rsid w:val="00D26CA7"/>
    <w:rsid w:val="00D26FDC"/>
    <w:rsid w:val="00D27B76"/>
    <w:rsid w:val="00D30026"/>
    <w:rsid w:val="00D3114D"/>
    <w:rsid w:val="00D313EA"/>
    <w:rsid w:val="00D32438"/>
    <w:rsid w:val="00D329DA"/>
    <w:rsid w:val="00D32BF4"/>
    <w:rsid w:val="00D3358D"/>
    <w:rsid w:val="00D33A9F"/>
    <w:rsid w:val="00D33C48"/>
    <w:rsid w:val="00D33FAB"/>
    <w:rsid w:val="00D3408D"/>
    <w:rsid w:val="00D3421F"/>
    <w:rsid w:val="00D34719"/>
    <w:rsid w:val="00D34840"/>
    <w:rsid w:val="00D352A5"/>
    <w:rsid w:val="00D35324"/>
    <w:rsid w:val="00D35CC7"/>
    <w:rsid w:val="00D35FC2"/>
    <w:rsid w:val="00D37737"/>
    <w:rsid w:val="00D3792B"/>
    <w:rsid w:val="00D37EEE"/>
    <w:rsid w:val="00D40476"/>
    <w:rsid w:val="00D4109B"/>
    <w:rsid w:val="00D414A9"/>
    <w:rsid w:val="00D41660"/>
    <w:rsid w:val="00D4176C"/>
    <w:rsid w:val="00D41A3F"/>
    <w:rsid w:val="00D422AB"/>
    <w:rsid w:val="00D42544"/>
    <w:rsid w:val="00D427E0"/>
    <w:rsid w:val="00D42A84"/>
    <w:rsid w:val="00D4325F"/>
    <w:rsid w:val="00D43DF5"/>
    <w:rsid w:val="00D44523"/>
    <w:rsid w:val="00D445C1"/>
    <w:rsid w:val="00D447FE"/>
    <w:rsid w:val="00D4519F"/>
    <w:rsid w:val="00D45A01"/>
    <w:rsid w:val="00D46E79"/>
    <w:rsid w:val="00D4789C"/>
    <w:rsid w:val="00D47939"/>
    <w:rsid w:val="00D47AC5"/>
    <w:rsid w:val="00D5091C"/>
    <w:rsid w:val="00D51D64"/>
    <w:rsid w:val="00D51EDB"/>
    <w:rsid w:val="00D5226B"/>
    <w:rsid w:val="00D524C3"/>
    <w:rsid w:val="00D524D0"/>
    <w:rsid w:val="00D52747"/>
    <w:rsid w:val="00D52D6B"/>
    <w:rsid w:val="00D52DAA"/>
    <w:rsid w:val="00D53059"/>
    <w:rsid w:val="00D53221"/>
    <w:rsid w:val="00D53D60"/>
    <w:rsid w:val="00D544D2"/>
    <w:rsid w:val="00D54744"/>
    <w:rsid w:val="00D553E1"/>
    <w:rsid w:val="00D558B2"/>
    <w:rsid w:val="00D56103"/>
    <w:rsid w:val="00D56A4D"/>
    <w:rsid w:val="00D57160"/>
    <w:rsid w:val="00D578C2"/>
    <w:rsid w:val="00D57EB4"/>
    <w:rsid w:val="00D607AC"/>
    <w:rsid w:val="00D6090E"/>
    <w:rsid w:val="00D619AA"/>
    <w:rsid w:val="00D6247A"/>
    <w:rsid w:val="00D629A6"/>
    <w:rsid w:val="00D62E4E"/>
    <w:rsid w:val="00D638F9"/>
    <w:rsid w:val="00D64365"/>
    <w:rsid w:val="00D647C5"/>
    <w:rsid w:val="00D6564D"/>
    <w:rsid w:val="00D657C4"/>
    <w:rsid w:val="00D66422"/>
    <w:rsid w:val="00D664F5"/>
    <w:rsid w:val="00D66AE9"/>
    <w:rsid w:val="00D66BDF"/>
    <w:rsid w:val="00D67B6C"/>
    <w:rsid w:val="00D67CE9"/>
    <w:rsid w:val="00D67D9B"/>
    <w:rsid w:val="00D70163"/>
    <w:rsid w:val="00D71614"/>
    <w:rsid w:val="00D723D1"/>
    <w:rsid w:val="00D72923"/>
    <w:rsid w:val="00D72CED"/>
    <w:rsid w:val="00D72F14"/>
    <w:rsid w:val="00D72F59"/>
    <w:rsid w:val="00D734CE"/>
    <w:rsid w:val="00D74611"/>
    <w:rsid w:val="00D7480F"/>
    <w:rsid w:val="00D75CC9"/>
    <w:rsid w:val="00D77F29"/>
    <w:rsid w:val="00D806B9"/>
    <w:rsid w:val="00D80770"/>
    <w:rsid w:val="00D80A5B"/>
    <w:rsid w:val="00D80F69"/>
    <w:rsid w:val="00D8190A"/>
    <w:rsid w:val="00D824C1"/>
    <w:rsid w:val="00D84E97"/>
    <w:rsid w:val="00D86684"/>
    <w:rsid w:val="00D869A8"/>
    <w:rsid w:val="00D87248"/>
    <w:rsid w:val="00D87289"/>
    <w:rsid w:val="00D87810"/>
    <w:rsid w:val="00D90565"/>
    <w:rsid w:val="00D90854"/>
    <w:rsid w:val="00D914F4"/>
    <w:rsid w:val="00D91826"/>
    <w:rsid w:val="00D9195E"/>
    <w:rsid w:val="00D91FCD"/>
    <w:rsid w:val="00D92012"/>
    <w:rsid w:val="00D921F1"/>
    <w:rsid w:val="00D92404"/>
    <w:rsid w:val="00D92B42"/>
    <w:rsid w:val="00D93179"/>
    <w:rsid w:val="00D93829"/>
    <w:rsid w:val="00D93F37"/>
    <w:rsid w:val="00D940DB"/>
    <w:rsid w:val="00D9443B"/>
    <w:rsid w:val="00D94483"/>
    <w:rsid w:val="00D954B7"/>
    <w:rsid w:val="00D95F4C"/>
    <w:rsid w:val="00D968D2"/>
    <w:rsid w:val="00D968FE"/>
    <w:rsid w:val="00D97667"/>
    <w:rsid w:val="00D97B71"/>
    <w:rsid w:val="00DA018E"/>
    <w:rsid w:val="00DA123F"/>
    <w:rsid w:val="00DA1935"/>
    <w:rsid w:val="00DA19FF"/>
    <w:rsid w:val="00DA1D7C"/>
    <w:rsid w:val="00DA1F39"/>
    <w:rsid w:val="00DA213B"/>
    <w:rsid w:val="00DA29BE"/>
    <w:rsid w:val="00DA2C76"/>
    <w:rsid w:val="00DA413B"/>
    <w:rsid w:val="00DA5102"/>
    <w:rsid w:val="00DA53C1"/>
    <w:rsid w:val="00DA5CD9"/>
    <w:rsid w:val="00DA6CF9"/>
    <w:rsid w:val="00DA6F7F"/>
    <w:rsid w:val="00DA7437"/>
    <w:rsid w:val="00DB07A7"/>
    <w:rsid w:val="00DB08E4"/>
    <w:rsid w:val="00DB1351"/>
    <w:rsid w:val="00DB18C8"/>
    <w:rsid w:val="00DB1D8E"/>
    <w:rsid w:val="00DB1E8D"/>
    <w:rsid w:val="00DB255F"/>
    <w:rsid w:val="00DB2730"/>
    <w:rsid w:val="00DB395B"/>
    <w:rsid w:val="00DB53D7"/>
    <w:rsid w:val="00DB5917"/>
    <w:rsid w:val="00DB66AC"/>
    <w:rsid w:val="00DB71B3"/>
    <w:rsid w:val="00DB7257"/>
    <w:rsid w:val="00DB7411"/>
    <w:rsid w:val="00DB7812"/>
    <w:rsid w:val="00DB79EC"/>
    <w:rsid w:val="00DB7D4C"/>
    <w:rsid w:val="00DB7F40"/>
    <w:rsid w:val="00DB7FAE"/>
    <w:rsid w:val="00DC001D"/>
    <w:rsid w:val="00DC0648"/>
    <w:rsid w:val="00DC11CD"/>
    <w:rsid w:val="00DC18D5"/>
    <w:rsid w:val="00DC3A1D"/>
    <w:rsid w:val="00DC3B54"/>
    <w:rsid w:val="00DC3D6D"/>
    <w:rsid w:val="00DC47A9"/>
    <w:rsid w:val="00DC562E"/>
    <w:rsid w:val="00DC5C39"/>
    <w:rsid w:val="00DC63F7"/>
    <w:rsid w:val="00DC65B7"/>
    <w:rsid w:val="00DC6775"/>
    <w:rsid w:val="00DC6C2B"/>
    <w:rsid w:val="00DC6E93"/>
    <w:rsid w:val="00DC7BB0"/>
    <w:rsid w:val="00DD02D1"/>
    <w:rsid w:val="00DD03C3"/>
    <w:rsid w:val="00DD04BC"/>
    <w:rsid w:val="00DD0B3A"/>
    <w:rsid w:val="00DD1151"/>
    <w:rsid w:val="00DD1A41"/>
    <w:rsid w:val="00DD2079"/>
    <w:rsid w:val="00DD230B"/>
    <w:rsid w:val="00DD2675"/>
    <w:rsid w:val="00DD278C"/>
    <w:rsid w:val="00DD27C4"/>
    <w:rsid w:val="00DD27C7"/>
    <w:rsid w:val="00DD2D18"/>
    <w:rsid w:val="00DD2D9A"/>
    <w:rsid w:val="00DD3A10"/>
    <w:rsid w:val="00DD3F26"/>
    <w:rsid w:val="00DD4267"/>
    <w:rsid w:val="00DD4313"/>
    <w:rsid w:val="00DD4D31"/>
    <w:rsid w:val="00DD4FC0"/>
    <w:rsid w:val="00DD5961"/>
    <w:rsid w:val="00DD5979"/>
    <w:rsid w:val="00DD5C51"/>
    <w:rsid w:val="00DD60D5"/>
    <w:rsid w:val="00DD639B"/>
    <w:rsid w:val="00DD7598"/>
    <w:rsid w:val="00DD7EE0"/>
    <w:rsid w:val="00DE04EB"/>
    <w:rsid w:val="00DE08B3"/>
    <w:rsid w:val="00DE11F7"/>
    <w:rsid w:val="00DE132F"/>
    <w:rsid w:val="00DE15EB"/>
    <w:rsid w:val="00DE23E6"/>
    <w:rsid w:val="00DE38AF"/>
    <w:rsid w:val="00DE39CF"/>
    <w:rsid w:val="00DE50D8"/>
    <w:rsid w:val="00DE5488"/>
    <w:rsid w:val="00DE5954"/>
    <w:rsid w:val="00DE5DEE"/>
    <w:rsid w:val="00DE5EE4"/>
    <w:rsid w:val="00DE5F0B"/>
    <w:rsid w:val="00DE6F0D"/>
    <w:rsid w:val="00DF001F"/>
    <w:rsid w:val="00DF0045"/>
    <w:rsid w:val="00DF0C8D"/>
    <w:rsid w:val="00DF1625"/>
    <w:rsid w:val="00DF16EF"/>
    <w:rsid w:val="00DF17C4"/>
    <w:rsid w:val="00DF1F78"/>
    <w:rsid w:val="00DF3467"/>
    <w:rsid w:val="00DF442D"/>
    <w:rsid w:val="00DF4AB3"/>
    <w:rsid w:val="00DF5018"/>
    <w:rsid w:val="00DF53CD"/>
    <w:rsid w:val="00DF54E1"/>
    <w:rsid w:val="00DF5B00"/>
    <w:rsid w:val="00DF6242"/>
    <w:rsid w:val="00DF6532"/>
    <w:rsid w:val="00DF6AB4"/>
    <w:rsid w:val="00DF79B5"/>
    <w:rsid w:val="00DF7E92"/>
    <w:rsid w:val="00E00C3E"/>
    <w:rsid w:val="00E01087"/>
    <w:rsid w:val="00E0156B"/>
    <w:rsid w:val="00E02399"/>
    <w:rsid w:val="00E024D8"/>
    <w:rsid w:val="00E033BD"/>
    <w:rsid w:val="00E0340F"/>
    <w:rsid w:val="00E03DE8"/>
    <w:rsid w:val="00E03F9B"/>
    <w:rsid w:val="00E04DFC"/>
    <w:rsid w:val="00E061D6"/>
    <w:rsid w:val="00E062CE"/>
    <w:rsid w:val="00E06CBD"/>
    <w:rsid w:val="00E06D2A"/>
    <w:rsid w:val="00E07A83"/>
    <w:rsid w:val="00E11E33"/>
    <w:rsid w:val="00E12102"/>
    <w:rsid w:val="00E12529"/>
    <w:rsid w:val="00E125CC"/>
    <w:rsid w:val="00E128FB"/>
    <w:rsid w:val="00E12BC0"/>
    <w:rsid w:val="00E13C59"/>
    <w:rsid w:val="00E14574"/>
    <w:rsid w:val="00E148D8"/>
    <w:rsid w:val="00E15362"/>
    <w:rsid w:val="00E15A66"/>
    <w:rsid w:val="00E16C66"/>
    <w:rsid w:val="00E17168"/>
    <w:rsid w:val="00E1745A"/>
    <w:rsid w:val="00E20409"/>
    <w:rsid w:val="00E2105D"/>
    <w:rsid w:val="00E21859"/>
    <w:rsid w:val="00E22892"/>
    <w:rsid w:val="00E229DA"/>
    <w:rsid w:val="00E2425F"/>
    <w:rsid w:val="00E242B7"/>
    <w:rsid w:val="00E24737"/>
    <w:rsid w:val="00E25A28"/>
    <w:rsid w:val="00E25BD0"/>
    <w:rsid w:val="00E26393"/>
    <w:rsid w:val="00E26C31"/>
    <w:rsid w:val="00E275DB"/>
    <w:rsid w:val="00E2761D"/>
    <w:rsid w:val="00E27675"/>
    <w:rsid w:val="00E303A3"/>
    <w:rsid w:val="00E3132F"/>
    <w:rsid w:val="00E3156A"/>
    <w:rsid w:val="00E31D1C"/>
    <w:rsid w:val="00E31DC9"/>
    <w:rsid w:val="00E322A1"/>
    <w:rsid w:val="00E32C94"/>
    <w:rsid w:val="00E32DBC"/>
    <w:rsid w:val="00E33525"/>
    <w:rsid w:val="00E33648"/>
    <w:rsid w:val="00E33D38"/>
    <w:rsid w:val="00E34168"/>
    <w:rsid w:val="00E34A64"/>
    <w:rsid w:val="00E34AAA"/>
    <w:rsid w:val="00E35574"/>
    <w:rsid w:val="00E35884"/>
    <w:rsid w:val="00E35C4C"/>
    <w:rsid w:val="00E366C9"/>
    <w:rsid w:val="00E36D10"/>
    <w:rsid w:val="00E374FF"/>
    <w:rsid w:val="00E37933"/>
    <w:rsid w:val="00E37A5F"/>
    <w:rsid w:val="00E37E3B"/>
    <w:rsid w:val="00E40097"/>
    <w:rsid w:val="00E4012C"/>
    <w:rsid w:val="00E40988"/>
    <w:rsid w:val="00E41BE9"/>
    <w:rsid w:val="00E41CA4"/>
    <w:rsid w:val="00E41D98"/>
    <w:rsid w:val="00E4212B"/>
    <w:rsid w:val="00E42E2C"/>
    <w:rsid w:val="00E43451"/>
    <w:rsid w:val="00E444F3"/>
    <w:rsid w:val="00E44ACB"/>
    <w:rsid w:val="00E44B1F"/>
    <w:rsid w:val="00E44D74"/>
    <w:rsid w:val="00E44E73"/>
    <w:rsid w:val="00E44F08"/>
    <w:rsid w:val="00E450D3"/>
    <w:rsid w:val="00E452AE"/>
    <w:rsid w:val="00E466D9"/>
    <w:rsid w:val="00E46F44"/>
    <w:rsid w:val="00E47F23"/>
    <w:rsid w:val="00E501CC"/>
    <w:rsid w:val="00E504A9"/>
    <w:rsid w:val="00E506D0"/>
    <w:rsid w:val="00E50E60"/>
    <w:rsid w:val="00E5104E"/>
    <w:rsid w:val="00E512EF"/>
    <w:rsid w:val="00E5282E"/>
    <w:rsid w:val="00E52ABF"/>
    <w:rsid w:val="00E53103"/>
    <w:rsid w:val="00E533B0"/>
    <w:rsid w:val="00E53FCD"/>
    <w:rsid w:val="00E5451C"/>
    <w:rsid w:val="00E54BB0"/>
    <w:rsid w:val="00E55E01"/>
    <w:rsid w:val="00E56457"/>
    <w:rsid w:val="00E56580"/>
    <w:rsid w:val="00E56CB3"/>
    <w:rsid w:val="00E56E83"/>
    <w:rsid w:val="00E57A88"/>
    <w:rsid w:val="00E57DFD"/>
    <w:rsid w:val="00E60F8C"/>
    <w:rsid w:val="00E61780"/>
    <w:rsid w:val="00E61CA8"/>
    <w:rsid w:val="00E63603"/>
    <w:rsid w:val="00E6363C"/>
    <w:rsid w:val="00E64E38"/>
    <w:rsid w:val="00E64ED9"/>
    <w:rsid w:val="00E65314"/>
    <w:rsid w:val="00E65425"/>
    <w:rsid w:val="00E654D6"/>
    <w:rsid w:val="00E65774"/>
    <w:rsid w:val="00E657A6"/>
    <w:rsid w:val="00E65E62"/>
    <w:rsid w:val="00E6614C"/>
    <w:rsid w:val="00E66157"/>
    <w:rsid w:val="00E67B53"/>
    <w:rsid w:val="00E7030A"/>
    <w:rsid w:val="00E710A1"/>
    <w:rsid w:val="00E7124C"/>
    <w:rsid w:val="00E7157D"/>
    <w:rsid w:val="00E72794"/>
    <w:rsid w:val="00E72C90"/>
    <w:rsid w:val="00E734F9"/>
    <w:rsid w:val="00E745F2"/>
    <w:rsid w:val="00E74CA4"/>
    <w:rsid w:val="00E75418"/>
    <w:rsid w:val="00E754E2"/>
    <w:rsid w:val="00E7609C"/>
    <w:rsid w:val="00E76489"/>
    <w:rsid w:val="00E76B6B"/>
    <w:rsid w:val="00E76E22"/>
    <w:rsid w:val="00E77013"/>
    <w:rsid w:val="00E7796F"/>
    <w:rsid w:val="00E77A31"/>
    <w:rsid w:val="00E77DC6"/>
    <w:rsid w:val="00E8005B"/>
    <w:rsid w:val="00E80393"/>
    <w:rsid w:val="00E808BC"/>
    <w:rsid w:val="00E80DDF"/>
    <w:rsid w:val="00E81CCA"/>
    <w:rsid w:val="00E81E70"/>
    <w:rsid w:val="00E823C2"/>
    <w:rsid w:val="00E828C0"/>
    <w:rsid w:val="00E8325F"/>
    <w:rsid w:val="00E83D5A"/>
    <w:rsid w:val="00E84641"/>
    <w:rsid w:val="00E849AE"/>
    <w:rsid w:val="00E854AB"/>
    <w:rsid w:val="00E860F2"/>
    <w:rsid w:val="00E86246"/>
    <w:rsid w:val="00E86374"/>
    <w:rsid w:val="00E87F00"/>
    <w:rsid w:val="00E90EA2"/>
    <w:rsid w:val="00E91191"/>
    <w:rsid w:val="00E91FB6"/>
    <w:rsid w:val="00E922BE"/>
    <w:rsid w:val="00E92313"/>
    <w:rsid w:val="00E92878"/>
    <w:rsid w:val="00E9296B"/>
    <w:rsid w:val="00E92ED6"/>
    <w:rsid w:val="00E93442"/>
    <w:rsid w:val="00E93967"/>
    <w:rsid w:val="00E93BA8"/>
    <w:rsid w:val="00E9492E"/>
    <w:rsid w:val="00E94E62"/>
    <w:rsid w:val="00E96980"/>
    <w:rsid w:val="00E96B96"/>
    <w:rsid w:val="00E96C04"/>
    <w:rsid w:val="00E96C3E"/>
    <w:rsid w:val="00E97154"/>
    <w:rsid w:val="00E9732D"/>
    <w:rsid w:val="00E97756"/>
    <w:rsid w:val="00E978E8"/>
    <w:rsid w:val="00EA0ACF"/>
    <w:rsid w:val="00EA0C8E"/>
    <w:rsid w:val="00EA13E5"/>
    <w:rsid w:val="00EA151B"/>
    <w:rsid w:val="00EA1520"/>
    <w:rsid w:val="00EA1728"/>
    <w:rsid w:val="00EA1AB9"/>
    <w:rsid w:val="00EA1DD0"/>
    <w:rsid w:val="00EA1FC6"/>
    <w:rsid w:val="00EA2880"/>
    <w:rsid w:val="00EA2D86"/>
    <w:rsid w:val="00EA3008"/>
    <w:rsid w:val="00EA31FA"/>
    <w:rsid w:val="00EA37CD"/>
    <w:rsid w:val="00EA3DA4"/>
    <w:rsid w:val="00EA48F9"/>
    <w:rsid w:val="00EA4F0E"/>
    <w:rsid w:val="00EA5909"/>
    <w:rsid w:val="00EA6191"/>
    <w:rsid w:val="00EA62F9"/>
    <w:rsid w:val="00EA630C"/>
    <w:rsid w:val="00EA64FA"/>
    <w:rsid w:val="00EA67E8"/>
    <w:rsid w:val="00EA7455"/>
    <w:rsid w:val="00EA7FE4"/>
    <w:rsid w:val="00EB01A9"/>
    <w:rsid w:val="00EB1F06"/>
    <w:rsid w:val="00EB276B"/>
    <w:rsid w:val="00EB29CA"/>
    <w:rsid w:val="00EB3ACC"/>
    <w:rsid w:val="00EB3CFE"/>
    <w:rsid w:val="00EB426F"/>
    <w:rsid w:val="00EB4BAC"/>
    <w:rsid w:val="00EB4DEE"/>
    <w:rsid w:val="00EB549D"/>
    <w:rsid w:val="00EB7C7B"/>
    <w:rsid w:val="00EC0029"/>
    <w:rsid w:val="00EC0363"/>
    <w:rsid w:val="00EC0A78"/>
    <w:rsid w:val="00EC0A7D"/>
    <w:rsid w:val="00EC112C"/>
    <w:rsid w:val="00EC1965"/>
    <w:rsid w:val="00EC1E31"/>
    <w:rsid w:val="00EC1F95"/>
    <w:rsid w:val="00EC2334"/>
    <w:rsid w:val="00EC2764"/>
    <w:rsid w:val="00EC2F5B"/>
    <w:rsid w:val="00EC3DF6"/>
    <w:rsid w:val="00EC3FFF"/>
    <w:rsid w:val="00EC4610"/>
    <w:rsid w:val="00EC47DF"/>
    <w:rsid w:val="00EC5014"/>
    <w:rsid w:val="00EC51B1"/>
    <w:rsid w:val="00EC596E"/>
    <w:rsid w:val="00EC5D36"/>
    <w:rsid w:val="00EC5DA3"/>
    <w:rsid w:val="00EC69A8"/>
    <w:rsid w:val="00EC6B02"/>
    <w:rsid w:val="00ED01DF"/>
    <w:rsid w:val="00ED0E29"/>
    <w:rsid w:val="00ED0EA1"/>
    <w:rsid w:val="00ED1483"/>
    <w:rsid w:val="00ED162F"/>
    <w:rsid w:val="00ED1748"/>
    <w:rsid w:val="00ED26E2"/>
    <w:rsid w:val="00ED27A9"/>
    <w:rsid w:val="00ED2BE9"/>
    <w:rsid w:val="00ED3263"/>
    <w:rsid w:val="00ED36D5"/>
    <w:rsid w:val="00ED38B6"/>
    <w:rsid w:val="00ED3DE9"/>
    <w:rsid w:val="00ED4ABA"/>
    <w:rsid w:val="00ED5C5D"/>
    <w:rsid w:val="00ED672C"/>
    <w:rsid w:val="00ED6B9A"/>
    <w:rsid w:val="00ED6C44"/>
    <w:rsid w:val="00ED7068"/>
    <w:rsid w:val="00ED74F1"/>
    <w:rsid w:val="00ED7D7C"/>
    <w:rsid w:val="00EE05EE"/>
    <w:rsid w:val="00EE077A"/>
    <w:rsid w:val="00EE0EE7"/>
    <w:rsid w:val="00EE1028"/>
    <w:rsid w:val="00EE107D"/>
    <w:rsid w:val="00EE178B"/>
    <w:rsid w:val="00EE1F02"/>
    <w:rsid w:val="00EE33E1"/>
    <w:rsid w:val="00EE361D"/>
    <w:rsid w:val="00EE486E"/>
    <w:rsid w:val="00EE4921"/>
    <w:rsid w:val="00EE5A23"/>
    <w:rsid w:val="00EE5BB7"/>
    <w:rsid w:val="00EE5DC2"/>
    <w:rsid w:val="00EE7CC1"/>
    <w:rsid w:val="00EF01DA"/>
    <w:rsid w:val="00EF04EC"/>
    <w:rsid w:val="00EF122B"/>
    <w:rsid w:val="00EF16C1"/>
    <w:rsid w:val="00EF180A"/>
    <w:rsid w:val="00EF261B"/>
    <w:rsid w:val="00EF27AB"/>
    <w:rsid w:val="00EF33ED"/>
    <w:rsid w:val="00EF3A08"/>
    <w:rsid w:val="00EF46B8"/>
    <w:rsid w:val="00EF4ED9"/>
    <w:rsid w:val="00EF50B9"/>
    <w:rsid w:val="00EF5137"/>
    <w:rsid w:val="00EF54EA"/>
    <w:rsid w:val="00EF5687"/>
    <w:rsid w:val="00EF717B"/>
    <w:rsid w:val="00EF796F"/>
    <w:rsid w:val="00EF7EED"/>
    <w:rsid w:val="00EF7EF9"/>
    <w:rsid w:val="00F001CD"/>
    <w:rsid w:val="00F006AD"/>
    <w:rsid w:val="00F01136"/>
    <w:rsid w:val="00F01BDB"/>
    <w:rsid w:val="00F021DD"/>
    <w:rsid w:val="00F022EF"/>
    <w:rsid w:val="00F0232A"/>
    <w:rsid w:val="00F0242C"/>
    <w:rsid w:val="00F024C4"/>
    <w:rsid w:val="00F042C3"/>
    <w:rsid w:val="00F056B6"/>
    <w:rsid w:val="00F05887"/>
    <w:rsid w:val="00F059A2"/>
    <w:rsid w:val="00F0614C"/>
    <w:rsid w:val="00F064B9"/>
    <w:rsid w:val="00F0723F"/>
    <w:rsid w:val="00F07AD4"/>
    <w:rsid w:val="00F07B41"/>
    <w:rsid w:val="00F101F0"/>
    <w:rsid w:val="00F10D69"/>
    <w:rsid w:val="00F11E94"/>
    <w:rsid w:val="00F122F1"/>
    <w:rsid w:val="00F13A7F"/>
    <w:rsid w:val="00F13EC6"/>
    <w:rsid w:val="00F145ED"/>
    <w:rsid w:val="00F14D08"/>
    <w:rsid w:val="00F15158"/>
    <w:rsid w:val="00F15228"/>
    <w:rsid w:val="00F1526E"/>
    <w:rsid w:val="00F15612"/>
    <w:rsid w:val="00F16C1A"/>
    <w:rsid w:val="00F16E3B"/>
    <w:rsid w:val="00F16F5E"/>
    <w:rsid w:val="00F17AA6"/>
    <w:rsid w:val="00F202F1"/>
    <w:rsid w:val="00F203E9"/>
    <w:rsid w:val="00F20983"/>
    <w:rsid w:val="00F20EAB"/>
    <w:rsid w:val="00F20EAC"/>
    <w:rsid w:val="00F21242"/>
    <w:rsid w:val="00F2138D"/>
    <w:rsid w:val="00F21817"/>
    <w:rsid w:val="00F21C3C"/>
    <w:rsid w:val="00F22CFE"/>
    <w:rsid w:val="00F22FFE"/>
    <w:rsid w:val="00F2323C"/>
    <w:rsid w:val="00F235D0"/>
    <w:rsid w:val="00F24172"/>
    <w:rsid w:val="00F2423E"/>
    <w:rsid w:val="00F242B7"/>
    <w:rsid w:val="00F24583"/>
    <w:rsid w:val="00F250C8"/>
    <w:rsid w:val="00F2554B"/>
    <w:rsid w:val="00F2575E"/>
    <w:rsid w:val="00F257E0"/>
    <w:rsid w:val="00F27D65"/>
    <w:rsid w:val="00F27F0F"/>
    <w:rsid w:val="00F30072"/>
    <w:rsid w:val="00F300FB"/>
    <w:rsid w:val="00F3124F"/>
    <w:rsid w:val="00F315F6"/>
    <w:rsid w:val="00F31AB0"/>
    <w:rsid w:val="00F322FB"/>
    <w:rsid w:val="00F32841"/>
    <w:rsid w:val="00F33436"/>
    <w:rsid w:val="00F3422D"/>
    <w:rsid w:val="00F343DB"/>
    <w:rsid w:val="00F35469"/>
    <w:rsid w:val="00F354AF"/>
    <w:rsid w:val="00F35942"/>
    <w:rsid w:val="00F35BC6"/>
    <w:rsid w:val="00F36197"/>
    <w:rsid w:val="00F36222"/>
    <w:rsid w:val="00F36B8B"/>
    <w:rsid w:val="00F37036"/>
    <w:rsid w:val="00F377EF"/>
    <w:rsid w:val="00F379FB"/>
    <w:rsid w:val="00F37A8B"/>
    <w:rsid w:val="00F40DC4"/>
    <w:rsid w:val="00F40F21"/>
    <w:rsid w:val="00F410CB"/>
    <w:rsid w:val="00F41993"/>
    <w:rsid w:val="00F43CC3"/>
    <w:rsid w:val="00F43D90"/>
    <w:rsid w:val="00F43FE6"/>
    <w:rsid w:val="00F441F5"/>
    <w:rsid w:val="00F4435C"/>
    <w:rsid w:val="00F44AD9"/>
    <w:rsid w:val="00F4781E"/>
    <w:rsid w:val="00F47F50"/>
    <w:rsid w:val="00F50568"/>
    <w:rsid w:val="00F5135E"/>
    <w:rsid w:val="00F513C9"/>
    <w:rsid w:val="00F51B83"/>
    <w:rsid w:val="00F5208B"/>
    <w:rsid w:val="00F521AA"/>
    <w:rsid w:val="00F522E5"/>
    <w:rsid w:val="00F5267A"/>
    <w:rsid w:val="00F52945"/>
    <w:rsid w:val="00F53A0D"/>
    <w:rsid w:val="00F53BD7"/>
    <w:rsid w:val="00F5433F"/>
    <w:rsid w:val="00F54A6F"/>
    <w:rsid w:val="00F54BA4"/>
    <w:rsid w:val="00F555FB"/>
    <w:rsid w:val="00F55713"/>
    <w:rsid w:val="00F561CC"/>
    <w:rsid w:val="00F5624D"/>
    <w:rsid w:val="00F57263"/>
    <w:rsid w:val="00F576DE"/>
    <w:rsid w:val="00F57A84"/>
    <w:rsid w:val="00F57BDF"/>
    <w:rsid w:val="00F57F51"/>
    <w:rsid w:val="00F60174"/>
    <w:rsid w:val="00F60C06"/>
    <w:rsid w:val="00F60DEA"/>
    <w:rsid w:val="00F60E9C"/>
    <w:rsid w:val="00F60F7F"/>
    <w:rsid w:val="00F61A8A"/>
    <w:rsid w:val="00F631F9"/>
    <w:rsid w:val="00F63908"/>
    <w:rsid w:val="00F649CE"/>
    <w:rsid w:val="00F65A91"/>
    <w:rsid w:val="00F65BCD"/>
    <w:rsid w:val="00F668E9"/>
    <w:rsid w:val="00F67079"/>
    <w:rsid w:val="00F70050"/>
    <w:rsid w:val="00F70DEA"/>
    <w:rsid w:val="00F710EE"/>
    <w:rsid w:val="00F71174"/>
    <w:rsid w:val="00F71906"/>
    <w:rsid w:val="00F71A11"/>
    <w:rsid w:val="00F7281F"/>
    <w:rsid w:val="00F72FCE"/>
    <w:rsid w:val="00F736A3"/>
    <w:rsid w:val="00F73768"/>
    <w:rsid w:val="00F73AC5"/>
    <w:rsid w:val="00F73D53"/>
    <w:rsid w:val="00F74ADC"/>
    <w:rsid w:val="00F75AFB"/>
    <w:rsid w:val="00F77166"/>
    <w:rsid w:val="00F771BD"/>
    <w:rsid w:val="00F77A12"/>
    <w:rsid w:val="00F77B3E"/>
    <w:rsid w:val="00F80084"/>
    <w:rsid w:val="00F807B9"/>
    <w:rsid w:val="00F8089F"/>
    <w:rsid w:val="00F8150B"/>
    <w:rsid w:val="00F816F7"/>
    <w:rsid w:val="00F8259F"/>
    <w:rsid w:val="00F83007"/>
    <w:rsid w:val="00F830A4"/>
    <w:rsid w:val="00F833C7"/>
    <w:rsid w:val="00F8375A"/>
    <w:rsid w:val="00F84B0B"/>
    <w:rsid w:val="00F84CAE"/>
    <w:rsid w:val="00F84DC1"/>
    <w:rsid w:val="00F8586B"/>
    <w:rsid w:val="00F85CC3"/>
    <w:rsid w:val="00F86982"/>
    <w:rsid w:val="00F86F37"/>
    <w:rsid w:val="00F878D1"/>
    <w:rsid w:val="00F87EB9"/>
    <w:rsid w:val="00F87EC5"/>
    <w:rsid w:val="00F90995"/>
    <w:rsid w:val="00F91E02"/>
    <w:rsid w:val="00F91E63"/>
    <w:rsid w:val="00F92CAE"/>
    <w:rsid w:val="00F92E1C"/>
    <w:rsid w:val="00F94D08"/>
    <w:rsid w:val="00F950DE"/>
    <w:rsid w:val="00F953FC"/>
    <w:rsid w:val="00F95510"/>
    <w:rsid w:val="00F958EE"/>
    <w:rsid w:val="00F96C57"/>
    <w:rsid w:val="00F97784"/>
    <w:rsid w:val="00F978D4"/>
    <w:rsid w:val="00F97924"/>
    <w:rsid w:val="00F97A51"/>
    <w:rsid w:val="00FA000D"/>
    <w:rsid w:val="00FA0C60"/>
    <w:rsid w:val="00FA2B30"/>
    <w:rsid w:val="00FA40E5"/>
    <w:rsid w:val="00FA78EB"/>
    <w:rsid w:val="00FA7FFD"/>
    <w:rsid w:val="00FB0997"/>
    <w:rsid w:val="00FB0EB8"/>
    <w:rsid w:val="00FB1797"/>
    <w:rsid w:val="00FB209F"/>
    <w:rsid w:val="00FB2C18"/>
    <w:rsid w:val="00FB35C5"/>
    <w:rsid w:val="00FB35D7"/>
    <w:rsid w:val="00FB3AA9"/>
    <w:rsid w:val="00FB40A8"/>
    <w:rsid w:val="00FB4FEB"/>
    <w:rsid w:val="00FB5575"/>
    <w:rsid w:val="00FB56D9"/>
    <w:rsid w:val="00FB6F9B"/>
    <w:rsid w:val="00FB7000"/>
    <w:rsid w:val="00FB7531"/>
    <w:rsid w:val="00FB774A"/>
    <w:rsid w:val="00FB79E8"/>
    <w:rsid w:val="00FC0356"/>
    <w:rsid w:val="00FC0B31"/>
    <w:rsid w:val="00FC1B97"/>
    <w:rsid w:val="00FC215B"/>
    <w:rsid w:val="00FC33DA"/>
    <w:rsid w:val="00FC35B4"/>
    <w:rsid w:val="00FC3C37"/>
    <w:rsid w:val="00FC4023"/>
    <w:rsid w:val="00FC425C"/>
    <w:rsid w:val="00FC4686"/>
    <w:rsid w:val="00FC4FCA"/>
    <w:rsid w:val="00FC6A21"/>
    <w:rsid w:val="00FC7C9B"/>
    <w:rsid w:val="00FD0D7B"/>
    <w:rsid w:val="00FD1036"/>
    <w:rsid w:val="00FD2003"/>
    <w:rsid w:val="00FD2679"/>
    <w:rsid w:val="00FD41BF"/>
    <w:rsid w:val="00FD44F6"/>
    <w:rsid w:val="00FD45BC"/>
    <w:rsid w:val="00FD4D01"/>
    <w:rsid w:val="00FD670A"/>
    <w:rsid w:val="00FD6CEF"/>
    <w:rsid w:val="00FD6DDD"/>
    <w:rsid w:val="00FD70A3"/>
    <w:rsid w:val="00FD7678"/>
    <w:rsid w:val="00FD7681"/>
    <w:rsid w:val="00FE0505"/>
    <w:rsid w:val="00FE0740"/>
    <w:rsid w:val="00FE2737"/>
    <w:rsid w:val="00FE2AB4"/>
    <w:rsid w:val="00FE35E1"/>
    <w:rsid w:val="00FE362A"/>
    <w:rsid w:val="00FE370E"/>
    <w:rsid w:val="00FE37BA"/>
    <w:rsid w:val="00FE4022"/>
    <w:rsid w:val="00FE4558"/>
    <w:rsid w:val="00FE474A"/>
    <w:rsid w:val="00FE4A37"/>
    <w:rsid w:val="00FE6E1A"/>
    <w:rsid w:val="00FE72BD"/>
    <w:rsid w:val="00FE746F"/>
    <w:rsid w:val="00FE7549"/>
    <w:rsid w:val="00FE797E"/>
    <w:rsid w:val="00FE7992"/>
    <w:rsid w:val="00FF0DA2"/>
    <w:rsid w:val="00FF128D"/>
    <w:rsid w:val="00FF1F12"/>
    <w:rsid w:val="00FF2EDA"/>
    <w:rsid w:val="00FF2EEF"/>
    <w:rsid w:val="00FF304D"/>
    <w:rsid w:val="00FF376B"/>
    <w:rsid w:val="00FF3A31"/>
    <w:rsid w:val="00FF3D99"/>
    <w:rsid w:val="00FF44E0"/>
    <w:rsid w:val="00FF47B5"/>
    <w:rsid w:val="00FF49B3"/>
    <w:rsid w:val="00FF4C51"/>
    <w:rsid w:val="00FF6357"/>
    <w:rsid w:val="00FF6DAC"/>
    <w:rsid w:val="00FF6E62"/>
    <w:rsid w:val="00FF721F"/>
    <w:rsid w:val="00FF789A"/>
    <w:rsid w:val="00FF7983"/>
    <w:rsid w:val="012E1FAF"/>
    <w:rsid w:val="01683BBE"/>
    <w:rsid w:val="01933F40"/>
    <w:rsid w:val="01993226"/>
    <w:rsid w:val="01C35A6E"/>
    <w:rsid w:val="01D152A8"/>
    <w:rsid w:val="01E054EB"/>
    <w:rsid w:val="021051B4"/>
    <w:rsid w:val="02232887"/>
    <w:rsid w:val="023953CC"/>
    <w:rsid w:val="02463986"/>
    <w:rsid w:val="02A14F78"/>
    <w:rsid w:val="02A604E3"/>
    <w:rsid w:val="02D54171"/>
    <w:rsid w:val="02D768EE"/>
    <w:rsid w:val="02E0367E"/>
    <w:rsid w:val="030D7C0A"/>
    <w:rsid w:val="03231B33"/>
    <w:rsid w:val="03355071"/>
    <w:rsid w:val="03466474"/>
    <w:rsid w:val="03726617"/>
    <w:rsid w:val="03903E4D"/>
    <w:rsid w:val="03B278C6"/>
    <w:rsid w:val="03C60298"/>
    <w:rsid w:val="03D64DF8"/>
    <w:rsid w:val="03E5328D"/>
    <w:rsid w:val="040C6647"/>
    <w:rsid w:val="04155920"/>
    <w:rsid w:val="041D463E"/>
    <w:rsid w:val="042866EB"/>
    <w:rsid w:val="04310280"/>
    <w:rsid w:val="043B6A48"/>
    <w:rsid w:val="04420864"/>
    <w:rsid w:val="04533609"/>
    <w:rsid w:val="04AB1DE0"/>
    <w:rsid w:val="04BC70BC"/>
    <w:rsid w:val="04C819D3"/>
    <w:rsid w:val="04D00E05"/>
    <w:rsid w:val="04EA72A8"/>
    <w:rsid w:val="04F51997"/>
    <w:rsid w:val="0502532D"/>
    <w:rsid w:val="05237E42"/>
    <w:rsid w:val="057C02DA"/>
    <w:rsid w:val="05A827C4"/>
    <w:rsid w:val="06100036"/>
    <w:rsid w:val="06273915"/>
    <w:rsid w:val="0639332B"/>
    <w:rsid w:val="06417813"/>
    <w:rsid w:val="06997A20"/>
    <w:rsid w:val="06B50CF4"/>
    <w:rsid w:val="06B67AB4"/>
    <w:rsid w:val="07106873"/>
    <w:rsid w:val="07375EA1"/>
    <w:rsid w:val="074904E8"/>
    <w:rsid w:val="075F06C5"/>
    <w:rsid w:val="077E1A2E"/>
    <w:rsid w:val="07A97604"/>
    <w:rsid w:val="07D37407"/>
    <w:rsid w:val="082F7668"/>
    <w:rsid w:val="0834033F"/>
    <w:rsid w:val="086229CE"/>
    <w:rsid w:val="0873533A"/>
    <w:rsid w:val="08753196"/>
    <w:rsid w:val="0878647D"/>
    <w:rsid w:val="087C25AC"/>
    <w:rsid w:val="08957E70"/>
    <w:rsid w:val="08A76D63"/>
    <w:rsid w:val="08BD1181"/>
    <w:rsid w:val="08D45113"/>
    <w:rsid w:val="09075A53"/>
    <w:rsid w:val="09146471"/>
    <w:rsid w:val="094807C7"/>
    <w:rsid w:val="096C4C4A"/>
    <w:rsid w:val="09897A91"/>
    <w:rsid w:val="09CE6916"/>
    <w:rsid w:val="09D74EF0"/>
    <w:rsid w:val="0A140671"/>
    <w:rsid w:val="0A232C6D"/>
    <w:rsid w:val="0A434869"/>
    <w:rsid w:val="0A59589D"/>
    <w:rsid w:val="0A6D18E6"/>
    <w:rsid w:val="0A747261"/>
    <w:rsid w:val="0AA64E84"/>
    <w:rsid w:val="0AB539B9"/>
    <w:rsid w:val="0AD95D90"/>
    <w:rsid w:val="0AE37FA3"/>
    <w:rsid w:val="0B0F1762"/>
    <w:rsid w:val="0B24469B"/>
    <w:rsid w:val="0B270381"/>
    <w:rsid w:val="0B3568A8"/>
    <w:rsid w:val="0B5057D2"/>
    <w:rsid w:val="0B7078E0"/>
    <w:rsid w:val="0B7B2B67"/>
    <w:rsid w:val="0B7C0579"/>
    <w:rsid w:val="0BA9037A"/>
    <w:rsid w:val="0BC65C01"/>
    <w:rsid w:val="0BD51E2F"/>
    <w:rsid w:val="0BF07862"/>
    <w:rsid w:val="0BF70001"/>
    <w:rsid w:val="0BFA7363"/>
    <w:rsid w:val="0C082751"/>
    <w:rsid w:val="0C3C6C15"/>
    <w:rsid w:val="0C7F369E"/>
    <w:rsid w:val="0CA95589"/>
    <w:rsid w:val="0CD10852"/>
    <w:rsid w:val="0D1D2284"/>
    <w:rsid w:val="0D244E26"/>
    <w:rsid w:val="0D29149F"/>
    <w:rsid w:val="0D350316"/>
    <w:rsid w:val="0D38267F"/>
    <w:rsid w:val="0D471FD0"/>
    <w:rsid w:val="0D542EEE"/>
    <w:rsid w:val="0D6C5454"/>
    <w:rsid w:val="0D8E5409"/>
    <w:rsid w:val="0D907DC5"/>
    <w:rsid w:val="0D957AD2"/>
    <w:rsid w:val="0DA23F98"/>
    <w:rsid w:val="0DCB704F"/>
    <w:rsid w:val="0DDE6626"/>
    <w:rsid w:val="0E0101C4"/>
    <w:rsid w:val="0E06277D"/>
    <w:rsid w:val="0E366942"/>
    <w:rsid w:val="0E5E1C72"/>
    <w:rsid w:val="0E72485F"/>
    <w:rsid w:val="0E8D09F2"/>
    <w:rsid w:val="0E9B4E36"/>
    <w:rsid w:val="0EC046DA"/>
    <w:rsid w:val="0EE3270C"/>
    <w:rsid w:val="0EF279EF"/>
    <w:rsid w:val="0EFC257F"/>
    <w:rsid w:val="0F044C84"/>
    <w:rsid w:val="0F1232AF"/>
    <w:rsid w:val="0F3375A2"/>
    <w:rsid w:val="0F4C0301"/>
    <w:rsid w:val="0F557518"/>
    <w:rsid w:val="0F6E7A2E"/>
    <w:rsid w:val="0F6F7A00"/>
    <w:rsid w:val="0F824086"/>
    <w:rsid w:val="0F8632BD"/>
    <w:rsid w:val="0F9811B3"/>
    <w:rsid w:val="0F9E09FB"/>
    <w:rsid w:val="0FA1450C"/>
    <w:rsid w:val="0FC1070A"/>
    <w:rsid w:val="0FD3681A"/>
    <w:rsid w:val="0FE30B63"/>
    <w:rsid w:val="0FEE55D8"/>
    <w:rsid w:val="0FFF1232"/>
    <w:rsid w:val="10142F30"/>
    <w:rsid w:val="10147C10"/>
    <w:rsid w:val="10417C18"/>
    <w:rsid w:val="1068192B"/>
    <w:rsid w:val="10827A1A"/>
    <w:rsid w:val="10B2110F"/>
    <w:rsid w:val="10F56613"/>
    <w:rsid w:val="110816EA"/>
    <w:rsid w:val="112E0021"/>
    <w:rsid w:val="116377E0"/>
    <w:rsid w:val="117465B0"/>
    <w:rsid w:val="11954643"/>
    <w:rsid w:val="119F3332"/>
    <w:rsid w:val="11AD7747"/>
    <w:rsid w:val="11BB1BC7"/>
    <w:rsid w:val="11CC2815"/>
    <w:rsid w:val="11D549C4"/>
    <w:rsid w:val="11F2120D"/>
    <w:rsid w:val="11FA5D21"/>
    <w:rsid w:val="120B4F04"/>
    <w:rsid w:val="124224CF"/>
    <w:rsid w:val="1246139A"/>
    <w:rsid w:val="124E1914"/>
    <w:rsid w:val="1273446B"/>
    <w:rsid w:val="12855AA9"/>
    <w:rsid w:val="12A64EC8"/>
    <w:rsid w:val="12D33FAC"/>
    <w:rsid w:val="12D40754"/>
    <w:rsid w:val="12F24D23"/>
    <w:rsid w:val="131F164E"/>
    <w:rsid w:val="134B0678"/>
    <w:rsid w:val="138911C8"/>
    <w:rsid w:val="138D4392"/>
    <w:rsid w:val="13A65D80"/>
    <w:rsid w:val="13AC4CCE"/>
    <w:rsid w:val="13B43A91"/>
    <w:rsid w:val="140367B3"/>
    <w:rsid w:val="141B6E1A"/>
    <w:rsid w:val="146C2943"/>
    <w:rsid w:val="1475348F"/>
    <w:rsid w:val="147C2CE6"/>
    <w:rsid w:val="147D0B06"/>
    <w:rsid w:val="148716F8"/>
    <w:rsid w:val="14B46A8F"/>
    <w:rsid w:val="14C831D3"/>
    <w:rsid w:val="14F813FD"/>
    <w:rsid w:val="15363337"/>
    <w:rsid w:val="153C6A85"/>
    <w:rsid w:val="154A644F"/>
    <w:rsid w:val="156952CA"/>
    <w:rsid w:val="159775F6"/>
    <w:rsid w:val="15E031FE"/>
    <w:rsid w:val="15F26BFC"/>
    <w:rsid w:val="15FC153E"/>
    <w:rsid w:val="16091B53"/>
    <w:rsid w:val="162754BB"/>
    <w:rsid w:val="163D2AB4"/>
    <w:rsid w:val="164F6742"/>
    <w:rsid w:val="16756167"/>
    <w:rsid w:val="17171D5B"/>
    <w:rsid w:val="171F4657"/>
    <w:rsid w:val="17312619"/>
    <w:rsid w:val="17937901"/>
    <w:rsid w:val="17C511BF"/>
    <w:rsid w:val="17E57D19"/>
    <w:rsid w:val="18125DBC"/>
    <w:rsid w:val="181E5611"/>
    <w:rsid w:val="188E56EE"/>
    <w:rsid w:val="18986ADF"/>
    <w:rsid w:val="189D16D5"/>
    <w:rsid w:val="18D050FC"/>
    <w:rsid w:val="18D460F3"/>
    <w:rsid w:val="18E34357"/>
    <w:rsid w:val="18E44BC6"/>
    <w:rsid w:val="192E52FE"/>
    <w:rsid w:val="1995691B"/>
    <w:rsid w:val="19CE05F3"/>
    <w:rsid w:val="19E5170B"/>
    <w:rsid w:val="19E858E2"/>
    <w:rsid w:val="1A05645F"/>
    <w:rsid w:val="1A0573C2"/>
    <w:rsid w:val="1A175BD9"/>
    <w:rsid w:val="1A2E58E9"/>
    <w:rsid w:val="1A4922D9"/>
    <w:rsid w:val="1A6525DA"/>
    <w:rsid w:val="1A90638C"/>
    <w:rsid w:val="1AA72DB0"/>
    <w:rsid w:val="1AB62E35"/>
    <w:rsid w:val="1AE268BF"/>
    <w:rsid w:val="1B140288"/>
    <w:rsid w:val="1B216501"/>
    <w:rsid w:val="1B5E1503"/>
    <w:rsid w:val="1B6A234B"/>
    <w:rsid w:val="1B811695"/>
    <w:rsid w:val="1B965141"/>
    <w:rsid w:val="1BE7774A"/>
    <w:rsid w:val="1C243D3E"/>
    <w:rsid w:val="1C2A5506"/>
    <w:rsid w:val="1C6A0B3A"/>
    <w:rsid w:val="1CC80253"/>
    <w:rsid w:val="1CE51F00"/>
    <w:rsid w:val="1CF17BF4"/>
    <w:rsid w:val="1CF540E9"/>
    <w:rsid w:val="1D104A7F"/>
    <w:rsid w:val="1D224638"/>
    <w:rsid w:val="1D28001A"/>
    <w:rsid w:val="1D5144F7"/>
    <w:rsid w:val="1D697CD4"/>
    <w:rsid w:val="1D745893"/>
    <w:rsid w:val="1D8A0B0D"/>
    <w:rsid w:val="1D8A17A0"/>
    <w:rsid w:val="1DB47EAD"/>
    <w:rsid w:val="1DB76298"/>
    <w:rsid w:val="1DCD471E"/>
    <w:rsid w:val="1DCD7D85"/>
    <w:rsid w:val="1DE66D8C"/>
    <w:rsid w:val="1DF44CFD"/>
    <w:rsid w:val="1E0B4B7D"/>
    <w:rsid w:val="1E202EA9"/>
    <w:rsid w:val="1E2F712F"/>
    <w:rsid w:val="1E426EBA"/>
    <w:rsid w:val="1E7601F6"/>
    <w:rsid w:val="1E7D4396"/>
    <w:rsid w:val="1E7D7EB2"/>
    <w:rsid w:val="1EC93D55"/>
    <w:rsid w:val="1EDF0BAD"/>
    <w:rsid w:val="1F04462A"/>
    <w:rsid w:val="1F0C299C"/>
    <w:rsid w:val="1F457559"/>
    <w:rsid w:val="1F642405"/>
    <w:rsid w:val="1F952318"/>
    <w:rsid w:val="1FC157CB"/>
    <w:rsid w:val="1FCE3F40"/>
    <w:rsid w:val="1FD14205"/>
    <w:rsid w:val="1FD53D5E"/>
    <w:rsid w:val="1FEB2BFF"/>
    <w:rsid w:val="1FF36672"/>
    <w:rsid w:val="1FF74FA5"/>
    <w:rsid w:val="200D1749"/>
    <w:rsid w:val="20213FBF"/>
    <w:rsid w:val="2037160E"/>
    <w:rsid w:val="20442505"/>
    <w:rsid w:val="20460758"/>
    <w:rsid w:val="2066153F"/>
    <w:rsid w:val="20681DA0"/>
    <w:rsid w:val="207E4D85"/>
    <w:rsid w:val="20A2742B"/>
    <w:rsid w:val="20A72F3B"/>
    <w:rsid w:val="20C4267A"/>
    <w:rsid w:val="20C64BA1"/>
    <w:rsid w:val="20C91B14"/>
    <w:rsid w:val="20D12B0B"/>
    <w:rsid w:val="20DF29DE"/>
    <w:rsid w:val="20F37B33"/>
    <w:rsid w:val="21293E10"/>
    <w:rsid w:val="213820E4"/>
    <w:rsid w:val="21480C4B"/>
    <w:rsid w:val="214B2529"/>
    <w:rsid w:val="21B041A7"/>
    <w:rsid w:val="21C83B7A"/>
    <w:rsid w:val="21EB253D"/>
    <w:rsid w:val="220C2760"/>
    <w:rsid w:val="221C0C67"/>
    <w:rsid w:val="222C6170"/>
    <w:rsid w:val="222D5B7B"/>
    <w:rsid w:val="22781F84"/>
    <w:rsid w:val="227A0006"/>
    <w:rsid w:val="227F336A"/>
    <w:rsid w:val="22853524"/>
    <w:rsid w:val="228C24FB"/>
    <w:rsid w:val="22BF7DDC"/>
    <w:rsid w:val="22D910E1"/>
    <w:rsid w:val="230E76C8"/>
    <w:rsid w:val="23630A48"/>
    <w:rsid w:val="23771822"/>
    <w:rsid w:val="23957A8C"/>
    <w:rsid w:val="23CC3226"/>
    <w:rsid w:val="23FD39BC"/>
    <w:rsid w:val="2406098A"/>
    <w:rsid w:val="24143079"/>
    <w:rsid w:val="24207E13"/>
    <w:rsid w:val="243374FD"/>
    <w:rsid w:val="244C7DB1"/>
    <w:rsid w:val="24575970"/>
    <w:rsid w:val="245A2A83"/>
    <w:rsid w:val="247F3276"/>
    <w:rsid w:val="248F459A"/>
    <w:rsid w:val="24B009BC"/>
    <w:rsid w:val="24E24F53"/>
    <w:rsid w:val="24E707BB"/>
    <w:rsid w:val="24F46A34"/>
    <w:rsid w:val="25062E6F"/>
    <w:rsid w:val="251B0283"/>
    <w:rsid w:val="251D1DE3"/>
    <w:rsid w:val="252105D2"/>
    <w:rsid w:val="25223A75"/>
    <w:rsid w:val="25251C80"/>
    <w:rsid w:val="253A5E7B"/>
    <w:rsid w:val="255676EF"/>
    <w:rsid w:val="256F5219"/>
    <w:rsid w:val="258856EC"/>
    <w:rsid w:val="25910313"/>
    <w:rsid w:val="259213B7"/>
    <w:rsid w:val="25F95EEC"/>
    <w:rsid w:val="25FC2044"/>
    <w:rsid w:val="260E5C6B"/>
    <w:rsid w:val="262D48F3"/>
    <w:rsid w:val="26494115"/>
    <w:rsid w:val="26513AE1"/>
    <w:rsid w:val="266A3452"/>
    <w:rsid w:val="26B91C99"/>
    <w:rsid w:val="26C96F89"/>
    <w:rsid w:val="27231678"/>
    <w:rsid w:val="272C4BAB"/>
    <w:rsid w:val="27372864"/>
    <w:rsid w:val="27513195"/>
    <w:rsid w:val="276C5CB3"/>
    <w:rsid w:val="27725BFC"/>
    <w:rsid w:val="27916F4C"/>
    <w:rsid w:val="27BD79A2"/>
    <w:rsid w:val="27C246E5"/>
    <w:rsid w:val="27E5756D"/>
    <w:rsid w:val="280E42B1"/>
    <w:rsid w:val="283F26BC"/>
    <w:rsid w:val="28431F89"/>
    <w:rsid w:val="286E76D6"/>
    <w:rsid w:val="28926AAB"/>
    <w:rsid w:val="28B54E5F"/>
    <w:rsid w:val="28C314E1"/>
    <w:rsid w:val="28E12E7D"/>
    <w:rsid w:val="291564DB"/>
    <w:rsid w:val="29267526"/>
    <w:rsid w:val="294B32FA"/>
    <w:rsid w:val="295D2298"/>
    <w:rsid w:val="299D2868"/>
    <w:rsid w:val="29C401ED"/>
    <w:rsid w:val="29C42E79"/>
    <w:rsid w:val="29C966E1"/>
    <w:rsid w:val="29EB2AFB"/>
    <w:rsid w:val="29EE7EF6"/>
    <w:rsid w:val="2A4144C9"/>
    <w:rsid w:val="2A4F6448"/>
    <w:rsid w:val="2A536B69"/>
    <w:rsid w:val="2A561972"/>
    <w:rsid w:val="2A57074B"/>
    <w:rsid w:val="2A7A3E7F"/>
    <w:rsid w:val="2AAE5EB6"/>
    <w:rsid w:val="2ACC691D"/>
    <w:rsid w:val="2ACF751A"/>
    <w:rsid w:val="2AD6555A"/>
    <w:rsid w:val="2AE44663"/>
    <w:rsid w:val="2AE82B97"/>
    <w:rsid w:val="2AEB2687"/>
    <w:rsid w:val="2B130C29"/>
    <w:rsid w:val="2B440ED9"/>
    <w:rsid w:val="2B4F73D1"/>
    <w:rsid w:val="2B910285"/>
    <w:rsid w:val="2B9E209F"/>
    <w:rsid w:val="2BAA645B"/>
    <w:rsid w:val="2BAE611B"/>
    <w:rsid w:val="2BD575BF"/>
    <w:rsid w:val="2BE52450"/>
    <w:rsid w:val="2BE805D1"/>
    <w:rsid w:val="2BF36160"/>
    <w:rsid w:val="2BFD08C4"/>
    <w:rsid w:val="2C0520D7"/>
    <w:rsid w:val="2C0D728E"/>
    <w:rsid w:val="2C2027B1"/>
    <w:rsid w:val="2C407712"/>
    <w:rsid w:val="2C6F55CB"/>
    <w:rsid w:val="2C7C2203"/>
    <w:rsid w:val="2C8261EC"/>
    <w:rsid w:val="2C870615"/>
    <w:rsid w:val="2CA54032"/>
    <w:rsid w:val="2CCB0CB8"/>
    <w:rsid w:val="2CCC4987"/>
    <w:rsid w:val="2D122F0C"/>
    <w:rsid w:val="2D172F75"/>
    <w:rsid w:val="2D215BE5"/>
    <w:rsid w:val="2D552129"/>
    <w:rsid w:val="2D614F45"/>
    <w:rsid w:val="2D657A0A"/>
    <w:rsid w:val="2D990471"/>
    <w:rsid w:val="2D9B11A7"/>
    <w:rsid w:val="2DA647EF"/>
    <w:rsid w:val="2DB85CF0"/>
    <w:rsid w:val="2DD92C6B"/>
    <w:rsid w:val="2DDF0B01"/>
    <w:rsid w:val="2DEF0EFC"/>
    <w:rsid w:val="2E01767B"/>
    <w:rsid w:val="2E0A1172"/>
    <w:rsid w:val="2E112405"/>
    <w:rsid w:val="2E1C4A4F"/>
    <w:rsid w:val="2E3372BD"/>
    <w:rsid w:val="2E5C60F7"/>
    <w:rsid w:val="2E6764C9"/>
    <w:rsid w:val="2E8A7DDA"/>
    <w:rsid w:val="2E937F99"/>
    <w:rsid w:val="2E9C2616"/>
    <w:rsid w:val="2E9F3EB4"/>
    <w:rsid w:val="2EAB30B6"/>
    <w:rsid w:val="2EB62CC3"/>
    <w:rsid w:val="2EB64638"/>
    <w:rsid w:val="2EBE7951"/>
    <w:rsid w:val="2EDD3034"/>
    <w:rsid w:val="2EEA612A"/>
    <w:rsid w:val="2F1A6CF3"/>
    <w:rsid w:val="2F2F308E"/>
    <w:rsid w:val="2F45680A"/>
    <w:rsid w:val="2F6173BC"/>
    <w:rsid w:val="2F6D3FB3"/>
    <w:rsid w:val="2F7108DD"/>
    <w:rsid w:val="2FB27C17"/>
    <w:rsid w:val="2FDD42EC"/>
    <w:rsid w:val="30065BCD"/>
    <w:rsid w:val="30093CDB"/>
    <w:rsid w:val="301C18D1"/>
    <w:rsid w:val="303D3985"/>
    <w:rsid w:val="304C3B50"/>
    <w:rsid w:val="30A67755"/>
    <w:rsid w:val="30B31E99"/>
    <w:rsid w:val="30EC741D"/>
    <w:rsid w:val="30F569D3"/>
    <w:rsid w:val="310A4A3C"/>
    <w:rsid w:val="310D77FB"/>
    <w:rsid w:val="311F308B"/>
    <w:rsid w:val="313639E9"/>
    <w:rsid w:val="313B3996"/>
    <w:rsid w:val="313E2FD5"/>
    <w:rsid w:val="315E3BB3"/>
    <w:rsid w:val="3181294D"/>
    <w:rsid w:val="318147A6"/>
    <w:rsid w:val="31920167"/>
    <w:rsid w:val="31970D3D"/>
    <w:rsid w:val="31A36B75"/>
    <w:rsid w:val="31AB698C"/>
    <w:rsid w:val="31BB2DB3"/>
    <w:rsid w:val="31C62AAA"/>
    <w:rsid w:val="32494863"/>
    <w:rsid w:val="3280620B"/>
    <w:rsid w:val="328C4750"/>
    <w:rsid w:val="329C585C"/>
    <w:rsid w:val="32AC3044"/>
    <w:rsid w:val="33184C7F"/>
    <w:rsid w:val="33294694"/>
    <w:rsid w:val="33761EA9"/>
    <w:rsid w:val="33802506"/>
    <w:rsid w:val="339A10EE"/>
    <w:rsid w:val="33BA0A2C"/>
    <w:rsid w:val="33BC56A3"/>
    <w:rsid w:val="33C06DA7"/>
    <w:rsid w:val="33F713E2"/>
    <w:rsid w:val="34090566"/>
    <w:rsid w:val="340A6274"/>
    <w:rsid w:val="3433733A"/>
    <w:rsid w:val="343E7C06"/>
    <w:rsid w:val="343F2DF1"/>
    <w:rsid w:val="345741CE"/>
    <w:rsid w:val="34833930"/>
    <w:rsid w:val="34C91C11"/>
    <w:rsid w:val="35161ECA"/>
    <w:rsid w:val="353431B1"/>
    <w:rsid w:val="35382378"/>
    <w:rsid w:val="35397326"/>
    <w:rsid w:val="35491A72"/>
    <w:rsid w:val="35576E76"/>
    <w:rsid w:val="35745524"/>
    <w:rsid w:val="35872C08"/>
    <w:rsid w:val="35A31662"/>
    <w:rsid w:val="35A87AF3"/>
    <w:rsid w:val="35A974B6"/>
    <w:rsid w:val="35BC3888"/>
    <w:rsid w:val="35BF5491"/>
    <w:rsid w:val="35C42453"/>
    <w:rsid w:val="35D95EFE"/>
    <w:rsid w:val="35E942F8"/>
    <w:rsid w:val="3610795F"/>
    <w:rsid w:val="36197FA2"/>
    <w:rsid w:val="36343582"/>
    <w:rsid w:val="36443230"/>
    <w:rsid w:val="367246BC"/>
    <w:rsid w:val="369E0EF6"/>
    <w:rsid w:val="36C84394"/>
    <w:rsid w:val="36D21743"/>
    <w:rsid w:val="36D2631F"/>
    <w:rsid w:val="36E0506A"/>
    <w:rsid w:val="36EA0E46"/>
    <w:rsid w:val="37355187"/>
    <w:rsid w:val="37405B09"/>
    <w:rsid w:val="37422EA8"/>
    <w:rsid w:val="37521247"/>
    <w:rsid w:val="37800AFD"/>
    <w:rsid w:val="37B34862"/>
    <w:rsid w:val="37C02B01"/>
    <w:rsid w:val="37DD58E4"/>
    <w:rsid w:val="37F039D3"/>
    <w:rsid w:val="37F52D97"/>
    <w:rsid w:val="38103E46"/>
    <w:rsid w:val="38211DDE"/>
    <w:rsid w:val="383A2157"/>
    <w:rsid w:val="38415FDC"/>
    <w:rsid w:val="384635F3"/>
    <w:rsid w:val="3852769D"/>
    <w:rsid w:val="38575800"/>
    <w:rsid w:val="38675A43"/>
    <w:rsid w:val="38877E93"/>
    <w:rsid w:val="38A50319"/>
    <w:rsid w:val="38A96101"/>
    <w:rsid w:val="38B20D2C"/>
    <w:rsid w:val="38C14FE9"/>
    <w:rsid w:val="38CC73CA"/>
    <w:rsid w:val="38CF2207"/>
    <w:rsid w:val="38E01351"/>
    <w:rsid w:val="38ED1AF3"/>
    <w:rsid w:val="39074B30"/>
    <w:rsid w:val="39333709"/>
    <w:rsid w:val="39540891"/>
    <w:rsid w:val="396016F4"/>
    <w:rsid w:val="397544B2"/>
    <w:rsid w:val="39A04E85"/>
    <w:rsid w:val="39B051C8"/>
    <w:rsid w:val="39B6239E"/>
    <w:rsid w:val="39B76556"/>
    <w:rsid w:val="39CC4EA1"/>
    <w:rsid w:val="3A0A5633"/>
    <w:rsid w:val="3A102721"/>
    <w:rsid w:val="3A23599A"/>
    <w:rsid w:val="3A257582"/>
    <w:rsid w:val="3A3D5A92"/>
    <w:rsid w:val="3A6D57BE"/>
    <w:rsid w:val="3A752537"/>
    <w:rsid w:val="3A855897"/>
    <w:rsid w:val="3ABE221F"/>
    <w:rsid w:val="3AD153F6"/>
    <w:rsid w:val="3AFB2473"/>
    <w:rsid w:val="3B2F036E"/>
    <w:rsid w:val="3B586BDB"/>
    <w:rsid w:val="3B866E4B"/>
    <w:rsid w:val="3B892174"/>
    <w:rsid w:val="3BBA6B85"/>
    <w:rsid w:val="3BDC22A4"/>
    <w:rsid w:val="3C0E7A70"/>
    <w:rsid w:val="3C2515DF"/>
    <w:rsid w:val="3C2C3B59"/>
    <w:rsid w:val="3C313D9A"/>
    <w:rsid w:val="3C5134A8"/>
    <w:rsid w:val="3C614CC3"/>
    <w:rsid w:val="3C667DC0"/>
    <w:rsid w:val="3C6F6C44"/>
    <w:rsid w:val="3C983697"/>
    <w:rsid w:val="3CB6726B"/>
    <w:rsid w:val="3CEA487B"/>
    <w:rsid w:val="3D363C36"/>
    <w:rsid w:val="3D967D2C"/>
    <w:rsid w:val="3D9D3CB5"/>
    <w:rsid w:val="3DBF3BE1"/>
    <w:rsid w:val="3DD212F2"/>
    <w:rsid w:val="3DD807A6"/>
    <w:rsid w:val="3DDC2229"/>
    <w:rsid w:val="3DF75991"/>
    <w:rsid w:val="3E1B24BF"/>
    <w:rsid w:val="3E442382"/>
    <w:rsid w:val="3E5E54B3"/>
    <w:rsid w:val="3E6E5ED4"/>
    <w:rsid w:val="3E7C2C10"/>
    <w:rsid w:val="3E7E3886"/>
    <w:rsid w:val="3E850E16"/>
    <w:rsid w:val="3E875DD0"/>
    <w:rsid w:val="3EAC7351"/>
    <w:rsid w:val="3EC01579"/>
    <w:rsid w:val="3EDA5F2B"/>
    <w:rsid w:val="3F006C5F"/>
    <w:rsid w:val="3F3A4E1A"/>
    <w:rsid w:val="3F9D2ADD"/>
    <w:rsid w:val="3FB849DF"/>
    <w:rsid w:val="3FE603C4"/>
    <w:rsid w:val="40055B41"/>
    <w:rsid w:val="401364B0"/>
    <w:rsid w:val="402B37FA"/>
    <w:rsid w:val="40371F1D"/>
    <w:rsid w:val="40386BBE"/>
    <w:rsid w:val="405E1088"/>
    <w:rsid w:val="405F34A4"/>
    <w:rsid w:val="406B2332"/>
    <w:rsid w:val="40784565"/>
    <w:rsid w:val="40804A18"/>
    <w:rsid w:val="408613B8"/>
    <w:rsid w:val="409F6E90"/>
    <w:rsid w:val="40D531A3"/>
    <w:rsid w:val="40E97440"/>
    <w:rsid w:val="40EE78F1"/>
    <w:rsid w:val="41087CBC"/>
    <w:rsid w:val="41592C89"/>
    <w:rsid w:val="41753903"/>
    <w:rsid w:val="417B255F"/>
    <w:rsid w:val="417E7959"/>
    <w:rsid w:val="419158DF"/>
    <w:rsid w:val="41C90CF8"/>
    <w:rsid w:val="41DB02EE"/>
    <w:rsid w:val="42034084"/>
    <w:rsid w:val="42117119"/>
    <w:rsid w:val="4267663F"/>
    <w:rsid w:val="427D0327"/>
    <w:rsid w:val="42A620C6"/>
    <w:rsid w:val="42B0448A"/>
    <w:rsid w:val="42CB051D"/>
    <w:rsid w:val="42D2057D"/>
    <w:rsid w:val="42F12E16"/>
    <w:rsid w:val="42F73E67"/>
    <w:rsid w:val="4305760F"/>
    <w:rsid w:val="4310578E"/>
    <w:rsid w:val="433C187A"/>
    <w:rsid w:val="4344186E"/>
    <w:rsid w:val="43472C8E"/>
    <w:rsid w:val="436C6808"/>
    <w:rsid w:val="436D4129"/>
    <w:rsid w:val="43972F54"/>
    <w:rsid w:val="439E7830"/>
    <w:rsid w:val="43DC3263"/>
    <w:rsid w:val="43DE2D84"/>
    <w:rsid w:val="440C749E"/>
    <w:rsid w:val="44182063"/>
    <w:rsid w:val="442A3DC9"/>
    <w:rsid w:val="443D1D4E"/>
    <w:rsid w:val="44427364"/>
    <w:rsid w:val="445350CD"/>
    <w:rsid w:val="4465774B"/>
    <w:rsid w:val="446B5251"/>
    <w:rsid w:val="44731623"/>
    <w:rsid w:val="44751093"/>
    <w:rsid w:val="44784B34"/>
    <w:rsid w:val="44A03A97"/>
    <w:rsid w:val="44BB59C8"/>
    <w:rsid w:val="44BE2B11"/>
    <w:rsid w:val="44DE708D"/>
    <w:rsid w:val="44E5721A"/>
    <w:rsid w:val="44F00032"/>
    <w:rsid w:val="44F20D75"/>
    <w:rsid w:val="451E1126"/>
    <w:rsid w:val="451F5EEA"/>
    <w:rsid w:val="452151CC"/>
    <w:rsid w:val="453E7B2C"/>
    <w:rsid w:val="454512F6"/>
    <w:rsid w:val="457E6743"/>
    <w:rsid w:val="458532E4"/>
    <w:rsid w:val="45A2585F"/>
    <w:rsid w:val="45B44820"/>
    <w:rsid w:val="45BA78AB"/>
    <w:rsid w:val="45BB04C8"/>
    <w:rsid w:val="45CA2BB0"/>
    <w:rsid w:val="461940F5"/>
    <w:rsid w:val="462C207A"/>
    <w:rsid w:val="463A0491"/>
    <w:rsid w:val="465869CB"/>
    <w:rsid w:val="46674E60"/>
    <w:rsid w:val="467852BF"/>
    <w:rsid w:val="4684756E"/>
    <w:rsid w:val="469F5B16"/>
    <w:rsid w:val="46AF588B"/>
    <w:rsid w:val="46D61117"/>
    <w:rsid w:val="46E451E4"/>
    <w:rsid w:val="46ED775F"/>
    <w:rsid w:val="46EE732F"/>
    <w:rsid w:val="46F26E20"/>
    <w:rsid w:val="46F3146E"/>
    <w:rsid w:val="46FC7AF4"/>
    <w:rsid w:val="47433AF2"/>
    <w:rsid w:val="475E6EBA"/>
    <w:rsid w:val="47634182"/>
    <w:rsid w:val="47A01BF8"/>
    <w:rsid w:val="47C167F2"/>
    <w:rsid w:val="47D55F57"/>
    <w:rsid w:val="47DB3414"/>
    <w:rsid w:val="47FF636A"/>
    <w:rsid w:val="481B4586"/>
    <w:rsid w:val="483D056E"/>
    <w:rsid w:val="485853A8"/>
    <w:rsid w:val="485A5AE6"/>
    <w:rsid w:val="4873330E"/>
    <w:rsid w:val="48783354"/>
    <w:rsid w:val="48A97B15"/>
    <w:rsid w:val="48D03190"/>
    <w:rsid w:val="48E60A64"/>
    <w:rsid w:val="48EB1D78"/>
    <w:rsid w:val="48EF4B8D"/>
    <w:rsid w:val="493D12D0"/>
    <w:rsid w:val="496E6505"/>
    <w:rsid w:val="4981448B"/>
    <w:rsid w:val="499C74AB"/>
    <w:rsid w:val="49AE5ACA"/>
    <w:rsid w:val="49B32D80"/>
    <w:rsid w:val="49B97CF1"/>
    <w:rsid w:val="49E35145"/>
    <w:rsid w:val="4A11165F"/>
    <w:rsid w:val="4A123B4E"/>
    <w:rsid w:val="4A1C7E0C"/>
    <w:rsid w:val="4A233874"/>
    <w:rsid w:val="4A7D16D7"/>
    <w:rsid w:val="4A8C6E1A"/>
    <w:rsid w:val="4AA82E5E"/>
    <w:rsid w:val="4AA91EEB"/>
    <w:rsid w:val="4AA96C35"/>
    <w:rsid w:val="4AAA3372"/>
    <w:rsid w:val="4AD43786"/>
    <w:rsid w:val="4ADE0CEA"/>
    <w:rsid w:val="4AFA62A3"/>
    <w:rsid w:val="4B00052E"/>
    <w:rsid w:val="4B106C23"/>
    <w:rsid w:val="4B1E7590"/>
    <w:rsid w:val="4B6658EC"/>
    <w:rsid w:val="4B6E0A3F"/>
    <w:rsid w:val="4B715F88"/>
    <w:rsid w:val="4B765A3F"/>
    <w:rsid w:val="4B8E4304"/>
    <w:rsid w:val="4B9229FB"/>
    <w:rsid w:val="4BB72D4D"/>
    <w:rsid w:val="4BDB2566"/>
    <w:rsid w:val="4BE66030"/>
    <w:rsid w:val="4C0942B1"/>
    <w:rsid w:val="4C5177A3"/>
    <w:rsid w:val="4C612351"/>
    <w:rsid w:val="4C7E2F03"/>
    <w:rsid w:val="4CB46925"/>
    <w:rsid w:val="4CE17DAA"/>
    <w:rsid w:val="4CE43144"/>
    <w:rsid w:val="4CEE62DB"/>
    <w:rsid w:val="4CEE6BC8"/>
    <w:rsid w:val="4D0553D3"/>
    <w:rsid w:val="4D13189E"/>
    <w:rsid w:val="4D531F3D"/>
    <w:rsid w:val="4D57462E"/>
    <w:rsid w:val="4D575523"/>
    <w:rsid w:val="4D662DA1"/>
    <w:rsid w:val="4D761E2D"/>
    <w:rsid w:val="4DEB0C8C"/>
    <w:rsid w:val="4DEB281B"/>
    <w:rsid w:val="4DF53699"/>
    <w:rsid w:val="4E1F796D"/>
    <w:rsid w:val="4E807407"/>
    <w:rsid w:val="4E9B5FEF"/>
    <w:rsid w:val="4EB572DB"/>
    <w:rsid w:val="4EC45545"/>
    <w:rsid w:val="4EF54F01"/>
    <w:rsid w:val="4F23764C"/>
    <w:rsid w:val="4F351F88"/>
    <w:rsid w:val="4F575538"/>
    <w:rsid w:val="4F9842DC"/>
    <w:rsid w:val="4F9A1841"/>
    <w:rsid w:val="4FAD7B28"/>
    <w:rsid w:val="4FDE2637"/>
    <w:rsid w:val="4FF20D60"/>
    <w:rsid w:val="50245C76"/>
    <w:rsid w:val="503A6AE3"/>
    <w:rsid w:val="505A6B5B"/>
    <w:rsid w:val="506F7733"/>
    <w:rsid w:val="50767227"/>
    <w:rsid w:val="507A7C7E"/>
    <w:rsid w:val="507C59AC"/>
    <w:rsid w:val="50B15B75"/>
    <w:rsid w:val="50D6330E"/>
    <w:rsid w:val="510A1511"/>
    <w:rsid w:val="5111270B"/>
    <w:rsid w:val="511300BE"/>
    <w:rsid w:val="511543EB"/>
    <w:rsid w:val="5139564B"/>
    <w:rsid w:val="51400263"/>
    <w:rsid w:val="515D7ADE"/>
    <w:rsid w:val="517D5E7F"/>
    <w:rsid w:val="51846726"/>
    <w:rsid w:val="51C05B46"/>
    <w:rsid w:val="51CC09C4"/>
    <w:rsid w:val="51D41817"/>
    <w:rsid w:val="51F15693"/>
    <w:rsid w:val="521F6615"/>
    <w:rsid w:val="5224454D"/>
    <w:rsid w:val="52252901"/>
    <w:rsid w:val="52336D7F"/>
    <w:rsid w:val="52546BE0"/>
    <w:rsid w:val="526510ED"/>
    <w:rsid w:val="528275D2"/>
    <w:rsid w:val="52912E63"/>
    <w:rsid w:val="529945F3"/>
    <w:rsid w:val="52DB4C0C"/>
    <w:rsid w:val="530A729F"/>
    <w:rsid w:val="530D1447"/>
    <w:rsid w:val="53282911"/>
    <w:rsid w:val="53641861"/>
    <w:rsid w:val="53733206"/>
    <w:rsid w:val="53937294"/>
    <w:rsid w:val="53972FCC"/>
    <w:rsid w:val="53D85F72"/>
    <w:rsid w:val="53F647F9"/>
    <w:rsid w:val="53FF7081"/>
    <w:rsid w:val="54071A30"/>
    <w:rsid w:val="54233018"/>
    <w:rsid w:val="542813F0"/>
    <w:rsid w:val="54581E26"/>
    <w:rsid w:val="546A48A6"/>
    <w:rsid w:val="5474356A"/>
    <w:rsid w:val="549A0AF6"/>
    <w:rsid w:val="54AC73FC"/>
    <w:rsid w:val="54DD1B63"/>
    <w:rsid w:val="54F176A6"/>
    <w:rsid w:val="54FA13EA"/>
    <w:rsid w:val="55267342"/>
    <w:rsid w:val="55284D7A"/>
    <w:rsid w:val="552911B0"/>
    <w:rsid w:val="553A564E"/>
    <w:rsid w:val="554C1DF1"/>
    <w:rsid w:val="554C4D41"/>
    <w:rsid w:val="555B2034"/>
    <w:rsid w:val="5579070C"/>
    <w:rsid w:val="559C31FF"/>
    <w:rsid w:val="55A559A5"/>
    <w:rsid w:val="55F94160"/>
    <w:rsid w:val="56002BDB"/>
    <w:rsid w:val="562A0B76"/>
    <w:rsid w:val="564D0F9F"/>
    <w:rsid w:val="5659369F"/>
    <w:rsid w:val="565B4FD1"/>
    <w:rsid w:val="56690780"/>
    <w:rsid w:val="566F3B71"/>
    <w:rsid w:val="56795C9D"/>
    <w:rsid w:val="56B06CAE"/>
    <w:rsid w:val="56BD366E"/>
    <w:rsid w:val="56E61DD1"/>
    <w:rsid w:val="56EB3093"/>
    <w:rsid w:val="56F55148"/>
    <w:rsid w:val="572E1ACF"/>
    <w:rsid w:val="574D1E50"/>
    <w:rsid w:val="57727B09"/>
    <w:rsid w:val="57811AFA"/>
    <w:rsid w:val="57A93B9C"/>
    <w:rsid w:val="57C0319A"/>
    <w:rsid w:val="57D56AAF"/>
    <w:rsid w:val="57E36310"/>
    <w:rsid w:val="57F95B34"/>
    <w:rsid w:val="57FD33F5"/>
    <w:rsid w:val="5819409F"/>
    <w:rsid w:val="582726A1"/>
    <w:rsid w:val="583A4034"/>
    <w:rsid w:val="583E2AC9"/>
    <w:rsid w:val="58725645"/>
    <w:rsid w:val="58B52848"/>
    <w:rsid w:val="58DD4440"/>
    <w:rsid w:val="58E77488"/>
    <w:rsid w:val="59263D88"/>
    <w:rsid w:val="592E6F0E"/>
    <w:rsid w:val="5943350B"/>
    <w:rsid w:val="594C1BE3"/>
    <w:rsid w:val="594F543E"/>
    <w:rsid w:val="59AB2327"/>
    <w:rsid w:val="59B245CE"/>
    <w:rsid w:val="59E41F31"/>
    <w:rsid w:val="59EA30A1"/>
    <w:rsid w:val="59F7655A"/>
    <w:rsid w:val="5A436AC9"/>
    <w:rsid w:val="5A5F25C6"/>
    <w:rsid w:val="5A6164D9"/>
    <w:rsid w:val="5A9304C2"/>
    <w:rsid w:val="5AAD194C"/>
    <w:rsid w:val="5AB5456B"/>
    <w:rsid w:val="5ACE0789"/>
    <w:rsid w:val="5ADA0135"/>
    <w:rsid w:val="5AEC4C4E"/>
    <w:rsid w:val="5B0A5750"/>
    <w:rsid w:val="5B110A83"/>
    <w:rsid w:val="5B32772E"/>
    <w:rsid w:val="5B4D20D9"/>
    <w:rsid w:val="5B56027A"/>
    <w:rsid w:val="5B6426CC"/>
    <w:rsid w:val="5B8F21D0"/>
    <w:rsid w:val="5BA04C44"/>
    <w:rsid w:val="5BD4669C"/>
    <w:rsid w:val="5C070E10"/>
    <w:rsid w:val="5C106493"/>
    <w:rsid w:val="5C4962D6"/>
    <w:rsid w:val="5C683FC9"/>
    <w:rsid w:val="5C850CBB"/>
    <w:rsid w:val="5CB0535B"/>
    <w:rsid w:val="5CB52971"/>
    <w:rsid w:val="5CBA1D36"/>
    <w:rsid w:val="5CC0097C"/>
    <w:rsid w:val="5CD64696"/>
    <w:rsid w:val="5CF87770"/>
    <w:rsid w:val="5D057DF3"/>
    <w:rsid w:val="5D0964FF"/>
    <w:rsid w:val="5D144BE5"/>
    <w:rsid w:val="5D8600DB"/>
    <w:rsid w:val="5DA54794"/>
    <w:rsid w:val="5DB010AF"/>
    <w:rsid w:val="5DD13A18"/>
    <w:rsid w:val="5DEA664B"/>
    <w:rsid w:val="5DEF3C61"/>
    <w:rsid w:val="5DF260C6"/>
    <w:rsid w:val="5E2E64C9"/>
    <w:rsid w:val="5E6C2461"/>
    <w:rsid w:val="5E734892"/>
    <w:rsid w:val="5E752A01"/>
    <w:rsid w:val="5EAC426D"/>
    <w:rsid w:val="5EEE40FF"/>
    <w:rsid w:val="5F0F74DD"/>
    <w:rsid w:val="5F7B50DA"/>
    <w:rsid w:val="5F7F6F19"/>
    <w:rsid w:val="5FB02E13"/>
    <w:rsid w:val="5FB873F8"/>
    <w:rsid w:val="5FBA0EE7"/>
    <w:rsid w:val="600B2AE0"/>
    <w:rsid w:val="60126A4A"/>
    <w:rsid w:val="60210807"/>
    <w:rsid w:val="602776E2"/>
    <w:rsid w:val="6042428B"/>
    <w:rsid w:val="606C595F"/>
    <w:rsid w:val="609C2219"/>
    <w:rsid w:val="60A46F85"/>
    <w:rsid w:val="60B82346"/>
    <w:rsid w:val="60B8658C"/>
    <w:rsid w:val="60C81933"/>
    <w:rsid w:val="60F872D1"/>
    <w:rsid w:val="611539DF"/>
    <w:rsid w:val="613B204D"/>
    <w:rsid w:val="613E5E8E"/>
    <w:rsid w:val="6153674B"/>
    <w:rsid w:val="6191176A"/>
    <w:rsid w:val="6192432A"/>
    <w:rsid w:val="61A315AC"/>
    <w:rsid w:val="61B62930"/>
    <w:rsid w:val="61D61932"/>
    <w:rsid w:val="61E241E7"/>
    <w:rsid w:val="61E97BCB"/>
    <w:rsid w:val="61EB2991"/>
    <w:rsid w:val="61EC1AF4"/>
    <w:rsid w:val="62682234"/>
    <w:rsid w:val="62727215"/>
    <w:rsid w:val="62944DF9"/>
    <w:rsid w:val="62A0377C"/>
    <w:rsid w:val="62A93A14"/>
    <w:rsid w:val="62B37615"/>
    <w:rsid w:val="62BE24E3"/>
    <w:rsid w:val="62C51434"/>
    <w:rsid w:val="62DE7297"/>
    <w:rsid w:val="62E775FD"/>
    <w:rsid w:val="63022CE0"/>
    <w:rsid w:val="63133758"/>
    <w:rsid w:val="63197FF6"/>
    <w:rsid w:val="632E4E68"/>
    <w:rsid w:val="635A7DCF"/>
    <w:rsid w:val="635F51C3"/>
    <w:rsid w:val="63A36B1F"/>
    <w:rsid w:val="63A4642C"/>
    <w:rsid w:val="63C94F54"/>
    <w:rsid w:val="63DC2AB8"/>
    <w:rsid w:val="63E272F0"/>
    <w:rsid w:val="63ED711A"/>
    <w:rsid w:val="63FA23EE"/>
    <w:rsid w:val="63FA3360"/>
    <w:rsid w:val="6400742D"/>
    <w:rsid w:val="644D3968"/>
    <w:rsid w:val="645E6FB8"/>
    <w:rsid w:val="64697AA8"/>
    <w:rsid w:val="646C600B"/>
    <w:rsid w:val="64816640"/>
    <w:rsid w:val="649C61C5"/>
    <w:rsid w:val="64EC12ED"/>
    <w:rsid w:val="6565393E"/>
    <w:rsid w:val="65931DEC"/>
    <w:rsid w:val="65A37A89"/>
    <w:rsid w:val="65CE0600"/>
    <w:rsid w:val="65D53C4D"/>
    <w:rsid w:val="65EA5C53"/>
    <w:rsid w:val="65F50E75"/>
    <w:rsid w:val="66057F4B"/>
    <w:rsid w:val="66236B9E"/>
    <w:rsid w:val="664B7EA3"/>
    <w:rsid w:val="66752B0E"/>
    <w:rsid w:val="66957500"/>
    <w:rsid w:val="66963446"/>
    <w:rsid w:val="66AA4A57"/>
    <w:rsid w:val="66EF0F55"/>
    <w:rsid w:val="66FC21EC"/>
    <w:rsid w:val="670E03C4"/>
    <w:rsid w:val="672018AC"/>
    <w:rsid w:val="67431646"/>
    <w:rsid w:val="679231D0"/>
    <w:rsid w:val="679C6C08"/>
    <w:rsid w:val="67A11804"/>
    <w:rsid w:val="67AD1E57"/>
    <w:rsid w:val="67B04F27"/>
    <w:rsid w:val="67BA1378"/>
    <w:rsid w:val="67E5651E"/>
    <w:rsid w:val="67F91294"/>
    <w:rsid w:val="685A261F"/>
    <w:rsid w:val="686E0A7C"/>
    <w:rsid w:val="686F456E"/>
    <w:rsid w:val="687D37BA"/>
    <w:rsid w:val="687F1AD7"/>
    <w:rsid w:val="6884144A"/>
    <w:rsid w:val="68B06EC6"/>
    <w:rsid w:val="68BB21A8"/>
    <w:rsid w:val="68DA2058"/>
    <w:rsid w:val="68E74694"/>
    <w:rsid w:val="68F6221F"/>
    <w:rsid w:val="690C77A3"/>
    <w:rsid w:val="691D569F"/>
    <w:rsid w:val="692D02ED"/>
    <w:rsid w:val="693331BC"/>
    <w:rsid w:val="69816923"/>
    <w:rsid w:val="69927C9C"/>
    <w:rsid w:val="69944FDF"/>
    <w:rsid w:val="69C42590"/>
    <w:rsid w:val="69D32DEA"/>
    <w:rsid w:val="69DC7B6A"/>
    <w:rsid w:val="69E0596E"/>
    <w:rsid w:val="69E228CC"/>
    <w:rsid w:val="6A2E521A"/>
    <w:rsid w:val="6A3F21F5"/>
    <w:rsid w:val="6A475399"/>
    <w:rsid w:val="6A5810E6"/>
    <w:rsid w:val="6A620869"/>
    <w:rsid w:val="6A6257BB"/>
    <w:rsid w:val="6A7F45BF"/>
    <w:rsid w:val="6A88590C"/>
    <w:rsid w:val="6A8F1839"/>
    <w:rsid w:val="6A902328"/>
    <w:rsid w:val="6A96526E"/>
    <w:rsid w:val="6A9E228F"/>
    <w:rsid w:val="6AB44268"/>
    <w:rsid w:val="6AB81286"/>
    <w:rsid w:val="6AF503DD"/>
    <w:rsid w:val="6AFA2768"/>
    <w:rsid w:val="6B014459"/>
    <w:rsid w:val="6B1A1762"/>
    <w:rsid w:val="6B274BC4"/>
    <w:rsid w:val="6B482C13"/>
    <w:rsid w:val="6B9D12D7"/>
    <w:rsid w:val="6BB579B4"/>
    <w:rsid w:val="6BD85D34"/>
    <w:rsid w:val="6BEA5A68"/>
    <w:rsid w:val="6C091604"/>
    <w:rsid w:val="6C187D43"/>
    <w:rsid w:val="6C384A25"/>
    <w:rsid w:val="6C3D535E"/>
    <w:rsid w:val="6C464F49"/>
    <w:rsid w:val="6C517895"/>
    <w:rsid w:val="6C615D2A"/>
    <w:rsid w:val="6C783265"/>
    <w:rsid w:val="6C791145"/>
    <w:rsid w:val="6C7F0B43"/>
    <w:rsid w:val="6C850E75"/>
    <w:rsid w:val="6C932BBB"/>
    <w:rsid w:val="6CAF5EDC"/>
    <w:rsid w:val="6CB31CFA"/>
    <w:rsid w:val="6CC62FCB"/>
    <w:rsid w:val="6CD22E63"/>
    <w:rsid w:val="6CD36C33"/>
    <w:rsid w:val="6D0C5905"/>
    <w:rsid w:val="6D282266"/>
    <w:rsid w:val="6D521B17"/>
    <w:rsid w:val="6D821CA1"/>
    <w:rsid w:val="6D930AC7"/>
    <w:rsid w:val="6DA70B1D"/>
    <w:rsid w:val="6DB20857"/>
    <w:rsid w:val="6DC60157"/>
    <w:rsid w:val="6DC948C0"/>
    <w:rsid w:val="6DE035C6"/>
    <w:rsid w:val="6DE84A40"/>
    <w:rsid w:val="6DEB025D"/>
    <w:rsid w:val="6DF077D0"/>
    <w:rsid w:val="6E2D5BD9"/>
    <w:rsid w:val="6E2E7E8E"/>
    <w:rsid w:val="6E9A6522"/>
    <w:rsid w:val="6E9E2325"/>
    <w:rsid w:val="6EB02E52"/>
    <w:rsid w:val="6EE175F6"/>
    <w:rsid w:val="6EE91D09"/>
    <w:rsid w:val="6EF61DD6"/>
    <w:rsid w:val="6F0038D0"/>
    <w:rsid w:val="6F0230C8"/>
    <w:rsid w:val="6F1837EE"/>
    <w:rsid w:val="6F4257A1"/>
    <w:rsid w:val="6F540CD9"/>
    <w:rsid w:val="6F814935"/>
    <w:rsid w:val="6F8553E5"/>
    <w:rsid w:val="6F885613"/>
    <w:rsid w:val="6FB23A11"/>
    <w:rsid w:val="6FD53893"/>
    <w:rsid w:val="70131994"/>
    <w:rsid w:val="7024511A"/>
    <w:rsid w:val="703419A7"/>
    <w:rsid w:val="70524B02"/>
    <w:rsid w:val="705F4E88"/>
    <w:rsid w:val="70613C23"/>
    <w:rsid w:val="706B7030"/>
    <w:rsid w:val="708020B1"/>
    <w:rsid w:val="708278B7"/>
    <w:rsid w:val="70B774EE"/>
    <w:rsid w:val="70D53678"/>
    <w:rsid w:val="70E12361"/>
    <w:rsid w:val="70F57154"/>
    <w:rsid w:val="710E21F8"/>
    <w:rsid w:val="71166278"/>
    <w:rsid w:val="712A5284"/>
    <w:rsid w:val="712B2DAA"/>
    <w:rsid w:val="71344DDC"/>
    <w:rsid w:val="714F46D5"/>
    <w:rsid w:val="71662034"/>
    <w:rsid w:val="716664F6"/>
    <w:rsid w:val="71686F7C"/>
    <w:rsid w:val="716A0558"/>
    <w:rsid w:val="716A753D"/>
    <w:rsid w:val="717402AD"/>
    <w:rsid w:val="71C21EB7"/>
    <w:rsid w:val="71DF29F5"/>
    <w:rsid w:val="71E96AEE"/>
    <w:rsid w:val="71ED1E0E"/>
    <w:rsid w:val="720155F8"/>
    <w:rsid w:val="722246CE"/>
    <w:rsid w:val="72247D75"/>
    <w:rsid w:val="723343F8"/>
    <w:rsid w:val="724E1279"/>
    <w:rsid w:val="72712D63"/>
    <w:rsid w:val="727B40E2"/>
    <w:rsid w:val="727F4FC3"/>
    <w:rsid w:val="727F6B27"/>
    <w:rsid w:val="729975B9"/>
    <w:rsid w:val="72D059B7"/>
    <w:rsid w:val="72D349BB"/>
    <w:rsid w:val="72E55D13"/>
    <w:rsid w:val="72F1592E"/>
    <w:rsid w:val="72FB3C33"/>
    <w:rsid w:val="7305118A"/>
    <w:rsid w:val="7322656F"/>
    <w:rsid w:val="7370719A"/>
    <w:rsid w:val="737C4822"/>
    <w:rsid w:val="73992C87"/>
    <w:rsid w:val="73A77FD0"/>
    <w:rsid w:val="73AA42CE"/>
    <w:rsid w:val="73B56B22"/>
    <w:rsid w:val="73C75F04"/>
    <w:rsid w:val="73CC5BC1"/>
    <w:rsid w:val="73D43285"/>
    <w:rsid w:val="73FA5D4F"/>
    <w:rsid w:val="74026044"/>
    <w:rsid w:val="74057D9F"/>
    <w:rsid w:val="74067F64"/>
    <w:rsid w:val="74206031"/>
    <w:rsid w:val="7426102F"/>
    <w:rsid w:val="742B6867"/>
    <w:rsid w:val="74A67C43"/>
    <w:rsid w:val="74F91445"/>
    <w:rsid w:val="750202C6"/>
    <w:rsid w:val="75306D8D"/>
    <w:rsid w:val="754B0344"/>
    <w:rsid w:val="75616D9B"/>
    <w:rsid w:val="756E4CD7"/>
    <w:rsid w:val="7599228F"/>
    <w:rsid w:val="75A22F11"/>
    <w:rsid w:val="75AF39B1"/>
    <w:rsid w:val="75C0091D"/>
    <w:rsid w:val="75CA2B92"/>
    <w:rsid w:val="75CB0343"/>
    <w:rsid w:val="75CE1F56"/>
    <w:rsid w:val="75D665EB"/>
    <w:rsid w:val="75D72E31"/>
    <w:rsid w:val="75DA08FB"/>
    <w:rsid w:val="75EA4BBC"/>
    <w:rsid w:val="7620517E"/>
    <w:rsid w:val="76350175"/>
    <w:rsid w:val="764530E9"/>
    <w:rsid w:val="764F0467"/>
    <w:rsid w:val="765C7562"/>
    <w:rsid w:val="76663E7C"/>
    <w:rsid w:val="767D5F89"/>
    <w:rsid w:val="76C45833"/>
    <w:rsid w:val="76D33EDE"/>
    <w:rsid w:val="76E12AA5"/>
    <w:rsid w:val="76F04BB5"/>
    <w:rsid w:val="76F2167F"/>
    <w:rsid w:val="76F8402C"/>
    <w:rsid w:val="772A5685"/>
    <w:rsid w:val="773D1EBD"/>
    <w:rsid w:val="774E0AAA"/>
    <w:rsid w:val="775D4E5C"/>
    <w:rsid w:val="777E65A3"/>
    <w:rsid w:val="77877744"/>
    <w:rsid w:val="779121BD"/>
    <w:rsid w:val="77947FA5"/>
    <w:rsid w:val="77A24717"/>
    <w:rsid w:val="77AF4CAE"/>
    <w:rsid w:val="77B92EBE"/>
    <w:rsid w:val="77C6382D"/>
    <w:rsid w:val="77C6528F"/>
    <w:rsid w:val="77C700C8"/>
    <w:rsid w:val="78172110"/>
    <w:rsid w:val="783949DB"/>
    <w:rsid w:val="78545274"/>
    <w:rsid w:val="7855188E"/>
    <w:rsid w:val="78582287"/>
    <w:rsid w:val="78627A59"/>
    <w:rsid w:val="7877766D"/>
    <w:rsid w:val="78CB0970"/>
    <w:rsid w:val="79183C14"/>
    <w:rsid w:val="792642B8"/>
    <w:rsid w:val="79537342"/>
    <w:rsid w:val="79822FDC"/>
    <w:rsid w:val="799B0981"/>
    <w:rsid w:val="799B10A0"/>
    <w:rsid w:val="79A40E03"/>
    <w:rsid w:val="79AB6836"/>
    <w:rsid w:val="79D3176B"/>
    <w:rsid w:val="79DC2E94"/>
    <w:rsid w:val="79E9735F"/>
    <w:rsid w:val="7A127DEE"/>
    <w:rsid w:val="7A15284A"/>
    <w:rsid w:val="7A38172B"/>
    <w:rsid w:val="7A6A1A08"/>
    <w:rsid w:val="7A950267"/>
    <w:rsid w:val="7A9E639B"/>
    <w:rsid w:val="7AA51085"/>
    <w:rsid w:val="7AB23BF5"/>
    <w:rsid w:val="7AB36FE5"/>
    <w:rsid w:val="7AB93543"/>
    <w:rsid w:val="7AD55A85"/>
    <w:rsid w:val="7AE87303"/>
    <w:rsid w:val="7B004457"/>
    <w:rsid w:val="7B4A506F"/>
    <w:rsid w:val="7B56414C"/>
    <w:rsid w:val="7B803CF3"/>
    <w:rsid w:val="7BA50A03"/>
    <w:rsid w:val="7BAB4B8B"/>
    <w:rsid w:val="7C0354F5"/>
    <w:rsid w:val="7C0F504B"/>
    <w:rsid w:val="7C1B29BB"/>
    <w:rsid w:val="7C3C1B22"/>
    <w:rsid w:val="7C5076B5"/>
    <w:rsid w:val="7C5C5158"/>
    <w:rsid w:val="7C66113B"/>
    <w:rsid w:val="7C9320C5"/>
    <w:rsid w:val="7CCD2F68"/>
    <w:rsid w:val="7CDE312B"/>
    <w:rsid w:val="7CFF3747"/>
    <w:rsid w:val="7D2D5DF4"/>
    <w:rsid w:val="7D3354C1"/>
    <w:rsid w:val="7D4C0330"/>
    <w:rsid w:val="7D53053D"/>
    <w:rsid w:val="7D5366D8"/>
    <w:rsid w:val="7D611ADA"/>
    <w:rsid w:val="7D701825"/>
    <w:rsid w:val="7DD14B0A"/>
    <w:rsid w:val="7DD37D1E"/>
    <w:rsid w:val="7DD86068"/>
    <w:rsid w:val="7E4B7FA8"/>
    <w:rsid w:val="7E8A4370"/>
    <w:rsid w:val="7EA15226"/>
    <w:rsid w:val="7EAA7A04"/>
    <w:rsid w:val="7EBA7837"/>
    <w:rsid w:val="7EC52A67"/>
    <w:rsid w:val="7ED0675D"/>
    <w:rsid w:val="7ED608B9"/>
    <w:rsid w:val="7EEE41A8"/>
    <w:rsid w:val="7F092DB9"/>
    <w:rsid w:val="7F141322"/>
    <w:rsid w:val="7F477114"/>
    <w:rsid w:val="7F574A9C"/>
    <w:rsid w:val="7F6F69CF"/>
    <w:rsid w:val="7F7027AD"/>
    <w:rsid w:val="7F81371F"/>
    <w:rsid w:val="7F8B472E"/>
    <w:rsid w:val="7F923FF5"/>
    <w:rsid w:val="7FDD1714"/>
    <w:rsid w:val="7FDE2DD8"/>
    <w:rsid w:val="7FF058EB"/>
    <w:rsid w:val="7FF411DF"/>
    <w:rsid w:val="D7EB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nhideWhenUsed="0" w:uiPriority="0"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paragraph" w:styleId="2">
    <w:name w:val="heading 1"/>
    <w:basedOn w:val="1"/>
    <w:next w:val="1"/>
    <w:link w:val="51"/>
    <w:qFormat/>
    <w:uiPriority w:val="0"/>
    <w:pPr>
      <w:keepNext/>
      <w:keepLines/>
      <w:tabs>
        <w:tab w:val="left" w:pos="1440"/>
      </w:tabs>
      <w:spacing w:before="340" w:after="330" w:line="578" w:lineRule="atLeast"/>
      <w:outlineLvl w:val="0"/>
    </w:pPr>
    <w:rPr>
      <w:b/>
      <w:bCs/>
      <w:kern w:val="44"/>
      <w:sz w:val="44"/>
      <w:szCs w:val="44"/>
    </w:rPr>
  </w:style>
  <w:style w:type="paragraph" w:styleId="3">
    <w:name w:val="heading 2"/>
    <w:basedOn w:val="1"/>
    <w:next w:val="1"/>
    <w:link w:val="52"/>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53"/>
    <w:qFormat/>
    <w:uiPriority w:val="0"/>
    <w:pPr>
      <w:keepNext/>
      <w:keepLines/>
      <w:spacing w:before="260" w:after="260" w:line="416" w:lineRule="atLeast"/>
      <w:outlineLvl w:val="2"/>
    </w:pPr>
    <w:rPr>
      <w:b/>
      <w:bCs/>
      <w:sz w:val="32"/>
      <w:szCs w:val="32"/>
    </w:rPr>
  </w:style>
  <w:style w:type="paragraph" w:styleId="5">
    <w:name w:val="heading 4"/>
    <w:basedOn w:val="1"/>
    <w:next w:val="1"/>
    <w:link w:val="54"/>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55"/>
    <w:unhideWhenUsed/>
    <w:qFormat/>
    <w:uiPriority w:val="0"/>
    <w:pPr>
      <w:keepNext/>
      <w:keepLines/>
      <w:spacing w:before="280" w:after="290" w:line="376" w:lineRule="atLeast"/>
      <w:outlineLvl w:val="4"/>
    </w:pPr>
    <w:rPr>
      <w:b/>
      <w:bCs/>
      <w:sz w:val="28"/>
      <w:szCs w:val="28"/>
    </w:rPr>
  </w:style>
  <w:style w:type="paragraph" w:styleId="7">
    <w:name w:val="heading 6"/>
    <w:basedOn w:val="1"/>
    <w:next w:val="1"/>
    <w:link w:val="72"/>
    <w:qFormat/>
    <w:uiPriority w:val="0"/>
    <w:pPr>
      <w:keepNext/>
      <w:keepLines/>
      <w:adjustRightInd/>
      <w:spacing w:before="240" w:after="64" w:line="317" w:lineRule="auto"/>
      <w:textAlignment w:val="auto"/>
      <w:outlineLvl w:val="5"/>
    </w:pPr>
    <w:rPr>
      <w:rFonts w:ascii="Cambria" w:hAnsi="Cambria"/>
      <w:b/>
      <w:bCs/>
      <w:kern w:val="2"/>
      <w:sz w:val="24"/>
      <w:szCs w:val="24"/>
    </w:rPr>
  </w:style>
  <w:style w:type="paragraph" w:styleId="8">
    <w:name w:val="heading 7"/>
    <w:basedOn w:val="1"/>
    <w:next w:val="1"/>
    <w:link w:val="73"/>
    <w:qFormat/>
    <w:uiPriority w:val="0"/>
    <w:pPr>
      <w:keepNext/>
      <w:keepLines/>
      <w:adjustRightInd/>
      <w:spacing w:before="240" w:after="64" w:line="317" w:lineRule="auto"/>
      <w:textAlignment w:val="auto"/>
      <w:outlineLvl w:val="6"/>
    </w:pPr>
    <w:rPr>
      <w:b/>
      <w:bCs/>
      <w:kern w:val="2"/>
      <w:sz w:val="24"/>
      <w:szCs w:val="24"/>
    </w:rPr>
  </w:style>
  <w:style w:type="paragraph" w:styleId="9">
    <w:name w:val="heading 8"/>
    <w:basedOn w:val="1"/>
    <w:next w:val="1"/>
    <w:link w:val="74"/>
    <w:qFormat/>
    <w:uiPriority w:val="0"/>
    <w:pPr>
      <w:keepNext/>
      <w:keepLines/>
      <w:adjustRightInd/>
      <w:spacing w:before="240" w:after="64" w:line="317" w:lineRule="auto"/>
      <w:textAlignment w:val="auto"/>
      <w:outlineLvl w:val="7"/>
    </w:pPr>
    <w:rPr>
      <w:rFonts w:ascii="Cambria" w:hAnsi="Cambria"/>
      <w:kern w:val="2"/>
      <w:sz w:val="24"/>
      <w:szCs w:val="24"/>
    </w:rPr>
  </w:style>
  <w:style w:type="paragraph" w:styleId="10">
    <w:name w:val="heading 9"/>
    <w:basedOn w:val="1"/>
    <w:next w:val="1"/>
    <w:link w:val="75"/>
    <w:qFormat/>
    <w:uiPriority w:val="0"/>
    <w:pPr>
      <w:keepNext/>
      <w:keepLines/>
      <w:adjustRightInd/>
      <w:spacing w:before="240" w:after="64" w:line="317" w:lineRule="auto"/>
      <w:textAlignment w:val="auto"/>
      <w:outlineLvl w:val="8"/>
    </w:pPr>
    <w:rPr>
      <w:rFonts w:ascii="Cambria" w:hAnsi="Cambria"/>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djustRightInd/>
      <w:spacing w:line="240" w:lineRule="auto"/>
      <w:ind w:left="2520" w:leftChars="1200"/>
      <w:textAlignment w:val="auto"/>
    </w:pPr>
    <w:rPr>
      <w:kern w:val="2"/>
      <w:sz w:val="21"/>
      <w:szCs w:val="22"/>
    </w:rPr>
  </w:style>
  <w:style w:type="paragraph" w:styleId="12">
    <w:name w:val="Note Heading"/>
    <w:basedOn w:val="1"/>
    <w:next w:val="1"/>
    <w:link w:val="104"/>
    <w:semiHidden/>
    <w:qFormat/>
    <w:uiPriority w:val="0"/>
    <w:pPr>
      <w:adjustRightInd/>
      <w:spacing w:line="240" w:lineRule="auto"/>
      <w:jc w:val="center"/>
      <w:textAlignment w:val="auto"/>
    </w:pPr>
    <w:rPr>
      <w:rFonts w:ascii="Times New Roman" w:hAnsi="Times New Roman"/>
      <w:kern w:val="2"/>
      <w:sz w:val="21"/>
      <w:szCs w:val="24"/>
    </w:rPr>
  </w:style>
  <w:style w:type="paragraph" w:styleId="13">
    <w:name w:val="Normal Indent"/>
    <w:basedOn w:val="1"/>
    <w:link w:val="56"/>
    <w:qFormat/>
    <w:uiPriority w:val="0"/>
    <w:pPr>
      <w:ind w:firstLine="420"/>
    </w:pPr>
    <w:rPr>
      <w:rFonts w:asciiTheme="minorHAnsi" w:hAnsiTheme="minorHAnsi" w:eastAsiaTheme="minorEastAsia" w:cstheme="minorBidi"/>
      <w:kern w:val="2"/>
      <w:sz w:val="21"/>
      <w:szCs w:val="22"/>
    </w:rPr>
  </w:style>
  <w:style w:type="paragraph" w:styleId="14">
    <w:name w:val="caption"/>
    <w:basedOn w:val="1"/>
    <w:next w:val="1"/>
    <w:qFormat/>
    <w:uiPriority w:val="0"/>
    <w:pPr>
      <w:adjustRightInd/>
      <w:spacing w:line="240" w:lineRule="auto"/>
      <w:textAlignment w:val="auto"/>
    </w:pPr>
    <w:rPr>
      <w:rFonts w:ascii="Cambria" w:hAnsi="Cambria" w:eastAsia="黑体"/>
      <w:kern w:val="2"/>
    </w:rPr>
  </w:style>
  <w:style w:type="paragraph" w:styleId="15">
    <w:name w:val="Document Map"/>
    <w:basedOn w:val="1"/>
    <w:link w:val="94"/>
    <w:qFormat/>
    <w:uiPriority w:val="0"/>
    <w:pPr>
      <w:shd w:val="clear" w:color="auto" w:fill="000080"/>
      <w:adjustRightInd/>
      <w:spacing w:line="240" w:lineRule="auto"/>
      <w:textAlignment w:val="auto"/>
    </w:pPr>
    <w:rPr>
      <w:rFonts w:ascii="Times New Roman" w:hAnsi="Times New Roman" w:eastAsiaTheme="minorEastAsia" w:cstheme="minorBidi"/>
      <w:kern w:val="2"/>
      <w:sz w:val="21"/>
      <w:szCs w:val="24"/>
      <w:shd w:val="clear" w:color="auto" w:fill="000080"/>
    </w:rPr>
  </w:style>
  <w:style w:type="paragraph" w:styleId="16">
    <w:name w:val="annotation text"/>
    <w:basedOn w:val="1"/>
    <w:link w:val="97"/>
    <w:qFormat/>
    <w:uiPriority w:val="0"/>
    <w:pPr>
      <w:adjustRightInd/>
      <w:spacing w:line="240" w:lineRule="auto"/>
      <w:jc w:val="left"/>
      <w:textAlignment w:val="auto"/>
    </w:pPr>
    <w:rPr>
      <w:rFonts w:asciiTheme="minorHAnsi" w:hAnsiTheme="minorHAnsi" w:eastAsiaTheme="minorEastAsia" w:cstheme="minorBidi"/>
      <w:kern w:val="2"/>
      <w:sz w:val="21"/>
      <w:szCs w:val="22"/>
    </w:rPr>
  </w:style>
  <w:style w:type="paragraph" w:styleId="17">
    <w:name w:val="Body Text"/>
    <w:basedOn w:val="1"/>
    <w:link w:val="63"/>
    <w:qFormat/>
    <w:uiPriority w:val="0"/>
    <w:pPr>
      <w:spacing w:after="120"/>
    </w:pPr>
  </w:style>
  <w:style w:type="paragraph" w:styleId="18">
    <w:name w:val="Body Text Indent"/>
    <w:basedOn w:val="1"/>
    <w:next w:val="1"/>
    <w:link w:val="64"/>
    <w:semiHidden/>
    <w:unhideWhenUsed/>
    <w:qFormat/>
    <w:uiPriority w:val="99"/>
    <w:pPr>
      <w:spacing w:after="120"/>
      <w:ind w:left="420" w:leftChars="200"/>
    </w:pPr>
  </w:style>
  <w:style w:type="paragraph" w:styleId="19">
    <w:name w:val="index 4"/>
    <w:basedOn w:val="1"/>
    <w:next w:val="1"/>
    <w:qFormat/>
    <w:uiPriority w:val="0"/>
    <w:pPr>
      <w:adjustRightInd/>
      <w:spacing w:line="240" w:lineRule="auto"/>
      <w:ind w:left="600" w:leftChars="600"/>
      <w:textAlignment w:val="auto"/>
    </w:pPr>
    <w:rPr>
      <w:rFonts w:ascii="Times New Roman" w:hAnsi="Times New Roman"/>
      <w:kern w:val="2"/>
      <w:sz w:val="21"/>
      <w:szCs w:val="24"/>
    </w:rPr>
  </w:style>
  <w:style w:type="paragraph" w:styleId="20">
    <w:name w:val="toc 5"/>
    <w:basedOn w:val="1"/>
    <w:next w:val="1"/>
    <w:qFormat/>
    <w:uiPriority w:val="39"/>
    <w:pPr>
      <w:adjustRightInd/>
      <w:spacing w:line="240" w:lineRule="auto"/>
      <w:ind w:left="800" w:leftChars="800"/>
      <w:textAlignment w:val="auto"/>
    </w:pPr>
    <w:rPr>
      <w:kern w:val="2"/>
      <w:sz w:val="21"/>
      <w:szCs w:val="24"/>
    </w:rPr>
  </w:style>
  <w:style w:type="paragraph" w:styleId="21">
    <w:name w:val="toc 3"/>
    <w:basedOn w:val="1"/>
    <w:next w:val="1"/>
    <w:qFormat/>
    <w:uiPriority w:val="39"/>
    <w:pPr>
      <w:ind w:left="400" w:leftChars="400"/>
    </w:pPr>
    <w:rPr>
      <w:sz w:val="21"/>
    </w:rPr>
  </w:style>
  <w:style w:type="paragraph" w:styleId="22">
    <w:name w:val="Plain Text"/>
    <w:basedOn w:val="1"/>
    <w:link w:val="100"/>
    <w:qFormat/>
    <w:uiPriority w:val="0"/>
    <w:pPr>
      <w:adjustRightInd/>
      <w:spacing w:line="240" w:lineRule="auto"/>
      <w:textAlignment w:val="auto"/>
    </w:pPr>
    <w:rPr>
      <w:rFonts w:ascii="宋体" w:hAnsi="Courier New" w:cs="Courier New"/>
      <w:kern w:val="2"/>
      <w:sz w:val="21"/>
      <w:szCs w:val="21"/>
    </w:rPr>
  </w:style>
  <w:style w:type="paragraph" w:styleId="23">
    <w:name w:val="toc 8"/>
    <w:basedOn w:val="1"/>
    <w:next w:val="1"/>
    <w:qFormat/>
    <w:uiPriority w:val="39"/>
    <w:pPr>
      <w:adjustRightInd/>
      <w:spacing w:line="240" w:lineRule="auto"/>
      <w:ind w:left="2940" w:leftChars="1400"/>
      <w:textAlignment w:val="auto"/>
    </w:pPr>
    <w:rPr>
      <w:kern w:val="2"/>
      <w:sz w:val="21"/>
      <w:szCs w:val="22"/>
    </w:rPr>
  </w:style>
  <w:style w:type="paragraph" w:styleId="24">
    <w:name w:val="Date"/>
    <w:basedOn w:val="1"/>
    <w:next w:val="1"/>
    <w:link w:val="95"/>
    <w:qFormat/>
    <w:uiPriority w:val="0"/>
    <w:pPr>
      <w:adjustRightInd/>
      <w:spacing w:line="240" w:lineRule="auto"/>
      <w:ind w:left="100" w:leftChars="2500"/>
      <w:textAlignment w:val="auto"/>
    </w:pPr>
    <w:rPr>
      <w:rFonts w:ascii="宋体" w:hAnsi="Times New Roman" w:eastAsiaTheme="minorEastAsia" w:cstheme="minorBidi"/>
      <w:kern w:val="2"/>
      <w:sz w:val="28"/>
      <w:szCs w:val="22"/>
    </w:rPr>
  </w:style>
  <w:style w:type="paragraph" w:styleId="25">
    <w:name w:val="Body Text Indent 2"/>
    <w:basedOn w:val="1"/>
    <w:link w:val="71"/>
    <w:unhideWhenUsed/>
    <w:qFormat/>
    <w:uiPriority w:val="0"/>
    <w:pPr>
      <w:spacing w:after="120" w:line="480" w:lineRule="auto"/>
      <w:ind w:left="420" w:leftChars="200"/>
    </w:pPr>
  </w:style>
  <w:style w:type="paragraph" w:styleId="26">
    <w:name w:val="Balloon Text"/>
    <w:basedOn w:val="1"/>
    <w:link w:val="99"/>
    <w:qFormat/>
    <w:uiPriority w:val="0"/>
    <w:pPr>
      <w:adjustRightInd/>
      <w:spacing w:line="240" w:lineRule="auto"/>
      <w:textAlignment w:val="auto"/>
    </w:pPr>
    <w:rPr>
      <w:rFonts w:ascii="宋体" w:hAnsi="Times New Roman" w:eastAsiaTheme="minorEastAsia" w:cstheme="minorBidi"/>
      <w:kern w:val="2"/>
      <w:sz w:val="18"/>
      <w:szCs w:val="18"/>
    </w:rPr>
  </w:style>
  <w:style w:type="paragraph" w:styleId="27">
    <w:name w:val="footer"/>
    <w:basedOn w:val="1"/>
    <w:link w:val="60"/>
    <w:unhideWhenUsed/>
    <w:qFormat/>
    <w:uiPriority w:val="0"/>
    <w:pPr>
      <w:tabs>
        <w:tab w:val="center" w:pos="4153"/>
        <w:tab w:val="right" w:pos="8306"/>
      </w:tabs>
      <w:snapToGrid w:val="0"/>
      <w:spacing w:line="240" w:lineRule="atLeast"/>
      <w:jc w:val="left"/>
    </w:pPr>
    <w:rPr>
      <w:sz w:val="18"/>
      <w:szCs w:val="18"/>
    </w:rPr>
  </w:style>
  <w:style w:type="paragraph" w:styleId="28">
    <w:name w:val="header"/>
    <w:basedOn w:val="1"/>
    <w:link w:val="5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9">
    <w:name w:val="toc 1"/>
    <w:basedOn w:val="1"/>
    <w:next w:val="1"/>
    <w:qFormat/>
    <w:uiPriority w:val="39"/>
    <w:pPr>
      <w:spacing w:line="360" w:lineRule="auto"/>
    </w:pPr>
    <w:rPr>
      <w:b/>
      <w:sz w:val="24"/>
    </w:rPr>
  </w:style>
  <w:style w:type="paragraph" w:styleId="30">
    <w:name w:val="toc 4"/>
    <w:basedOn w:val="1"/>
    <w:next w:val="1"/>
    <w:qFormat/>
    <w:uiPriority w:val="39"/>
    <w:pPr>
      <w:tabs>
        <w:tab w:val="left" w:pos="1890"/>
        <w:tab w:val="right" w:leader="dot" w:pos="8296"/>
      </w:tabs>
      <w:adjustRightInd/>
      <w:spacing w:line="240" w:lineRule="auto"/>
      <w:ind w:left="630" w:leftChars="300"/>
      <w:textAlignment w:val="auto"/>
    </w:pPr>
    <w:rPr>
      <w:kern w:val="2"/>
      <w:sz w:val="21"/>
      <w:szCs w:val="22"/>
    </w:rPr>
  </w:style>
  <w:style w:type="paragraph" w:styleId="31">
    <w:name w:val="Subtitle"/>
    <w:basedOn w:val="1"/>
    <w:next w:val="1"/>
    <w:link w:val="93"/>
    <w:qFormat/>
    <w:uiPriority w:val="0"/>
    <w:pPr>
      <w:adjustRightInd/>
      <w:spacing w:before="240" w:after="60" w:line="312" w:lineRule="auto"/>
      <w:jc w:val="center"/>
      <w:textAlignment w:val="auto"/>
      <w:outlineLvl w:val="1"/>
    </w:pPr>
    <w:rPr>
      <w:rFonts w:ascii="Cambria" w:hAnsi="Cambria" w:eastAsiaTheme="minorEastAsia"/>
      <w:b/>
      <w:bCs/>
      <w:kern w:val="28"/>
      <w:sz w:val="32"/>
      <w:szCs w:val="32"/>
    </w:rPr>
  </w:style>
  <w:style w:type="paragraph" w:styleId="32">
    <w:name w:val="footnote text"/>
    <w:basedOn w:val="1"/>
    <w:link w:val="103"/>
    <w:unhideWhenUsed/>
    <w:qFormat/>
    <w:uiPriority w:val="0"/>
    <w:pPr>
      <w:snapToGrid w:val="0"/>
      <w:jc w:val="left"/>
    </w:pPr>
    <w:rPr>
      <w:sz w:val="18"/>
      <w:szCs w:val="18"/>
    </w:rPr>
  </w:style>
  <w:style w:type="paragraph" w:styleId="33">
    <w:name w:val="toc 6"/>
    <w:basedOn w:val="1"/>
    <w:next w:val="1"/>
    <w:qFormat/>
    <w:uiPriority w:val="39"/>
    <w:pPr>
      <w:adjustRightInd/>
      <w:spacing w:line="240" w:lineRule="auto"/>
      <w:ind w:left="2100" w:leftChars="1000"/>
      <w:textAlignment w:val="auto"/>
    </w:pPr>
    <w:rPr>
      <w:kern w:val="2"/>
      <w:sz w:val="21"/>
      <w:szCs w:val="22"/>
    </w:rPr>
  </w:style>
  <w:style w:type="paragraph" w:styleId="34">
    <w:name w:val="toc 2"/>
    <w:basedOn w:val="1"/>
    <w:next w:val="1"/>
    <w:qFormat/>
    <w:uiPriority w:val="39"/>
    <w:pPr>
      <w:spacing w:line="240" w:lineRule="auto"/>
      <w:ind w:left="200" w:leftChars="200"/>
    </w:pPr>
    <w:rPr>
      <w:b/>
      <w:sz w:val="21"/>
    </w:rPr>
  </w:style>
  <w:style w:type="paragraph" w:styleId="35">
    <w:name w:val="toc 9"/>
    <w:basedOn w:val="1"/>
    <w:next w:val="1"/>
    <w:qFormat/>
    <w:uiPriority w:val="39"/>
    <w:pPr>
      <w:adjustRightInd/>
      <w:spacing w:line="240" w:lineRule="auto"/>
      <w:ind w:left="3360" w:leftChars="1600"/>
      <w:textAlignment w:val="auto"/>
    </w:pPr>
    <w:rPr>
      <w:kern w:val="2"/>
      <w:sz w:val="21"/>
      <w:szCs w:val="22"/>
    </w:rPr>
  </w:style>
  <w:style w:type="paragraph" w:styleId="36">
    <w:name w:val="Normal (Web)"/>
    <w:basedOn w:val="1"/>
    <w:qFormat/>
    <w:uiPriority w:val="0"/>
    <w:pPr>
      <w:widowControl/>
      <w:adjustRightInd/>
      <w:spacing w:before="100" w:beforeAutospacing="1" w:after="100" w:afterAutospacing="1" w:line="320" w:lineRule="atLeast"/>
      <w:jc w:val="left"/>
      <w:textAlignment w:val="auto"/>
    </w:pPr>
    <w:rPr>
      <w:rFonts w:ascii="宋体" w:hAnsi="宋体"/>
      <w:sz w:val="18"/>
      <w:szCs w:val="18"/>
    </w:rPr>
  </w:style>
  <w:style w:type="paragraph" w:styleId="37">
    <w:name w:val="Title"/>
    <w:basedOn w:val="1"/>
    <w:next w:val="1"/>
    <w:link w:val="96"/>
    <w:qFormat/>
    <w:uiPriority w:val="0"/>
    <w:pPr>
      <w:adjustRightInd/>
      <w:spacing w:before="240" w:after="60" w:line="240" w:lineRule="auto"/>
      <w:jc w:val="center"/>
      <w:textAlignment w:val="auto"/>
      <w:outlineLvl w:val="0"/>
    </w:pPr>
    <w:rPr>
      <w:rFonts w:ascii="Cambria" w:hAnsi="Cambria" w:eastAsiaTheme="minorEastAsia"/>
      <w:b/>
      <w:bCs/>
      <w:kern w:val="2"/>
      <w:sz w:val="32"/>
      <w:szCs w:val="32"/>
    </w:rPr>
  </w:style>
  <w:style w:type="paragraph" w:styleId="38">
    <w:name w:val="annotation subject"/>
    <w:basedOn w:val="16"/>
    <w:next w:val="16"/>
    <w:link w:val="98"/>
    <w:qFormat/>
    <w:uiPriority w:val="0"/>
    <w:rPr>
      <w:rFonts w:ascii="宋体" w:hAnsi="Times New Roman"/>
      <w:b/>
      <w:bCs/>
      <w:sz w:val="28"/>
    </w:rPr>
  </w:style>
  <w:style w:type="paragraph" w:styleId="39">
    <w:name w:val="Body Text First Indent"/>
    <w:basedOn w:val="17"/>
    <w:link w:val="127"/>
    <w:semiHidden/>
    <w:unhideWhenUsed/>
    <w:qFormat/>
    <w:uiPriority w:val="99"/>
    <w:pPr>
      <w:ind w:firstLine="420" w:firstLineChars="100"/>
    </w:pPr>
  </w:style>
  <w:style w:type="paragraph" w:styleId="40">
    <w:name w:val="Body Text First Indent 2"/>
    <w:basedOn w:val="18"/>
    <w:link w:val="125"/>
    <w:unhideWhenUsed/>
    <w:qFormat/>
    <w:uiPriority w:val="99"/>
    <w:pPr>
      <w:ind w:firstLine="420" w:firstLineChars="200"/>
    </w:p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qFormat/>
    <w:uiPriority w:val="0"/>
    <w:rPr>
      <w:rFonts w:cs="Times New Roman"/>
      <w:sz w:val="21"/>
      <w:szCs w:val="21"/>
      <w:lang w:bidi="ar-SA"/>
    </w:rPr>
  </w:style>
  <w:style w:type="character" w:styleId="49">
    <w:name w:val="footnote reference"/>
    <w:basedOn w:val="43"/>
    <w:unhideWhenUsed/>
    <w:qFormat/>
    <w:uiPriority w:val="0"/>
    <w:rPr>
      <w:vertAlign w:val="superscript"/>
    </w:rPr>
  </w:style>
  <w:style w:type="paragraph" w:customStyle="1" w:styleId="50">
    <w:name w:val="1.正文"/>
    <w:qFormat/>
    <w:uiPriority w:val="99"/>
    <w:pPr>
      <w:widowControl w:val="0"/>
      <w:jc w:val="both"/>
    </w:pPr>
    <w:rPr>
      <w:rFonts w:ascii="仿宋_GB2312" w:hAnsi="Calibri" w:eastAsia="仿宋_GB2312" w:cs="仿宋_GB2312"/>
      <w:color w:val="000000"/>
      <w:sz w:val="34"/>
      <w:szCs w:val="22"/>
      <w:lang w:val="en-US" w:eastAsia="zh-CN" w:bidi="ar-SA"/>
    </w:rPr>
  </w:style>
  <w:style w:type="character" w:customStyle="1" w:styleId="51">
    <w:name w:val="标题 1 Char"/>
    <w:basedOn w:val="43"/>
    <w:link w:val="2"/>
    <w:qFormat/>
    <w:uiPriority w:val="0"/>
    <w:rPr>
      <w:rFonts w:ascii="Calibri" w:hAnsi="Calibri" w:eastAsia="宋体" w:cs="Times New Roman"/>
      <w:b/>
      <w:bCs/>
      <w:kern w:val="44"/>
      <w:sz w:val="44"/>
      <w:szCs w:val="44"/>
    </w:rPr>
  </w:style>
  <w:style w:type="character" w:customStyle="1" w:styleId="52">
    <w:name w:val="标题 2 Char"/>
    <w:basedOn w:val="43"/>
    <w:link w:val="3"/>
    <w:qFormat/>
    <w:uiPriority w:val="0"/>
    <w:rPr>
      <w:rFonts w:asciiTheme="majorHAnsi" w:hAnsiTheme="majorHAnsi" w:eastAsiaTheme="majorEastAsia" w:cstheme="majorBidi"/>
      <w:b/>
      <w:bCs/>
      <w:kern w:val="0"/>
      <w:sz w:val="32"/>
      <w:szCs w:val="32"/>
    </w:rPr>
  </w:style>
  <w:style w:type="character" w:customStyle="1" w:styleId="53">
    <w:name w:val="标题 3 Char"/>
    <w:basedOn w:val="43"/>
    <w:link w:val="4"/>
    <w:qFormat/>
    <w:uiPriority w:val="0"/>
    <w:rPr>
      <w:rFonts w:ascii="Calibri" w:hAnsi="Calibri" w:eastAsia="宋体" w:cs="Times New Roman"/>
      <w:b/>
      <w:bCs/>
      <w:kern w:val="0"/>
      <w:sz w:val="32"/>
      <w:szCs w:val="32"/>
    </w:rPr>
  </w:style>
  <w:style w:type="character" w:customStyle="1" w:styleId="54">
    <w:name w:val="标题 4 Char"/>
    <w:basedOn w:val="43"/>
    <w:link w:val="5"/>
    <w:qFormat/>
    <w:uiPriority w:val="0"/>
    <w:rPr>
      <w:rFonts w:asciiTheme="majorHAnsi" w:hAnsiTheme="majorHAnsi" w:eastAsiaTheme="majorEastAsia" w:cstheme="majorBidi"/>
      <w:b/>
      <w:bCs/>
      <w:kern w:val="0"/>
      <w:sz w:val="28"/>
      <w:szCs w:val="28"/>
    </w:rPr>
  </w:style>
  <w:style w:type="character" w:customStyle="1" w:styleId="55">
    <w:name w:val="标题 5 Char"/>
    <w:basedOn w:val="43"/>
    <w:link w:val="6"/>
    <w:qFormat/>
    <w:uiPriority w:val="0"/>
    <w:rPr>
      <w:rFonts w:ascii="Calibri" w:hAnsi="Calibri" w:eastAsia="宋体" w:cs="Times New Roman"/>
      <w:b/>
      <w:bCs/>
      <w:kern w:val="0"/>
      <w:sz w:val="28"/>
      <w:szCs w:val="28"/>
    </w:rPr>
  </w:style>
  <w:style w:type="character" w:customStyle="1" w:styleId="56">
    <w:name w:val="正文缩进 Char"/>
    <w:link w:val="13"/>
    <w:qFormat/>
    <w:uiPriority w:val="0"/>
  </w:style>
  <w:style w:type="paragraph" w:customStyle="1" w:styleId="5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58">
    <w:name w:val="标题 2 Char Char"/>
    <w:basedOn w:val="43"/>
    <w:qFormat/>
    <w:uiPriority w:val="0"/>
    <w:rPr>
      <w:rFonts w:hint="default" w:ascii="Arial" w:hAnsi="Arial"/>
      <w:b/>
      <w:bCs/>
    </w:rPr>
  </w:style>
  <w:style w:type="character" w:customStyle="1" w:styleId="59">
    <w:name w:val="页眉 Char"/>
    <w:basedOn w:val="43"/>
    <w:link w:val="28"/>
    <w:qFormat/>
    <w:uiPriority w:val="0"/>
    <w:rPr>
      <w:rFonts w:ascii="Calibri" w:hAnsi="Calibri" w:eastAsia="宋体" w:cs="Times New Roman"/>
      <w:kern w:val="0"/>
      <w:sz w:val="18"/>
      <w:szCs w:val="18"/>
    </w:rPr>
  </w:style>
  <w:style w:type="character" w:customStyle="1" w:styleId="60">
    <w:name w:val="页脚 Char"/>
    <w:basedOn w:val="43"/>
    <w:link w:val="27"/>
    <w:qFormat/>
    <w:uiPriority w:val="0"/>
    <w:rPr>
      <w:rFonts w:ascii="Calibri" w:hAnsi="Calibri" w:eastAsia="宋体" w:cs="Times New Roman"/>
      <w:kern w:val="0"/>
      <w:sz w:val="18"/>
      <w:szCs w:val="18"/>
    </w:rPr>
  </w:style>
  <w:style w:type="character" w:customStyle="1" w:styleId="61">
    <w:name w:val="正文文本 Char"/>
    <w:basedOn w:val="43"/>
    <w:link w:val="17"/>
    <w:qFormat/>
    <w:uiPriority w:val="0"/>
    <w:rPr>
      <w:rFonts w:ascii="Calibri" w:hAnsi="Calibri" w:eastAsia="宋体" w:cs="Times New Roman"/>
      <w:kern w:val="0"/>
      <w:sz w:val="20"/>
      <w:szCs w:val="20"/>
    </w:rPr>
  </w:style>
  <w:style w:type="paragraph" w:customStyle="1" w:styleId="62">
    <w:name w:val="列出段落3"/>
    <w:basedOn w:val="1"/>
    <w:qFormat/>
    <w:uiPriority w:val="99"/>
    <w:pPr>
      <w:ind w:firstLine="420" w:firstLineChars="200"/>
    </w:pPr>
  </w:style>
  <w:style w:type="character" w:customStyle="1" w:styleId="63">
    <w:name w:val="正文文本 Char1"/>
    <w:basedOn w:val="43"/>
    <w:link w:val="17"/>
    <w:qFormat/>
    <w:uiPriority w:val="0"/>
    <w:rPr>
      <w:rFonts w:ascii="Calibri" w:hAnsi="Calibri" w:eastAsia="宋体" w:cs="Times New Roman"/>
      <w:kern w:val="0"/>
      <w:sz w:val="20"/>
      <w:szCs w:val="20"/>
    </w:rPr>
  </w:style>
  <w:style w:type="character" w:customStyle="1" w:styleId="64">
    <w:name w:val="正文文本缩进 Char"/>
    <w:basedOn w:val="43"/>
    <w:link w:val="18"/>
    <w:semiHidden/>
    <w:qFormat/>
    <w:uiPriority w:val="99"/>
    <w:rPr>
      <w:rFonts w:ascii="Calibri" w:hAnsi="Calibri" w:eastAsia="宋体" w:cs="Times New Roman"/>
      <w:kern w:val="0"/>
      <w:sz w:val="20"/>
      <w:szCs w:val="20"/>
    </w:rPr>
  </w:style>
  <w:style w:type="paragraph" w:customStyle="1" w:styleId="65">
    <w:name w:val="CM91"/>
    <w:basedOn w:val="57"/>
    <w:next w:val="57"/>
    <w:qFormat/>
    <w:uiPriority w:val="0"/>
    <w:pPr>
      <w:spacing w:after="160"/>
    </w:pPr>
    <w:rPr>
      <w:rFonts w:ascii="宋体" w:hAnsi="Calibri" w:eastAsia="宋体" w:cs="Times New Roman"/>
      <w:color w:val="auto"/>
      <w:szCs w:val="20"/>
    </w:rPr>
  </w:style>
  <w:style w:type="paragraph" w:customStyle="1" w:styleId="66">
    <w:name w:val="CM99"/>
    <w:basedOn w:val="57"/>
    <w:next w:val="57"/>
    <w:qFormat/>
    <w:uiPriority w:val="0"/>
    <w:pPr>
      <w:spacing w:after="443"/>
    </w:pPr>
    <w:rPr>
      <w:rFonts w:ascii="宋体" w:hAnsi="Calibri" w:eastAsia="宋体" w:cs="Times New Roman"/>
      <w:color w:val="auto"/>
      <w:szCs w:val="20"/>
    </w:rPr>
  </w:style>
  <w:style w:type="character" w:customStyle="1" w:styleId="67">
    <w:name w:val="unnamed11"/>
    <w:qFormat/>
    <w:uiPriority w:val="0"/>
    <w:rPr>
      <w:sz w:val="21"/>
    </w:rPr>
  </w:style>
  <w:style w:type="paragraph" w:customStyle="1" w:styleId="68">
    <w:name w:val="列出段落1"/>
    <w:basedOn w:val="1"/>
    <w:qFormat/>
    <w:uiPriority w:val="0"/>
    <w:pPr>
      <w:autoSpaceDE w:val="0"/>
      <w:autoSpaceDN w:val="0"/>
      <w:adjustRightInd/>
      <w:spacing w:line="240" w:lineRule="auto"/>
      <w:ind w:left="240" w:firstLine="420"/>
      <w:jc w:val="left"/>
      <w:textAlignment w:val="auto"/>
    </w:pPr>
    <w:rPr>
      <w:rFonts w:ascii="宋体" w:hAnsi="Times New Roman" w:cs="宋体"/>
      <w:sz w:val="22"/>
      <w:szCs w:val="22"/>
      <w:lang w:val="zh-CN" w:bidi="zh-CN"/>
    </w:rPr>
  </w:style>
  <w:style w:type="paragraph" w:customStyle="1" w:styleId="69">
    <w:name w:val="_Style 3"/>
    <w:basedOn w:val="1"/>
    <w:qFormat/>
    <w:uiPriority w:val="99"/>
    <w:pPr>
      <w:adjustRightInd/>
      <w:spacing w:line="240" w:lineRule="auto"/>
      <w:ind w:firstLine="420" w:firstLineChars="200"/>
      <w:textAlignment w:val="auto"/>
    </w:pPr>
    <w:rPr>
      <w:kern w:val="2"/>
      <w:sz w:val="21"/>
      <w:szCs w:val="24"/>
    </w:rPr>
  </w:style>
  <w:style w:type="paragraph" w:styleId="70">
    <w:name w:val="List Paragraph"/>
    <w:basedOn w:val="1"/>
    <w:qFormat/>
    <w:uiPriority w:val="0"/>
    <w:pPr>
      <w:ind w:firstLine="420" w:firstLineChars="200"/>
    </w:pPr>
  </w:style>
  <w:style w:type="character" w:customStyle="1" w:styleId="71">
    <w:name w:val="正文文本缩进 2 Char"/>
    <w:basedOn w:val="43"/>
    <w:link w:val="25"/>
    <w:semiHidden/>
    <w:qFormat/>
    <w:uiPriority w:val="99"/>
    <w:rPr>
      <w:rFonts w:ascii="Calibri" w:hAnsi="Calibri" w:eastAsia="宋体" w:cs="Times New Roman"/>
      <w:kern w:val="0"/>
      <w:sz w:val="20"/>
      <w:szCs w:val="20"/>
    </w:rPr>
  </w:style>
  <w:style w:type="character" w:customStyle="1" w:styleId="72">
    <w:name w:val="标题 6 Char"/>
    <w:basedOn w:val="43"/>
    <w:link w:val="7"/>
    <w:qFormat/>
    <w:uiPriority w:val="0"/>
    <w:rPr>
      <w:rFonts w:ascii="Cambria" w:hAnsi="Cambria" w:eastAsia="宋体" w:cs="Times New Roman"/>
      <w:b/>
      <w:bCs/>
      <w:sz w:val="24"/>
      <w:szCs w:val="24"/>
    </w:rPr>
  </w:style>
  <w:style w:type="character" w:customStyle="1" w:styleId="73">
    <w:name w:val="标题 7 Char"/>
    <w:basedOn w:val="43"/>
    <w:link w:val="8"/>
    <w:qFormat/>
    <w:uiPriority w:val="0"/>
    <w:rPr>
      <w:rFonts w:ascii="Calibri" w:hAnsi="Calibri" w:eastAsia="宋体" w:cs="Times New Roman"/>
      <w:b/>
      <w:bCs/>
      <w:sz w:val="24"/>
      <w:szCs w:val="24"/>
    </w:rPr>
  </w:style>
  <w:style w:type="character" w:customStyle="1" w:styleId="74">
    <w:name w:val="标题 8 Char"/>
    <w:basedOn w:val="43"/>
    <w:link w:val="9"/>
    <w:qFormat/>
    <w:uiPriority w:val="0"/>
    <w:rPr>
      <w:rFonts w:ascii="Cambria" w:hAnsi="Cambria" w:eastAsia="宋体" w:cs="Times New Roman"/>
      <w:sz w:val="24"/>
      <w:szCs w:val="24"/>
    </w:rPr>
  </w:style>
  <w:style w:type="character" w:customStyle="1" w:styleId="75">
    <w:name w:val="标题 9 Char"/>
    <w:basedOn w:val="43"/>
    <w:link w:val="10"/>
    <w:qFormat/>
    <w:uiPriority w:val="0"/>
    <w:rPr>
      <w:rFonts w:ascii="Cambria" w:hAnsi="Cambria" w:eastAsia="宋体" w:cs="Times New Roman"/>
      <w:szCs w:val="21"/>
    </w:rPr>
  </w:style>
  <w:style w:type="character" w:customStyle="1" w:styleId="76">
    <w:name w:val="标题5 Char Char"/>
    <w:link w:val="77"/>
    <w:qFormat/>
    <w:uiPriority w:val="0"/>
    <w:rPr>
      <w:rFonts w:ascii="Arial" w:hAnsi="Arial"/>
      <w:b/>
      <w:bCs/>
      <w:sz w:val="24"/>
      <w:szCs w:val="32"/>
    </w:rPr>
  </w:style>
  <w:style w:type="paragraph" w:customStyle="1" w:styleId="77">
    <w:name w:val="标题5"/>
    <w:basedOn w:val="4"/>
    <w:link w:val="76"/>
    <w:qFormat/>
    <w:uiPriority w:val="0"/>
    <w:pPr>
      <w:adjustRightInd/>
      <w:spacing w:line="413" w:lineRule="auto"/>
      <w:textAlignment w:val="auto"/>
    </w:pPr>
    <w:rPr>
      <w:rFonts w:ascii="Arial" w:hAnsi="Arial" w:eastAsiaTheme="minorEastAsia" w:cstheme="minorBidi"/>
      <w:kern w:val="2"/>
      <w:sz w:val="24"/>
    </w:rPr>
  </w:style>
  <w:style w:type="character" w:customStyle="1" w:styleId="78">
    <w:name w:val="标题 Char"/>
    <w:link w:val="37"/>
    <w:qFormat/>
    <w:uiPriority w:val="0"/>
    <w:rPr>
      <w:rFonts w:ascii="Cambria" w:hAnsi="Cambria" w:cs="Times New Roman"/>
      <w:b/>
      <w:bCs/>
      <w:sz w:val="32"/>
      <w:szCs w:val="32"/>
    </w:rPr>
  </w:style>
  <w:style w:type="character" w:customStyle="1" w:styleId="79">
    <w:name w:val="标题4 Char Char"/>
    <w:link w:val="80"/>
    <w:qFormat/>
    <w:uiPriority w:val="0"/>
    <w:rPr>
      <w:rFonts w:ascii="Arial" w:hAnsi="Arial"/>
      <w:b/>
      <w:bCs/>
      <w:sz w:val="24"/>
      <w:szCs w:val="32"/>
    </w:rPr>
  </w:style>
  <w:style w:type="paragraph" w:customStyle="1" w:styleId="80">
    <w:name w:val="标题4"/>
    <w:basedOn w:val="3"/>
    <w:next w:val="19"/>
    <w:link w:val="79"/>
    <w:qFormat/>
    <w:uiPriority w:val="0"/>
    <w:pPr>
      <w:adjustRightInd/>
      <w:spacing w:line="413" w:lineRule="auto"/>
      <w:textAlignment w:val="auto"/>
    </w:pPr>
    <w:rPr>
      <w:rFonts w:ascii="Arial" w:hAnsi="Arial" w:eastAsiaTheme="minorEastAsia" w:cstheme="minorBidi"/>
      <w:kern w:val="2"/>
      <w:sz w:val="24"/>
    </w:rPr>
  </w:style>
  <w:style w:type="character" w:customStyle="1" w:styleId="81">
    <w:name w:val="日期 Char"/>
    <w:link w:val="24"/>
    <w:qFormat/>
    <w:uiPriority w:val="0"/>
    <w:rPr>
      <w:rFonts w:ascii="宋体" w:hAnsi="Times New Roman"/>
      <w:sz w:val="28"/>
    </w:rPr>
  </w:style>
  <w:style w:type="character" w:customStyle="1" w:styleId="82">
    <w:name w:val="明显引用 Char"/>
    <w:qFormat/>
    <w:uiPriority w:val="0"/>
    <w:rPr>
      <w:b/>
      <w:bCs/>
      <w:i/>
      <w:iCs/>
      <w:color w:val="4F81BD"/>
    </w:rPr>
  </w:style>
  <w:style w:type="paragraph" w:styleId="83">
    <w:name w:val="Intense Quote"/>
    <w:basedOn w:val="1"/>
    <w:next w:val="1"/>
    <w:link w:val="92"/>
    <w:qFormat/>
    <w:uiPriority w:val="0"/>
    <w:pPr>
      <w:pBdr>
        <w:bottom w:val="single" w:color="4F81BD" w:sz="4" w:space="4"/>
      </w:pBdr>
      <w:adjustRightInd/>
      <w:spacing w:before="200" w:after="280" w:line="240" w:lineRule="auto"/>
      <w:ind w:left="936" w:right="936"/>
      <w:textAlignment w:val="auto"/>
    </w:pPr>
    <w:rPr>
      <w:rFonts w:asciiTheme="minorHAnsi" w:hAnsiTheme="minorHAnsi" w:eastAsiaTheme="minorEastAsia" w:cstheme="minorBidi"/>
      <w:b/>
      <w:bCs/>
      <w:i/>
      <w:iCs/>
      <w:color w:val="4F81BD"/>
      <w:kern w:val="2"/>
      <w:sz w:val="21"/>
      <w:szCs w:val="22"/>
    </w:rPr>
  </w:style>
  <w:style w:type="character" w:customStyle="1" w:styleId="84">
    <w:name w:val="文档结构图 Char"/>
    <w:link w:val="15"/>
    <w:qFormat/>
    <w:uiPriority w:val="0"/>
    <w:rPr>
      <w:rFonts w:ascii="Times New Roman" w:hAnsi="Times New Roman"/>
      <w:szCs w:val="24"/>
      <w:shd w:val="clear" w:color="auto" w:fill="000080"/>
    </w:rPr>
  </w:style>
  <w:style w:type="character" w:customStyle="1" w:styleId="85">
    <w:name w:val="批注框文本 Char"/>
    <w:link w:val="26"/>
    <w:qFormat/>
    <w:uiPriority w:val="0"/>
    <w:rPr>
      <w:rFonts w:ascii="宋体" w:hAnsi="Times New Roman"/>
      <w:sz w:val="18"/>
      <w:szCs w:val="18"/>
    </w:rPr>
  </w:style>
  <w:style w:type="character" w:customStyle="1" w:styleId="86">
    <w:name w:val="副标题 Char"/>
    <w:link w:val="31"/>
    <w:qFormat/>
    <w:uiPriority w:val="0"/>
    <w:rPr>
      <w:rFonts w:ascii="Cambria" w:hAnsi="Cambria" w:cs="Times New Roman"/>
      <w:b/>
      <w:bCs/>
      <w:kern w:val="28"/>
      <w:sz w:val="32"/>
      <w:szCs w:val="32"/>
    </w:rPr>
  </w:style>
  <w:style w:type="character" w:customStyle="1" w:styleId="87">
    <w:name w:val="批注主题 Char"/>
    <w:link w:val="38"/>
    <w:qFormat/>
    <w:uiPriority w:val="0"/>
    <w:rPr>
      <w:rFonts w:ascii="宋体" w:hAnsi="Times New Roman"/>
      <w:b/>
      <w:bCs/>
      <w:sz w:val="28"/>
    </w:rPr>
  </w:style>
  <w:style w:type="character" w:customStyle="1" w:styleId="88">
    <w:name w:val="批注文字 Char"/>
    <w:link w:val="16"/>
    <w:qFormat/>
    <w:uiPriority w:val="0"/>
  </w:style>
  <w:style w:type="character" w:customStyle="1" w:styleId="89">
    <w:name w:val="引用 Char"/>
    <w:qFormat/>
    <w:uiPriority w:val="0"/>
    <w:rPr>
      <w:i/>
      <w:iCs/>
      <w:color w:val="000000"/>
    </w:rPr>
  </w:style>
  <w:style w:type="paragraph" w:styleId="90">
    <w:name w:val="Quote"/>
    <w:basedOn w:val="1"/>
    <w:next w:val="1"/>
    <w:link w:val="91"/>
    <w:qFormat/>
    <w:uiPriority w:val="0"/>
    <w:pPr>
      <w:adjustRightInd/>
      <w:spacing w:line="240" w:lineRule="auto"/>
      <w:textAlignment w:val="auto"/>
    </w:pPr>
    <w:rPr>
      <w:rFonts w:asciiTheme="minorHAnsi" w:hAnsiTheme="minorHAnsi" w:eastAsiaTheme="minorEastAsia" w:cstheme="minorBidi"/>
      <w:i/>
      <w:iCs/>
      <w:color w:val="000000"/>
      <w:kern w:val="2"/>
      <w:sz w:val="21"/>
      <w:szCs w:val="22"/>
    </w:rPr>
  </w:style>
  <w:style w:type="character" w:customStyle="1" w:styleId="91">
    <w:name w:val="引用 Char1"/>
    <w:basedOn w:val="43"/>
    <w:link w:val="90"/>
    <w:qFormat/>
    <w:uiPriority w:val="29"/>
    <w:rPr>
      <w:rFonts w:ascii="Calibri" w:hAnsi="Calibri" w:eastAsia="宋体" w:cs="Times New Roman"/>
      <w:i/>
      <w:iCs/>
      <w:color w:val="000000" w:themeColor="text1"/>
      <w:kern w:val="0"/>
      <w:sz w:val="20"/>
      <w:szCs w:val="20"/>
      <w14:textFill>
        <w14:solidFill>
          <w14:schemeClr w14:val="tx1"/>
        </w14:solidFill>
      </w14:textFill>
    </w:rPr>
  </w:style>
  <w:style w:type="character" w:customStyle="1" w:styleId="92">
    <w:name w:val="明显引用 Char1"/>
    <w:basedOn w:val="43"/>
    <w:link w:val="83"/>
    <w:qFormat/>
    <w:uiPriority w:val="30"/>
    <w:rPr>
      <w:rFonts w:ascii="Calibri" w:hAnsi="Calibri" w:eastAsia="宋体" w:cs="Times New Roman"/>
      <w:b/>
      <w:bCs/>
      <w:i/>
      <w:iCs/>
      <w:color w:val="4F81BD" w:themeColor="accent1"/>
      <w:kern w:val="0"/>
      <w:sz w:val="20"/>
      <w:szCs w:val="20"/>
      <w14:textFill>
        <w14:solidFill>
          <w14:schemeClr w14:val="accent1"/>
        </w14:solidFill>
      </w14:textFill>
    </w:rPr>
  </w:style>
  <w:style w:type="character" w:customStyle="1" w:styleId="93">
    <w:name w:val="副标题 Char1"/>
    <w:basedOn w:val="43"/>
    <w:link w:val="31"/>
    <w:qFormat/>
    <w:uiPriority w:val="0"/>
    <w:rPr>
      <w:rFonts w:eastAsia="宋体" w:asciiTheme="majorHAnsi" w:hAnsiTheme="majorHAnsi" w:cstheme="majorBidi"/>
      <w:b/>
      <w:bCs/>
      <w:kern w:val="28"/>
      <w:sz w:val="32"/>
      <w:szCs w:val="32"/>
    </w:rPr>
  </w:style>
  <w:style w:type="character" w:customStyle="1" w:styleId="94">
    <w:name w:val="文档结构图 Char2"/>
    <w:basedOn w:val="43"/>
    <w:link w:val="15"/>
    <w:semiHidden/>
    <w:qFormat/>
    <w:uiPriority w:val="99"/>
    <w:rPr>
      <w:rFonts w:ascii="宋体" w:hAnsi="Calibri" w:eastAsia="宋体" w:cs="Times New Roman"/>
      <w:kern w:val="0"/>
      <w:sz w:val="18"/>
      <w:szCs w:val="18"/>
    </w:rPr>
  </w:style>
  <w:style w:type="character" w:customStyle="1" w:styleId="95">
    <w:name w:val="日期 Char2"/>
    <w:basedOn w:val="43"/>
    <w:link w:val="24"/>
    <w:semiHidden/>
    <w:qFormat/>
    <w:uiPriority w:val="99"/>
    <w:rPr>
      <w:rFonts w:ascii="Calibri" w:hAnsi="Calibri" w:eastAsia="宋体" w:cs="Times New Roman"/>
      <w:kern w:val="0"/>
      <w:sz w:val="20"/>
      <w:szCs w:val="20"/>
    </w:rPr>
  </w:style>
  <w:style w:type="character" w:customStyle="1" w:styleId="96">
    <w:name w:val="标题 Char1"/>
    <w:basedOn w:val="43"/>
    <w:link w:val="37"/>
    <w:qFormat/>
    <w:uiPriority w:val="10"/>
    <w:rPr>
      <w:rFonts w:eastAsia="宋体" w:asciiTheme="majorHAnsi" w:hAnsiTheme="majorHAnsi" w:cstheme="majorBidi"/>
      <w:b/>
      <w:bCs/>
      <w:kern w:val="0"/>
      <w:sz w:val="32"/>
      <w:szCs w:val="32"/>
    </w:rPr>
  </w:style>
  <w:style w:type="character" w:customStyle="1" w:styleId="97">
    <w:name w:val="批注文字 Char1"/>
    <w:basedOn w:val="43"/>
    <w:link w:val="16"/>
    <w:semiHidden/>
    <w:qFormat/>
    <w:uiPriority w:val="99"/>
    <w:rPr>
      <w:rFonts w:ascii="Calibri" w:hAnsi="Calibri" w:eastAsia="宋体" w:cs="Times New Roman"/>
      <w:kern w:val="0"/>
      <w:sz w:val="20"/>
      <w:szCs w:val="20"/>
    </w:rPr>
  </w:style>
  <w:style w:type="character" w:customStyle="1" w:styleId="98">
    <w:name w:val="批注主题 Char2"/>
    <w:basedOn w:val="97"/>
    <w:link w:val="38"/>
    <w:semiHidden/>
    <w:qFormat/>
    <w:uiPriority w:val="99"/>
    <w:rPr>
      <w:b/>
      <w:bCs/>
    </w:rPr>
  </w:style>
  <w:style w:type="character" w:customStyle="1" w:styleId="99">
    <w:name w:val="批注框文本 Char2"/>
    <w:basedOn w:val="43"/>
    <w:link w:val="26"/>
    <w:semiHidden/>
    <w:qFormat/>
    <w:uiPriority w:val="99"/>
    <w:rPr>
      <w:rFonts w:ascii="Calibri" w:hAnsi="Calibri" w:eastAsia="宋体" w:cs="Times New Roman"/>
      <w:kern w:val="0"/>
      <w:sz w:val="18"/>
      <w:szCs w:val="18"/>
    </w:rPr>
  </w:style>
  <w:style w:type="character" w:customStyle="1" w:styleId="100">
    <w:name w:val="纯文本 Char"/>
    <w:basedOn w:val="43"/>
    <w:link w:val="22"/>
    <w:qFormat/>
    <w:uiPriority w:val="0"/>
    <w:rPr>
      <w:rFonts w:ascii="宋体" w:hAnsi="Courier New" w:eastAsia="宋体" w:cs="Courier New"/>
      <w:szCs w:val="21"/>
    </w:rPr>
  </w:style>
  <w:style w:type="paragraph" w:customStyle="1" w:styleId="101">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sz w:val="24"/>
    </w:rPr>
  </w:style>
  <w:style w:type="paragraph" w:customStyle="1" w:styleId="102">
    <w:name w:val="样式3"/>
    <w:basedOn w:val="22"/>
    <w:qFormat/>
    <w:uiPriority w:val="0"/>
    <w:pPr>
      <w:adjustRightInd w:val="0"/>
      <w:spacing w:line="0" w:lineRule="atLeast"/>
      <w:textAlignment w:val="baseline"/>
      <w:outlineLvl w:val="0"/>
    </w:pPr>
    <w:rPr>
      <w:rFonts w:hAnsi="Times New Roman" w:cs="Times New Roman"/>
      <w:sz w:val="28"/>
      <w:szCs w:val="20"/>
    </w:rPr>
  </w:style>
  <w:style w:type="character" w:customStyle="1" w:styleId="103">
    <w:name w:val="脚注文本 Char"/>
    <w:basedOn w:val="43"/>
    <w:link w:val="32"/>
    <w:qFormat/>
    <w:uiPriority w:val="0"/>
    <w:rPr>
      <w:rFonts w:ascii="Calibri" w:hAnsi="Calibri" w:eastAsia="宋体" w:cs="Times New Roman"/>
      <w:kern w:val="0"/>
      <w:sz w:val="18"/>
      <w:szCs w:val="18"/>
    </w:rPr>
  </w:style>
  <w:style w:type="character" w:customStyle="1" w:styleId="104">
    <w:name w:val="注释标题 Char"/>
    <w:basedOn w:val="43"/>
    <w:link w:val="12"/>
    <w:semiHidden/>
    <w:qFormat/>
    <w:uiPriority w:val="0"/>
    <w:rPr>
      <w:rFonts w:ascii="Times New Roman" w:hAnsi="Times New Roman" w:eastAsia="宋体" w:cs="Times New Roman"/>
      <w:szCs w:val="24"/>
    </w:rPr>
  </w:style>
  <w:style w:type="paragraph" w:customStyle="1" w:styleId="105">
    <w:name w:val="Table Paragraph"/>
    <w:basedOn w:val="1"/>
    <w:qFormat/>
    <w:uiPriority w:val="1"/>
    <w:pPr>
      <w:adjustRightInd/>
      <w:spacing w:line="240" w:lineRule="auto"/>
      <w:jc w:val="left"/>
      <w:textAlignment w:val="auto"/>
    </w:pPr>
    <w:rPr>
      <w:rFonts w:ascii="宋体" w:hAnsi="宋体" w:cs="宋体"/>
      <w:sz w:val="22"/>
      <w:szCs w:val="22"/>
      <w:lang w:eastAsia="en-US"/>
    </w:rPr>
  </w:style>
  <w:style w:type="character" w:customStyle="1" w:styleId="106">
    <w:name w:val="明显参考1"/>
    <w:qFormat/>
    <w:uiPriority w:val="0"/>
    <w:rPr>
      <w:b/>
      <w:bCs/>
      <w:smallCaps/>
      <w:color w:val="C0504D"/>
      <w:spacing w:val="5"/>
      <w:u w:val="single"/>
    </w:rPr>
  </w:style>
  <w:style w:type="character" w:customStyle="1" w:styleId="107">
    <w:name w:val="日期 Char1"/>
    <w:qFormat/>
    <w:uiPriority w:val="0"/>
    <w:rPr>
      <w:kern w:val="2"/>
      <w:sz w:val="21"/>
      <w:szCs w:val="22"/>
    </w:rPr>
  </w:style>
  <w:style w:type="character" w:customStyle="1" w:styleId="108">
    <w:name w:val="书籍标题1"/>
    <w:qFormat/>
    <w:uiPriority w:val="0"/>
    <w:rPr>
      <w:b/>
      <w:bCs/>
      <w:smallCaps/>
      <w:spacing w:val="5"/>
    </w:rPr>
  </w:style>
  <w:style w:type="character" w:customStyle="1" w:styleId="109">
    <w:name w:val="批注主题 Char1"/>
    <w:qFormat/>
    <w:uiPriority w:val="0"/>
    <w:rPr>
      <w:b/>
      <w:bCs/>
      <w:kern w:val="2"/>
      <w:sz w:val="21"/>
      <w:szCs w:val="22"/>
    </w:rPr>
  </w:style>
  <w:style w:type="character" w:customStyle="1" w:styleId="110">
    <w:name w:val="不明显强调1"/>
    <w:qFormat/>
    <w:uiPriority w:val="0"/>
    <w:rPr>
      <w:i/>
      <w:iCs/>
      <w:color w:val="808080"/>
    </w:rPr>
  </w:style>
  <w:style w:type="character" w:customStyle="1" w:styleId="111">
    <w:name w:val="批注文字 Char Char"/>
    <w:qFormat/>
    <w:uiPriority w:val="0"/>
    <w:rPr>
      <w:rFonts w:ascii="宋体" w:hAnsi="Times New Roman" w:eastAsia="宋体" w:cs="Times New Roman"/>
      <w:sz w:val="28"/>
      <w:szCs w:val="20"/>
    </w:rPr>
  </w:style>
  <w:style w:type="character" w:customStyle="1" w:styleId="112">
    <w:name w:val="批注框文本 Char1"/>
    <w:qFormat/>
    <w:uiPriority w:val="0"/>
    <w:rPr>
      <w:kern w:val="2"/>
      <w:sz w:val="18"/>
      <w:szCs w:val="18"/>
    </w:rPr>
  </w:style>
  <w:style w:type="character" w:customStyle="1" w:styleId="113">
    <w:name w:val="明显强调1"/>
    <w:qFormat/>
    <w:uiPriority w:val="0"/>
    <w:rPr>
      <w:b/>
      <w:bCs/>
      <w:i/>
      <w:iCs/>
      <w:color w:val="4F81BD"/>
    </w:rPr>
  </w:style>
  <w:style w:type="character" w:customStyle="1" w:styleId="114">
    <w:name w:val="textcontents"/>
    <w:qFormat/>
    <w:uiPriority w:val="0"/>
    <w:rPr>
      <w:rFonts w:cs="Times New Roman"/>
    </w:rPr>
  </w:style>
  <w:style w:type="character" w:customStyle="1" w:styleId="115">
    <w:name w:val="文档结构图 Char1"/>
    <w:qFormat/>
    <w:uiPriority w:val="0"/>
    <w:rPr>
      <w:rFonts w:ascii="宋体"/>
      <w:kern w:val="2"/>
      <w:sz w:val="18"/>
      <w:szCs w:val="18"/>
    </w:rPr>
  </w:style>
  <w:style w:type="character" w:customStyle="1" w:styleId="116">
    <w:name w:val="不明显参考1"/>
    <w:qFormat/>
    <w:uiPriority w:val="0"/>
    <w:rPr>
      <w:smallCaps/>
      <w:color w:val="C0504D"/>
      <w:u w:val="single"/>
    </w:rPr>
  </w:style>
  <w:style w:type="paragraph" w:customStyle="1" w:styleId="117">
    <w:name w:val="样式 标题 3 + (中文) 黑体 小四 非加粗 段前: 7.8 磅 段后: 0 磅 行距: 固定值 20 磅"/>
    <w:basedOn w:val="4"/>
    <w:qFormat/>
    <w:uiPriority w:val="0"/>
    <w:pPr>
      <w:adjustRightInd/>
      <w:spacing w:before="0" w:after="0" w:line="400" w:lineRule="exact"/>
      <w:textAlignment w:val="auto"/>
    </w:pPr>
    <w:rPr>
      <w:rFonts w:ascii="Times New Roman" w:hAnsi="Times New Roman" w:eastAsia="黑体" w:cs="宋体"/>
      <w:b w:val="0"/>
      <w:bCs w:val="0"/>
      <w:kern w:val="2"/>
      <w:sz w:val="24"/>
      <w:szCs w:val="20"/>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eastAsia="黑体" w:cs="宋体"/>
      <w:b w:val="0"/>
      <w:bCs w:val="0"/>
      <w:sz w:val="28"/>
      <w:szCs w:val="20"/>
    </w:rPr>
  </w:style>
  <w:style w:type="paragraph" w:customStyle="1" w:styleId="120">
    <w:name w:val="TOC 标题1"/>
    <w:basedOn w:val="2"/>
    <w:next w:val="1"/>
    <w:qFormat/>
    <w:uiPriority w:val="0"/>
    <w:pPr>
      <w:tabs>
        <w:tab w:val="clear" w:pos="1440"/>
      </w:tabs>
      <w:adjustRightInd/>
      <w:spacing w:line="576" w:lineRule="auto"/>
      <w:textAlignment w:val="auto"/>
      <w:outlineLvl w:val="9"/>
    </w:pPr>
  </w:style>
  <w:style w:type="paragraph" w:customStyle="1" w:styleId="121">
    <w:name w:val="空半行"/>
    <w:basedOn w:val="1"/>
    <w:qFormat/>
    <w:uiPriority w:val="0"/>
    <w:pPr>
      <w:spacing w:line="120" w:lineRule="exact"/>
    </w:pPr>
    <w:rPr>
      <w:rFonts w:ascii="Times New Roman" w:hAnsi="Times New Roman" w:eastAsia="仿宋_GB2312"/>
      <w:color w:val="FFFFFF"/>
      <w:sz w:val="30"/>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flNote"/>
    <w:basedOn w:val="1"/>
    <w:qFormat/>
    <w:uiPriority w:val="0"/>
    <w:pPr>
      <w:spacing w:before="320" w:after="160"/>
      <w:jc w:val="center"/>
    </w:pPr>
    <w:rPr>
      <w:rFonts w:ascii="Arial" w:hAnsi="Times New Roman" w:eastAsia="黑体"/>
      <w:sz w:val="30"/>
    </w:rPr>
  </w:style>
  <w:style w:type="paragraph" w:customStyle="1" w:styleId="124">
    <w:name w:val="CM44"/>
    <w:next w:val="24"/>
    <w:qFormat/>
    <w:uiPriority w:val="0"/>
    <w:pPr>
      <w:widowControl w:val="0"/>
      <w:autoSpaceDE w:val="0"/>
      <w:autoSpaceDN w:val="0"/>
      <w:adjustRightInd w:val="0"/>
      <w:spacing w:line="440" w:lineRule="atLeast"/>
    </w:pPr>
    <w:rPr>
      <w:rFonts w:ascii="宋体" w:hAnsi="Calibri" w:eastAsia="宋体" w:cs="Times New Roman"/>
      <w:sz w:val="24"/>
      <w:szCs w:val="24"/>
      <w:lang w:val="en-US" w:eastAsia="zh-CN" w:bidi="ar-SA"/>
    </w:rPr>
  </w:style>
  <w:style w:type="character" w:customStyle="1" w:styleId="125">
    <w:name w:val="正文首行缩进 2 Char"/>
    <w:basedOn w:val="64"/>
    <w:link w:val="40"/>
    <w:qFormat/>
    <w:uiPriority w:val="99"/>
  </w:style>
  <w:style w:type="character" w:customStyle="1" w:styleId="126">
    <w:name w:val="infodetail"/>
    <w:basedOn w:val="43"/>
    <w:qFormat/>
    <w:uiPriority w:val="0"/>
  </w:style>
  <w:style w:type="character" w:customStyle="1" w:styleId="127">
    <w:name w:val="正文首行缩进 Char"/>
    <w:basedOn w:val="61"/>
    <w:link w:val="39"/>
    <w:semiHidden/>
    <w:qFormat/>
    <w:uiPriority w:val="99"/>
  </w:style>
  <w:style w:type="paragraph" w:customStyle="1" w:styleId="128">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214</Pages>
  <Words>5549</Words>
  <Characters>6392</Characters>
  <Lines>1214</Lines>
  <Paragraphs>341</Paragraphs>
  <TotalTime>7</TotalTime>
  <ScaleCrop>false</ScaleCrop>
  <LinksUpToDate>false</LinksUpToDate>
  <CharactersWithSpaces>9391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2022-07-16T12:39:00Z</dcterms:created>
  <dc:creator>Administrator</dc:creator>
  <cp:lastModifiedBy>Michael</cp:lastModifiedBy>
  <cp:lastPrinted>2020-10-07T16:06:00Z</cp:lastPrinted>
  <dcterms:modified xsi:type="dcterms:W3CDTF">2024-12-02T01:30:10Z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A445B362811D44EF8836851F7BD046F5_13</vt:lpwstr>
  </property>
</Properties>
</file>